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Williams Companies,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-3830320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-3409950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-2852420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p>
      <w:pPr>
        <w:spacing w:after="0" w:line="200" w:lineRule="exact"/>
        <w:rPr>
          <w:sz w:val="24"/>
          <w:szCs w:val="24"/>
          <w:color w:val="auto"/>
        </w:rPr>
      </w:pPr>
    </w:p>
    <w:p>
      <w:pPr>
        <w:spacing w:after="0" w:line="255" w:lineRule="exact"/>
        <w:rPr>
          <w:sz w:val="24"/>
          <w:szCs w:val="24"/>
          <w:color w:val="auto"/>
        </w:rPr>
      </w:pPr>
    </w:p>
    <w:p>
      <w:pPr>
        <w:ind w:left="920" w:hanging="439"/>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1340"/>
          </w:cols>
          <w:pgMar w:left="240" w:top="230" w:right="319" w:bottom="0" w:gutter="0" w:footer="0" w:header="0"/>
          <w:type w:val="continuous"/>
        </w:sectPr>
      </w:pPr>
    </w:p>
    <w:bookmarkStart w:id="1" w:name="page2"/>
    <w:bookmarkEnd w:id="1"/>
    <w:p>
      <w:pPr>
        <w:spacing w:after="0"/>
        <w:tabs>
          <w:tab w:leader="none" w:pos="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3435985</wp:posOffset>
            </wp:positionV>
            <wp:extent cx="8890" cy="857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5788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00"/>
        <w:spacing w:after="0"/>
        <w:rPr>
          <w:sz w:val="20"/>
          <w:szCs w:val="20"/>
          <w:color w:val="auto"/>
        </w:rPr>
      </w:pPr>
      <w:r>
        <w:rPr>
          <w:rFonts w:ascii="Arial" w:cs="Arial" w:eastAsia="Arial" w:hAnsi="Arial"/>
          <w:sz w:val="25"/>
          <w:szCs w:val="25"/>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-28575</wp:posOffset>
            </wp:positionV>
            <wp:extent cx="1080770" cy="540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0770" cy="54038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5"/>
          <w:szCs w:val="25"/>
          <w:color w:val="auto"/>
        </w:rPr>
        <w:t>STATEMENT</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25"/>
          <w:szCs w:val="25"/>
          <w:color w:val="auto"/>
        </w:rPr>
        <w:t>2015</w:t>
      </w:r>
    </w:p>
    <w:p>
      <w:pPr>
        <w:spacing w:after="0" w:line="75" w:lineRule="exact"/>
        <w:rPr>
          <w:sz w:val="20"/>
          <w:szCs w:val="20"/>
          <w:color w:val="auto"/>
        </w:rPr>
      </w:pPr>
    </w:p>
    <w:p>
      <w:pPr>
        <w:jc w:val="center"/>
        <w:ind w:left="1260"/>
        <w:spacing w:after="0"/>
        <w:rPr>
          <w:sz w:val="20"/>
          <w:szCs w:val="20"/>
          <w:color w:val="auto"/>
        </w:rPr>
      </w:pPr>
      <w:r>
        <w:rPr>
          <w:rFonts w:ascii="Arial" w:cs="Arial" w:eastAsia="Arial" w:hAnsi="Arial"/>
          <w:sz w:val="17"/>
          <w:szCs w:val="17"/>
          <w:color w:val="auto"/>
        </w:rPr>
        <w:t>Notice of Annual Meeting of Stockholders</w:t>
      </w:r>
    </w:p>
    <w:p>
      <w:pPr>
        <w:sectPr>
          <w:pgSz w:w="11900" w:h="16838" w:orient="portrait"/>
          <w:cols w:equalWidth="0" w:num="1">
            <w:col w:w="10219"/>
          </w:cols>
          <w:pgMar w:left="240" w:top="459" w:right="1440"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283210</wp:posOffset>
            </wp:positionV>
            <wp:extent cx="5188585" cy="1089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8858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From Your Chairman</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April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152400</wp:posOffset>
            </wp:positionV>
            <wp:extent cx="995045" cy="1355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9504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225CAB"/>
        </w:rPr>
        <w:t>Frank T. MacInnis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Fellow Stockholders:</w:t>
      </w:r>
    </w:p>
    <w:p>
      <w:pPr>
        <w:spacing w:after="0" w:line="3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Williams has rich history and I speak on behalf of the Board when I say that we are honored to steward Williams toward its modern objective to connect North America’s significant hydrocarbon resource plays to growing markets for natural gas, natural gas liquids, and olefins. Please join me at the 2015 annual meeting of stockholders on May 21 to vote your shares and listen to a report from management on Williams’ operations. There will also be an opportunity to ask questions.</w:t>
      </w:r>
    </w:p>
    <w:p>
      <w:pPr>
        <w:spacing w:after="0" w:line="3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notice of the annual meeting and proxy statement accompanying this letter provides information about the matters to be considered and acted upon at the meeting. If you cannot attend the annual meeting in person, it is still important that your shares be represented and voted at the meeting. Whether or not you plan to attend, you can be sure your shares are</w:t>
      </w:r>
    </w:p>
    <w:p>
      <w:pPr>
        <w:spacing w:after="0" w:line="3" w:lineRule="exact"/>
        <w:rPr>
          <w:sz w:val="20"/>
          <w:szCs w:val="20"/>
          <w:color w:val="auto"/>
        </w:rPr>
      </w:pPr>
    </w:p>
    <w:p>
      <w:pPr>
        <w:sectPr>
          <w:pgSz w:w="11900" w:h="16838" w:orient="portrait"/>
          <w:cols w:equalWidth="0" w:num="2">
            <w:col w:w="2260" w:space="720"/>
            <w:col w:w="8440"/>
          </w:cols>
          <w:pgMar w:left="240" w:top="459" w:right="239" w:bottom="1440" w:gutter="0" w:footer="0" w:header="0"/>
          <w:type w:val="continuous"/>
        </w:sectPr>
      </w:pPr>
    </w:p>
    <w:p>
      <w:pPr>
        <w:spacing w:after="0" w:line="246" w:lineRule="auto"/>
        <w:rPr>
          <w:sz w:val="20"/>
          <w:szCs w:val="20"/>
          <w:color w:val="auto"/>
        </w:rPr>
      </w:pPr>
      <w:r>
        <w:rPr>
          <w:rFonts w:ascii="Arial" w:cs="Arial" w:eastAsia="Arial" w:hAnsi="Arial"/>
          <w:sz w:val="18"/>
          <w:szCs w:val="18"/>
          <w:color w:val="auto"/>
        </w:rPr>
        <w:t>represented by promptly voting and submitting your proxy by phone, by Internet, or by completing, signing, dating, and returning your proxy card in the enclosed postage-paid envelope. I look forward seeing you at the meeting.</w:t>
      </w:r>
    </w:p>
    <w:p>
      <w:pPr>
        <w:spacing w:after="0" w:line="200" w:lineRule="exact"/>
        <w:rPr>
          <w:sz w:val="20"/>
          <w:szCs w:val="20"/>
          <w:color w:val="auto"/>
        </w:rPr>
      </w:pPr>
    </w:p>
    <w:p>
      <w:pPr>
        <w:spacing w:after="0" w:line="32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152400</wp:posOffset>
            </wp:positionV>
            <wp:extent cx="1191895"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918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Frank T. MacInnis</w:t>
      </w:r>
    </w:p>
    <w:p>
      <w:pPr>
        <w:ind w:left="5380"/>
        <w:spacing w:after="0"/>
        <w:rPr>
          <w:sz w:val="20"/>
          <w:szCs w:val="20"/>
          <w:color w:val="auto"/>
        </w:rPr>
      </w:pPr>
      <w:r>
        <w:rPr>
          <w:rFonts w:ascii="Arial" w:cs="Arial" w:eastAsia="Arial" w:hAnsi="Arial"/>
          <w:sz w:val="18"/>
          <w:szCs w:val="18"/>
          <w:color w:val="auto"/>
        </w:rPr>
        <w:t>Chairman of the Board</w:t>
      </w:r>
    </w:p>
    <w:p>
      <w:pPr>
        <w:spacing w:after="0" w:line="163" w:lineRule="exact"/>
        <w:rPr>
          <w:sz w:val="20"/>
          <w:szCs w:val="20"/>
          <w:color w:val="auto"/>
        </w:rPr>
      </w:pPr>
    </w:p>
    <w:p>
      <w:pPr>
        <w:jc w:val="center"/>
        <w:ind w:right="400"/>
        <w:spacing w:after="0"/>
        <w:rPr>
          <w:sz w:val="20"/>
          <w:szCs w:val="20"/>
          <w:color w:val="auto"/>
        </w:rPr>
      </w:pPr>
      <w:r>
        <w:rPr>
          <w:rFonts w:ascii="Arial" w:cs="Arial" w:eastAsia="Arial" w:hAnsi="Arial"/>
          <w:sz w:val="14"/>
          <w:szCs w:val="14"/>
          <w:i w:val="1"/>
          <w:iCs w:val="1"/>
          <w:color w:val="225CAB"/>
        </w:rPr>
        <w:t>The Williams Companies, Inc. – 2015 Proxy Statement</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32"/>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QUESTIONS AND ANSWERS ABOUT THE ANNUAL MEETING AND VOTING</w:t>
              </w:r>
            </w:hyperlink>
          </w:p>
        </w:tc>
        <w:tc>
          <w:tcPr>
            <w:tcW w:w="39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278"/>
        </w:trPr>
        <w:tc>
          <w:tcPr>
            <w:tcW w:w="7440" w:type="dxa"/>
            <w:vAlign w:val="bottom"/>
            <w:gridSpan w:val="32"/>
          </w:tcPr>
          <w:p>
            <w:pPr>
              <w:spacing w:after="0"/>
              <w:rPr>
                <w:sz w:val="20"/>
                <w:szCs w:val="20"/>
                <w:color w:val="auto"/>
              </w:rPr>
            </w:pPr>
            <w:r>
              <w:rPr>
                <w:rFonts w:ascii="Arial" w:cs="Arial" w:eastAsia="Arial" w:hAnsi="Arial"/>
                <w:sz w:val="18"/>
                <w:szCs w:val="18"/>
                <w:b w:val="1"/>
                <w:bCs w:val="1"/>
                <w:color w:val="0000EE"/>
              </w:rPr>
              <w:t>CORPORATE GOVERNANCE AND BOARD MATTERS</w:t>
            </w:r>
          </w:p>
        </w:tc>
        <w:tc>
          <w:tcPr>
            <w:tcW w:w="39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184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Corporate Governance</w:t>
              </w:r>
            </w:hyperlink>
          </w:p>
        </w:tc>
        <w:tc>
          <w:tcPr>
            <w:tcW w:w="5420" w:type="dxa"/>
            <w:vAlign w:val="bottom"/>
            <w:gridSpan w:val="24"/>
          </w:tcPr>
          <w:p>
            <w:pPr>
              <w:spacing w:after="0"/>
              <w:rPr>
                <w:sz w:val="18"/>
                <w:szCs w:val="18"/>
                <w:color w:val="auto"/>
              </w:rPr>
            </w:pPr>
          </w:p>
        </w:tc>
        <w:tc>
          <w:tcPr>
            <w:tcW w:w="39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50"/>
        </w:trPr>
        <w:tc>
          <w:tcPr>
            <w:tcW w:w="180" w:type="dxa"/>
            <w:vAlign w:val="bottom"/>
          </w:tcPr>
          <w:p>
            <w:pPr>
              <w:spacing w:after="0"/>
              <w:rPr>
                <w:sz w:val="21"/>
                <w:szCs w:val="21"/>
                <w:color w:val="auto"/>
              </w:rPr>
            </w:pPr>
          </w:p>
        </w:tc>
        <w:tc>
          <w:tcPr>
            <w:tcW w:w="7260" w:type="dxa"/>
            <w:vAlign w:val="bottom"/>
            <w:gridSpan w:val="3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Board and Committee Structure and Meetings</w:t>
              </w:r>
            </w:hyperlink>
          </w:p>
        </w:tc>
        <w:tc>
          <w:tcPr>
            <w:tcW w:w="39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318"/>
        </w:trPr>
        <w:tc>
          <w:tcPr>
            <w:tcW w:w="7440" w:type="dxa"/>
            <w:vAlign w:val="bottom"/>
            <w:gridSpan w:val="32"/>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PROPOSAL 1: ELECTION OF DIRECTORS</w:t>
              </w:r>
            </w:hyperlink>
          </w:p>
        </w:tc>
        <w:tc>
          <w:tcPr>
            <w:tcW w:w="39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278"/>
        </w:trPr>
        <w:tc>
          <w:tcPr>
            <w:tcW w:w="7440" w:type="dxa"/>
            <w:vAlign w:val="bottom"/>
            <w:gridSpan w:val="3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SECURITY OWNERSHIP OF CERTAIN BENEFICIAL OWNERS AND MANAGEMENT</w:t>
              </w:r>
            </w:hyperlink>
          </w:p>
        </w:tc>
        <w:tc>
          <w:tcPr>
            <w:tcW w:w="39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278"/>
        </w:trPr>
        <w:tc>
          <w:tcPr>
            <w:tcW w:w="7440" w:type="dxa"/>
            <w:vAlign w:val="bottom"/>
            <w:gridSpan w:val="32"/>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SECTION 16(A) BENEFICIAL OWNERSHIP REPORTING COMPLIANCE</w:t>
              </w:r>
            </w:hyperlink>
          </w:p>
        </w:tc>
        <w:tc>
          <w:tcPr>
            <w:tcW w:w="39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278"/>
        </w:trPr>
        <w:tc>
          <w:tcPr>
            <w:tcW w:w="7440" w:type="dxa"/>
            <w:vAlign w:val="bottom"/>
            <w:gridSpan w:val="32"/>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NAMED EXECUTIVE OFFICER PROFILES</w:t>
              </w:r>
            </w:hyperlink>
          </w:p>
        </w:tc>
        <w:tc>
          <w:tcPr>
            <w:tcW w:w="39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278"/>
        </w:trPr>
        <w:tc>
          <w:tcPr>
            <w:tcW w:w="7440" w:type="dxa"/>
            <w:vAlign w:val="bottom"/>
            <w:gridSpan w:val="32"/>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COMPENSATION DISCUSSION AND ANALYSIS</w:t>
              </w:r>
            </w:hyperlink>
          </w:p>
        </w:tc>
        <w:tc>
          <w:tcPr>
            <w:tcW w:w="39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328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Our Commitment to Pay for Performance</w:t>
              </w:r>
            </w:hyperlink>
          </w:p>
        </w:tc>
        <w:tc>
          <w:tcPr>
            <w:tcW w:w="3980" w:type="dxa"/>
            <w:vAlign w:val="bottom"/>
            <w:gridSpan w:val="14"/>
          </w:tcPr>
          <w:p>
            <w:pPr>
              <w:spacing w:after="0"/>
              <w:rPr>
                <w:sz w:val="18"/>
                <w:szCs w:val="18"/>
                <w:color w:val="auto"/>
              </w:rPr>
            </w:pPr>
          </w:p>
        </w:tc>
        <w:tc>
          <w:tcPr>
            <w:tcW w:w="39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183"/>
        </w:trPr>
        <w:tc>
          <w:tcPr>
            <w:tcW w:w="180" w:type="dxa"/>
            <w:vAlign w:val="bottom"/>
          </w:tcPr>
          <w:p>
            <w:pPr>
              <w:spacing w:after="0"/>
              <w:rPr>
                <w:sz w:val="15"/>
                <w:szCs w:val="15"/>
                <w:color w:val="auto"/>
              </w:rPr>
            </w:pPr>
          </w:p>
        </w:tc>
        <w:tc>
          <w:tcPr>
            <w:tcW w:w="200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2014 Business Overview</w:t>
              </w:r>
            </w:hyperlink>
          </w:p>
        </w:tc>
        <w:tc>
          <w:tcPr>
            <w:tcW w:w="5260" w:type="dxa"/>
            <w:vAlign w:val="bottom"/>
            <w:gridSpan w:val="22"/>
          </w:tcPr>
          <w:p>
            <w:pPr>
              <w:spacing w:after="0"/>
              <w:rPr>
                <w:sz w:val="15"/>
                <w:szCs w:val="15"/>
                <w:color w:val="auto"/>
              </w:rPr>
            </w:pPr>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37</w:t>
            </w:r>
          </w:p>
        </w:tc>
      </w:tr>
      <w:tr>
        <w:trPr>
          <w:trHeight w:val="183"/>
        </w:trPr>
        <w:tc>
          <w:tcPr>
            <w:tcW w:w="180" w:type="dxa"/>
            <w:vAlign w:val="bottom"/>
          </w:tcPr>
          <w:p>
            <w:pPr>
              <w:spacing w:after="0"/>
              <w:rPr>
                <w:sz w:val="15"/>
                <w:szCs w:val="15"/>
                <w:color w:val="auto"/>
              </w:rPr>
            </w:pPr>
          </w:p>
        </w:tc>
        <w:tc>
          <w:tcPr>
            <w:tcW w:w="7260" w:type="dxa"/>
            <w:vAlign w:val="bottom"/>
            <w:gridSpan w:val="31"/>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Compensation Summary</w:t>
              </w:r>
            </w:hyperlink>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40</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7260" w:type="dxa"/>
            <w:vAlign w:val="bottom"/>
            <w:gridSpan w:val="31"/>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Objective of Our Compensation Programs</w:t>
              </w:r>
            </w:hyperlink>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40</w:t>
            </w:r>
          </w:p>
        </w:tc>
      </w:tr>
      <w:tr>
        <w:trPr>
          <w:trHeight w:val="183"/>
        </w:trPr>
        <w:tc>
          <w:tcPr>
            <w:tcW w:w="180" w:type="dxa"/>
            <w:vAlign w:val="bottom"/>
          </w:tcPr>
          <w:p>
            <w:pPr>
              <w:spacing w:after="0"/>
              <w:rPr>
                <w:sz w:val="15"/>
                <w:szCs w:val="15"/>
                <w:color w:val="auto"/>
              </w:rPr>
            </w:pPr>
          </w:p>
        </w:tc>
        <w:tc>
          <w:tcPr>
            <w:tcW w:w="16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Our Pay Philosophy</w:t>
              </w:r>
            </w:hyperlink>
          </w:p>
        </w:tc>
        <w:tc>
          <w:tcPr>
            <w:tcW w:w="1740" w:type="dxa"/>
            <w:vAlign w:val="bottom"/>
            <w:tcBorders>
              <w:top w:val="single" w:sz="8" w:color="0000EE"/>
            </w:tcBorders>
            <w:gridSpan w:val="13"/>
          </w:tcPr>
          <w:p>
            <w:pPr>
              <w:spacing w:after="0"/>
              <w:rPr>
                <w:sz w:val="15"/>
                <w:szCs w:val="15"/>
                <w:color w:val="auto"/>
              </w:rPr>
            </w:pPr>
          </w:p>
        </w:tc>
        <w:tc>
          <w:tcPr>
            <w:tcW w:w="3920" w:type="dxa"/>
            <w:vAlign w:val="bottom"/>
            <w:gridSpan w:val="12"/>
          </w:tcPr>
          <w:p>
            <w:pPr>
              <w:spacing w:after="0"/>
              <w:rPr>
                <w:sz w:val="15"/>
                <w:szCs w:val="15"/>
                <w:color w:val="auto"/>
              </w:rPr>
            </w:pPr>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40</w:t>
            </w:r>
          </w:p>
        </w:tc>
      </w:tr>
      <w:tr>
        <w:trPr>
          <w:trHeight w:val="183"/>
        </w:trPr>
        <w:tc>
          <w:tcPr>
            <w:tcW w:w="180" w:type="dxa"/>
            <w:vAlign w:val="bottom"/>
          </w:tcPr>
          <w:p>
            <w:pPr>
              <w:spacing w:after="0"/>
              <w:rPr>
                <w:sz w:val="15"/>
                <w:szCs w:val="15"/>
                <w:color w:val="auto"/>
              </w:rPr>
            </w:pPr>
          </w:p>
        </w:tc>
        <w:tc>
          <w:tcPr>
            <w:tcW w:w="7260" w:type="dxa"/>
            <w:vAlign w:val="bottom"/>
            <w:gridSpan w:val="31"/>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Roles in the Compensation Recommendation and Decision Process</w:t>
              </w:r>
            </w:hyperlink>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41</w:t>
            </w:r>
          </w:p>
        </w:tc>
      </w:tr>
      <w:tr>
        <w:trPr>
          <w:trHeight w:val="183"/>
        </w:trPr>
        <w:tc>
          <w:tcPr>
            <w:tcW w:w="180" w:type="dxa"/>
            <w:vAlign w:val="bottom"/>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Role of Board of Directors</w:t>
              </w:r>
            </w:hyperlink>
          </w:p>
        </w:tc>
        <w:tc>
          <w:tcPr>
            <w:tcW w:w="2980" w:type="dxa"/>
            <w:vAlign w:val="bottom"/>
            <w:tcBorders>
              <w:top w:val="single" w:sz="8" w:color="0000EE"/>
            </w:tcBorders>
            <w:gridSpan w:val="12"/>
          </w:tcPr>
          <w:p>
            <w:pPr>
              <w:spacing w:after="0"/>
              <w:rPr>
                <w:sz w:val="15"/>
                <w:szCs w:val="15"/>
                <w:color w:val="auto"/>
              </w:rPr>
            </w:pPr>
          </w:p>
        </w:tc>
        <w:tc>
          <w:tcPr>
            <w:tcW w:w="1840" w:type="dxa"/>
            <w:vAlign w:val="bottom"/>
            <w:gridSpan w:val="6"/>
          </w:tcPr>
          <w:p>
            <w:pPr>
              <w:spacing w:after="0"/>
              <w:rPr>
                <w:sz w:val="15"/>
                <w:szCs w:val="15"/>
                <w:color w:val="auto"/>
              </w:rPr>
            </w:pPr>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41</w:t>
            </w: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900" w:type="dxa"/>
            <w:vAlign w:val="bottom"/>
            <w:gridSpan w:val="30"/>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Role of Compensation Committee</w:t>
              </w:r>
            </w:hyperlink>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41</w:t>
            </w: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48">
              <w:r>
                <w:rPr>
                  <w:rFonts w:ascii="Arial" w:cs="Arial" w:eastAsia="Arial" w:hAnsi="Arial"/>
                  <w:sz w:val="18"/>
                  <w:szCs w:val="18"/>
                  <w:color w:val="0000EE"/>
                  <w:w w:val="98"/>
                </w:rPr>
                <w:t>Role of CEO</w:t>
              </w:r>
            </w:hyperlink>
          </w:p>
        </w:tc>
        <w:tc>
          <w:tcPr>
            <w:tcW w:w="1680" w:type="dxa"/>
            <w:vAlign w:val="bottom"/>
            <w:tcBorders>
              <w:top w:val="single" w:sz="8" w:color="0000EE"/>
            </w:tcBorders>
            <w:gridSpan w:val="10"/>
          </w:tcPr>
          <w:p>
            <w:pPr>
              <w:spacing w:after="0"/>
              <w:rPr>
                <w:sz w:val="15"/>
                <w:szCs w:val="15"/>
                <w:color w:val="auto"/>
              </w:rPr>
            </w:pPr>
          </w:p>
        </w:tc>
        <w:tc>
          <w:tcPr>
            <w:tcW w:w="4200" w:type="dxa"/>
            <w:vAlign w:val="bottom"/>
            <w:gridSpan w:val="16"/>
          </w:tcPr>
          <w:p>
            <w:pPr>
              <w:spacing w:after="0"/>
              <w:rPr>
                <w:sz w:val="15"/>
                <w:szCs w:val="15"/>
                <w:color w:val="auto"/>
              </w:rPr>
            </w:pPr>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41</w:t>
            </w: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900" w:type="dxa"/>
            <w:vAlign w:val="bottom"/>
            <w:gridSpan w:val="30"/>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Role of Independent Consultant</w:t>
              </w:r>
            </w:hyperlink>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41</w:t>
            </w: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Role of Management</w:t>
              </w:r>
            </w:hyperlink>
          </w:p>
        </w:tc>
        <w:tc>
          <w:tcPr>
            <w:tcW w:w="860" w:type="dxa"/>
            <w:vAlign w:val="bottom"/>
            <w:tcBorders>
              <w:top w:val="single" w:sz="8" w:color="0000EE"/>
            </w:tcBorders>
            <w:gridSpan w:val="4"/>
          </w:tcPr>
          <w:p>
            <w:pPr>
              <w:spacing w:after="0"/>
              <w:rPr>
                <w:sz w:val="15"/>
                <w:szCs w:val="15"/>
                <w:color w:val="auto"/>
              </w:rPr>
            </w:pPr>
          </w:p>
        </w:tc>
        <w:tc>
          <w:tcPr>
            <w:tcW w:w="4360" w:type="dxa"/>
            <w:vAlign w:val="bottom"/>
            <w:gridSpan w:val="17"/>
          </w:tcPr>
          <w:p>
            <w:pPr>
              <w:spacing w:after="0"/>
              <w:rPr>
                <w:sz w:val="15"/>
                <w:szCs w:val="15"/>
                <w:color w:val="auto"/>
              </w:rPr>
            </w:pPr>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41</w:t>
            </w:r>
          </w:p>
        </w:tc>
      </w:tr>
      <w:tr>
        <w:trPr>
          <w:trHeight w:val="183"/>
        </w:trPr>
        <w:tc>
          <w:tcPr>
            <w:tcW w:w="180" w:type="dxa"/>
            <w:vAlign w:val="bottom"/>
          </w:tcPr>
          <w:p>
            <w:pPr>
              <w:spacing w:after="0"/>
              <w:rPr>
                <w:sz w:val="15"/>
                <w:szCs w:val="15"/>
                <w:color w:val="auto"/>
              </w:rPr>
            </w:pPr>
          </w:p>
        </w:tc>
        <w:tc>
          <w:tcPr>
            <w:tcW w:w="198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2014 Comparator Group</w:t>
              </w:r>
            </w:hyperlink>
          </w:p>
        </w:tc>
        <w:tc>
          <w:tcPr>
            <w:tcW w:w="5280" w:type="dxa"/>
            <w:vAlign w:val="bottom"/>
            <w:gridSpan w:val="23"/>
          </w:tcPr>
          <w:p>
            <w:pPr>
              <w:spacing w:after="0"/>
              <w:rPr>
                <w:sz w:val="15"/>
                <w:szCs w:val="15"/>
                <w:color w:val="auto"/>
              </w:rPr>
            </w:pPr>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42</w:t>
            </w: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Determining Our Comparator Group</w:t>
              </w:r>
            </w:hyperlink>
          </w:p>
        </w:tc>
        <w:tc>
          <w:tcPr>
            <w:tcW w:w="4020" w:type="dxa"/>
            <w:vAlign w:val="bottom"/>
            <w:gridSpan w:val="15"/>
          </w:tcPr>
          <w:p>
            <w:pPr>
              <w:spacing w:after="0"/>
              <w:rPr>
                <w:sz w:val="15"/>
                <w:szCs w:val="15"/>
                <w:color w:val="auto"/>
              </w:rPr>
            </w:pPr>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42</w:t>
            </w: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How We Use Our Comparator Group</w:t>
              </w:r>
            </w:hyperlink>
          </w:p>
        </w:tc>
        <w:tc>
          <w:tcPr>
            <w:tcW w:w="3940" w:type="dxa"/>
            <w:vAlign w:val="bottom"/>
            <w:gridSpan w:val="13"/>
          </w:tcPr>
          <w:p>
            <w:pPr>
              <w:spacing w:after="0"/>
              <w:rPr>
                <w:sz w:val="15"/>
                <w:szCs w:val="15"/>
                <w:color w:val="auto"/>
              </w:rPr>
            </w:pPr>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42</w:t>
            </w:r>
          </w:p>
        </w:tc>
      </w:tr>
      <w:tr>
        <w:trPr>
          <w:trHeight w:val="183"/>
        </w:trPr>
        <w:tc>
          <w:tcPr>
            <w:tcW w:w="180" w:type="dxa"/>
            <w:vAlign w:val="bottom"/>
          </w:tcPr>
          <w:p>
            <w:pPr>
              <w:spacing w:after="0"/>
              <w:rPr>
                <w:sz w:val="15"/>
                <w:szCs w:val="15"/>
                <w:color w:val="auto"/>
              </w:rPr>
            </w:pPr>
          </w:p>
        </w:tc>
        <w:tc>
          <w:tcPr>
            <w:tcW w:w="7260" w:type="dxa"/>
            <w:vAlign w:val="bottom"/>
            <w:gridSpan w:val="31"/>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Our Pay-Setting Process</w:t>
              </w:r>
            </w:hyperlink>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43</w:t>
            </w:r>
          </w:p>
        </w:tc>
      </w:tr>
      <w:tr>
        <w:trPr>
          <w:trHeight w:val="20"/>
        </w:trPr>
        <w:tc>
          <w:tcPr>
            <w:tcW w:w="18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11"/>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26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How We Determine the Amount for Each Type of Pay</w:t>
              </w:r>
            </w:hyperlink>
          </w:p>
        </w:tc>
        <w:tc>
          <w:tcPr>
            <w:tcW w:w="3000" w:type="dxa"/>
            <w:vAlign w:val="bottom"/>
            <w:gridSpan w:val="8"/>
          </w:tcPr>
          <w:p>
            <w:pPr>
              <w:spacing w:after="0"/>
              <w:rPr>
                <w:sz w:val="15"/>
                <w:szCs w:val="15"/>
                <w:color w:val="auto"/>
              </w:rPr>
            </w:pPr>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45</w:t>
            </w: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900" w:type="dxa"/>
            <w:vAlign w:val="bottom"/>
            <w:gridSpan w:val="30"/>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Long-Term Incentives</w:t>
              </w:r>
            </w:hyperlink>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45</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Annual Cash Incentives</w:t>
              </w:r>
            </w:hyperlink>
          </w:p>
        </w:tc>
        <w:tc>
          <w:tcPr>
            <w:tcW w:w="5000" w:type="dxa"/>
            <w:vAlign w:val="bottom"/>
            <w:gridSpan w:val="19"/>
          </w:tcPr>
          <w:p>
            <w:pPr>
              <w:spacing w:after="0"/>
              <w:rPr>
                <w:sz w:val="15"/>
                <w:szCs w:val="15"/>
                <w:color w:val="auto"/>
              </w:rPr>
            </w:pPr>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49</w:t>
            </w: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59">
              <w:r>
                <w:rPr>
                  <w:rFonts w:ascii="Arial" w:cs="Arial" w:eastAsia="Arial" w:hAnsi="Arial"/>
                  <w:sz w:val="18"/>
                  <w:szCs w:val="18"/>
                  <w:color w:val="0000EE"/>
                  <w:w w:val="98"/>
                </w:rPr>
                <w:t>Base Pay</w:t>
              </w:r>
            </w:hyperlink>
          </w:p>
        </w:tc>
        <w:tc>
          <w:tcPr>
            <w:tcW w:w="6120" w:type="dxa"/>
            <w:vAlign w:val="bottom"/>
            <w:gridSpan w:val="28"/>
          </w:tcPr>
          <w:p>
            <w:pPr>
              <w:spacing w:after="0"/>
              <w:rPr>
                <w:sz w:val="15"/>
                <w:szCs w:val="15"/>
                <w:color w:val="auto"/>
              </w:rPr>
            </w:pPr>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52</w:t>
            </w: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59">
              <w:r>
                <w:rPr>
                  <w:rFonts w:ascii="Arial" w:cs="Arial" w:eastAsia="Arial" w:hAnsi="Arial"/>
                  <w:sz w:val="18"/>
                  <w:szCs w:val="18"/>
                  <w:color w:val="0000EE"/>
                  <w:w w:val="98"/>
                </w:rPr>
                <w:t>Benefits</w:t>
              </w:r>
            </w:hyperlink>
          </w:p>
        </w:tc>
        <w:tc>
          <w:tcPr>
            <w:tcW w:w="6240" w:type="dxa"/>
            <w:vAlign w:val="bottom"/>
            <w:gridSpan w:val="29"/>
          </w:tcPr>
          <w:p>
            <w:pPr>
              <w:spacing w:after="0"/>
              <w:rPr>
                <w:sz w:val="15"/>
                <w:szCs w:val="15"/>
                <w:color w:val="auto"/>
              </w:rPr>
            </w:pPr>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52</w:t>
            </w: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900" w:type="dxa"/>
            <w:vAlign w:val="bottom"/>
            <w:gridSpan w:val="30"/>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Additional Components of Our Executive Compensation Program</w:t>
              </w:r>
            </w:hyperlink>
          </w:p>
        </w:tc>
        <w:tc>
          <w:tcPr>
            <w:tcW w:w="39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53</w:t>
            </w: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380" w:type="dxa"/>
            <w:vAlign w:val="bottom"/>
            <w:gridSpan w:val="2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1">
              <w:r>
                <w:rPr>
                  <w:rFonts w:ascii="Arial" w:cs="Arial" w:eastAsia="Arial" w:hAnsi="Arial"/>
                  <w:sz w:val="18"/>
                  <w:szCs w:val="18"/>
                  <w:color w:val="0000EE"/>
                  <w:w w:val="99"/>
                </w:rPr>
                <w:t>Mitigating Risk</w:t>
              </w:r>
            </w:hyperlink>
          </w:p>
        </w:tc>
        <w:tc>
          <w:tcPr>
            <w:tcW w:w="6080" w:type="dxa"/>
            <w:vAlign w:val="bottom"/>
            <w:gridSpan w:val="27"/>
          </w:tcPr>
          <w:p>
            <w:pPr>
              <w:spacing w:after="0"/>
              <w:rPr>
                <w:sz w:val="21"/>
                <w:szCs w:val="21"/>
                <w:color w:val="auto"/>
              </w:rPr>
            </w:pPr>
          </w:p>
        </w:tc>
        <w:tc>
          <w:tcPr>
            <w:tcW w:w="398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318"/>
        </w:trPr>
        <w:tc>
          <w:tcPr>
            <w:tcW w:w="7440" w:type="dxa"/>
            <w:vAlign w:val="bottom"/>
            <w:gridSpan w:val="32"/>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COMPENSATION COMMITTEE REPORT ON EXECUTIVE COMPENSATION</w:t>
              </w:r>
            </w:hyperlink>
          </w:p>
        </w:tc>
        <w:tc>
          <w:tcPr>
            <w:tcW w:w="39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363"/>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gridSpan w:val="11"/>
          </w:tcPr>
          <w:p>
            <w:pPr>
              <w:ind w:left="140"/>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3980" w:type="dxa"/>
            <w:vAlign w:val="bottom"/>
          </w:tcPr>
          <w:p>
            <w:pPr>
              <w:jc w:val="right"/>
              <w:ind w:right="3650"/>
              <w:spacing w:after="0"/>
              <w:rPr>
                <w:sz w:val="20"/>
                <w:szCs w:val="20"/>
                <w:color w:val="auto"/>
              </w:rPr>
            </w:pPr>
            <w:r>
              <w:rPr>
                <w:rFonts w:ascii="Arial" w:cs="Arial" w:eastAsia="Arial" w:hAnsi="Arial"/>
                <w:sz w:val="20"/>
                <w:szCs w:val="20"/>
                <w:color w:val="auto"/>
              </w:rPr>
              <w:t>i</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6060" w:type="dxa"/>
            <w:vAlign w:val="bottom"/>
            <w:gridSpan w:val="20"/>
          </w:tcPr>
          <w:p>
            <w:pPr>
              <w:spacing w:after="0"/>
              <w:rPr>
                <w:sz w:val="17"/>
                <w:szCs w:val="17"/>
                <w:color w:val="auto"/>
              </w:rPr>
            </w:pPr>
          </w:p>
        </w:tc>
        <w:tc>
          <w:tcPr>
            <w:tcW w:w="4000" w:type="dxa"/>
            <w:vAlign w:val="bottom"/>
          </w:tcPr>
          <w:p>
            <w:pPr>
              <w:spacing w:after="0"/>
              <w:rPr>
                <w:sz w:val="17"/>
                <w:szCs w:val="17"/>
                <w:color w:val="auto"/>
              </w:rPr>
            </w:pPr>
          </w:p>
        </w:tc>
      </w:tr>
      <w:tr>
        <w:trPr>
          <w:trHeight w:val="628"/>
        </w:trPr>
        <w:tc>
          <w:tcPr>
            <w:tcW w:w="7420" w:type="dxa"/>
            <w:vAlign w:val="bottom"/>
            <w:gridSpan w:val="22"/>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COMPENSATION COMMITTEE INTERLOCKS AND INSIDER PARTICIPATION</w:t>
              </w:r>
            </w:hyperlink>
          </w:p>
        </w:tc>
        <w:tc>
          <w:tcPr>
            <w:tcW w:w="40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gridSpan w:val="22"/>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EXECUTIVE COMPENSATION AND OTHER INFORMATION</w:t>
              </w:r>
            </w:hyperlink>
          </w:p>
        </w:tc>
        <w:tc>
          <w:tcPr>
            <w:tcW w:w="40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292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64">
              <w:r>
                <w:rPr>
                  <w:rFonts w:ascii="Arial" w:cs="Arial" w:eastAsia="Arial" w:hAnsi="Arial"/>
                  <w:sz w:val="18"/>
                  <w:szCs w:val="18"/>
                  <w:color w:val="0000EE"/>
                  <w:w w:val="98"/>
                </w:rPr>
                <w:t>2014 Summary Compensation Table</w:t>
              </w:r>
            </w:hyperlink>
          </w:p>
        </w:tc>
        <w:tc>
          <w:tcPr>
            <w:tcW w:w="4320" w:type="dxa"/>
            <w:vAlign w:val="bottom"/>
            <w:gridSpan w:val="10"/>
          </w:tcPr>
          <w:p>
            <w:pPr>
              <w:spacing w:after="0"/>
              <w:rPr>
                <w:sz w:val="18"/>
                <w:szCs w:val="18"/>
                <w:color w:val="auto"/>
              </w:rPr>
            </w:pPr>
          </w:p>
        </w:tc>
        <w:tc>
          <w:tcPr>
            <w:tcW w:w="40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183"/>
        </w:trPr>
        <w:tc>
          <w:tcPr>
            <w:tcW w:w="180" w:type="dxa"/>
            <w:vAlign w:val="bottom"/>
          </w:tcPr>
          <w:p>
            <w:pPr>
              <w:spacing w:after="0"/>
              <w:rPr>
                <w:sz w:val="15"/>
                <w:szCs w:val="15"/>
                <w:color w:val="auto"/>
              </w:rPr>
            </w:pPr>
          </w:p>
        </w:tc>
        <w:tc>
          <w:tcPr>
            <w:tcW w:w="7240" w:type="dxa"/>
            <w:vAlign w:val="bottom"/>
            <w:gridSpan w:val="21"/>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Grants of Plan Based Awards</w:t>
              </w:r>
            </w:hyperlink>
          </w:p>
        </w:tc>
        <w:tc>
          <w:tcPr>
            <w:tcW w:w="40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59</w:t>
            </w:r>
          </w:p>
        </w:tc>
      </w:tr>
      <w:tr>
        <w:trPr>
          <w:trHeight w:val="183"/>
        </w:trPr>
        <w:tc>
          <w:tcPr>
            <w:tcW w:w="180" w:type="dxa"/>
            <w:vAlign w:val="bottom"/>
          </w:tcPr>
          <w:p>
            <w:pPr>
              <w:spacing w:after="0"/>
              <w:rPr>
                <w:sz w:val="15"/>
                <w:szCs w:val="15"/>
                <w:color w:val="auto"/>
              </w:rPr>
            </w:pPr>
          </w:p>
        </w:tc>
        <w:tc>
          <w:tcPr>
            <w:tcW w:w="21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68">
              <w:r>
                <w:rPr>
                  <w:rFonts w:ascii="Arial" w:cs="Arial" w:eastAsia="Arial" w:hAnsi="Arial"/>
                  <w:sz w:val="18"/>
                  <w:szCs w:val="18"/>
                  <w:color w:val="0000EE"/>
                  <w:w w:val="99"/>
                </w:rPr>
                <w:t>Outstanding Equity Awards</w:t>
              </w:r>
            </w:hyperlink>
          </w:p>
        </w:tc>
        <w:tc>
          <w:tcPr>
            <w:tcW w:w="180" w:type="dxa"/>
            <w:vAlign w:val="bottom"/>
            <w:tcBorders>
              <w:top w:val="single" w:sz="8" w:color="0000EE"/>
            </w:tcBorders>
          </w:tcPr>
          <w:p>
            <w:pPr>
              <w:spacing w:after="0"/>
              <w:rPr>
                <w:sz w:val="15"/>
                <w:szCs w:val="15"/>
                <w:color w:val="auto"/>
              </w:rPr>
            </w:pPr>
          </w:p>
        </w:tc>
        <w:tc>
          <w:tcPr>
            <w:tcW w:w="4880" w:type="dxa"/>
            <w:vAlign w:val="bottom"/>
            <w:gridSpan w:val="15"/>
          </w:tcPr>
          <w:p>
            <w:pPr>
              <w:spacing w:after="0"/>
              <w:rPr>
                <w:sz w:val="15"/>
                <w:szCs w:val="15"/>
                <w:color w:val="auto"/>
              </w:rPr>
            </w:pPr>
          </w:p>
        </w:tc>
        <w:tc>
          <w:tcPr>
            <w:tcW w:w="40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61</w:t>
            </w:r>
          </w:p>
        </w:tc>
      </w:tr>
      <w:tr>
        <w:trPr>
          <w:trHeight w:val="183"/>
        </w:trPr>
        <w:tc>
          <w:tcPr>
            <w:tcW w:w="180" w:type="dxa"/>
            <w:vAlign w:val="bottom"/>
          </w:tcPr>
          <w:p>
            <w:pPr>
              <w:spacing w:after="0"/>
              <w:rPr>
                <w:sz w:val="15"/>
                <w:szCs w:val="15"/>
                <w:color w:val="auto"/>
              </w:rPr>
            </w:pPr>
          </w:p>
        </w:tc>
        <w:tc>
          <w:tcPr>
            <w:tcW w:w="282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Option Exercises and Stock Vested</w:t>
              </w:r>
            </w:hyperlink>
          </w:p>
        </w:tc>
        <w:tc>
          <w:tcPr>
            <w:tcW w:w="4420" w:type="dxa"/>
            <w:vAlign w:val="bottom"/>
            <w:gridSpan w:val="11"/>
          </w:tcPr>
          <w:p>
            <w:pPr>
              <w:spacing w:after="0"/>
              <w:rPr>
                <w:sz w:val="15"/>
                <w:szCs w:val="15"/>
                <w:color w:val="auto"/>
              </w:rPr>
            </w:pPr>
          </w:p>
        </w:tc>
        <w:tc>
          <w:tcPr>
            <w:tcW w:w="40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62</w:t>
            </w:r>
          </w:p>
        </w:tc>
      </w:tr>
      <w:tr>
        <w:trPr>
          <w:trHeight w:val="183"/>
        </w:trPr>
        <w:tc>
          <w:tcPr>
            <w:tcW w:w="180" w:type="dxa"/>
            <w:vAlign w:val="bottom"/>
          </w:tcPr>
          <w:p>
            <w:pPr>
              <w:spacing w:after="0"/>
              <w:rPr>
                <w:sz w:val="15"/>
                <w:szCs w:val="15"/>
                <w:color w:val="auto"/>
              </w:rPr>
            </w:pPr>
          </w:p>
        </w:tc>
        <w:tc>
          <w:tcPr>
            <w:tcW w:w="130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Retirement Plan</w:t>
              </w:r>
            </w:hyperlink>
          </w:p>
        </w:tc>
        <w:tc>
          <w:tcPr>
            <w:tcW w:w="5940" w:type="dxa"/>
            <w:vAlign w:val="bottom"/>
            <w:gridSpan w:val="19"/>
          </w:tcPr>
          <w:p>
            <w:pPr>
              <w:spacing w:after="0"/>
              <w:rPr>
                <w:sz w:val="15"/>
                <w:szCs w:val="15"/>
                <w:color w:val="auto"/>
              </w:rPr>
            </w:pPr>
          </w:p>
        </w:tc>
        <w:tc>
          <w:tcPr>
            <w:tcW w:w="40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62</w:t>
            </w:r>
          </w:p>
        </w:tc>
      </w:tr>
      <w:tr>
        <w:trPr>
          <w:trHeight w:val="183"/>
        </w:trPr>
        <w:tc>
          <w:tcPr>
            <w:tcW w:w="180" w:type="dxa"/>
            <w:vAlign w:val="bottom"/>
          </w:tcPr>
          <w:p>
            <w:pPr>
              <w:spacing w:after="0"/>
              <w:rPr>
                <w:sz w:val="15"/>
                <w:szCs w:val="15"/>
                <w:color w:val="auto"/>
              </w:rPr>
            </w:pPr>
          </w:p>
        </w:tc>
        <w:tc>
          <w:tcPr>
            <w:tcW w:w="136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Pension Benefits</w:t>
              </w:r>
            </w:hyperlink>
          </w:p>
        </w:tc>
        <w:tc>
          <w:tcPr>
            <w:tcW w:w="5880" w:type="dxa"/>
            <w:vAlign w:val="bottom"/>
            <w:gridSpan w:val="18"/>
          </w:tcPr>
          <w:p>
            <w:pPr>
              <w:spacing w:after="0"/>
              <w:rPr>
                <w:sz w:val="15"/>
                <w:szCs w:val="15"/>
                <w:color w:val="auto"/>
              </w:rPr>
            </w:pPr>
          </w:p>
        </w:tc>
        <w:tc>
          <w:tcPr>
            <w:tcW w:w="40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64</w:t>
            </w:r>
          </w:p>
        </w:tc>
      </w:tr>
      <w:tr>
        <w:trPr>
          <w:trHeight w:val="183"/>
        </w:trPr>
        <w:tc>
          <w:tcPr>
            <w:tcW w:w="180" w:type="dxa"/>
            <w:vAlign w:val="bottom"/>
          </w:tcPr>
          <w:p>
            <w:pPr>
              <w:spacing w:after="0"/>
              <w:rPr>
                <w:sz w:val="15"/>
                <w:szCs w:val="15"/>
                <w:color w:val="auto"/>
              </w:rPr>
            </w:pPr>
          </w:p>
        </w:tc>
        <w:tc>
          <w:tcPr>
            <w:tcW w:w="7240" w:type="dxa"/>
            <w:vAlign w:val="bottom"/>
            <w:gridSpan w:val="21"/>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Nonqualified Deferred Compensation</w:t>
              </w:r>
            </w:hyperlink>
          </w:p>
        </w:tc>
        <w:tc>
          <w:tcPr>
            <w:tcW w:w="40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64</w:t>
            </w:r>
          </w:p>
        </w:tc>
      </w:tr>
      <w:tr>
        <w:trPr>
          <w:trHeight w:val="183"/>
        </w:trPr>
        <w:tc>
          <w:tcPr>
            <w:tcW w:w="18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Change in Control Agreements</w:t>
              </w:r>
            </w:hyperlink>
          </w:p>
        </w:tc>
        <w:tc>
          <w:tcPr>
            <w:tcW w:w="480" w:type="dxa"/>
            <w:vAlign w:val="bottom"/>
            <w:tcBorders>
              <w:top w:val="single" w:sz="8" w:color="0000EE"/>
            </w:tcBorders>
            <w:gridSpan w:val="5"/>
          </w:tcPr>
          <w:p>
            <w:pPr>
              <w:spacing w:after="0"/>
              <w:rPr>
                <w:sz w:val="15"/>
                <w:szCs w:val="15"/>
                <w:color w:val="auto"/>
              </w:rPr>
            </w:pPr>
          </w:p>
        </w:tc>
        <w:tc>
          <w:tcPr>
            <w:tcW w:w="4280" w:type="dxa"/>
            <w:vAlign w:val="bottom"/>
            <w:gridSpan w:val="9"/>
          </w:tcPr>
          <w:p>
            <w:pPr>
              <w:spacing w:after="0"/>
              <w:rPr>
                <w:sz w:val="15"/>
                <w:szCs w:val="15"/>
                <w:color w:val="auto"/>
              </w:rPr>
            </w:pPr>
          </w:p>
        </w:tc>
        <w:tc>
          <w:tcPr>
            <w:tcW w:w="40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64</w:t>
            </w:r>
          </w:p>
        </w:tc>
      </w:tr>
      <w:tr>
        <w:trPr>
          <w:trHeight w:val="183"/>
        </w:trPr>
        <w:tc>
          <w:tcPr>
            <w:tcW w:w="180" w:type="dxa"/>
            <w:vAlign w:val="bottom"/>
          </w:tcPr>
          <w:p>
            <w:pPr>
              <w:spacing w:after="0"/>
              <w:rPr>
                <w:sz w:val="15"/>
                <w:szCs w:val="15"/>
                <w:color w:val="auto"/>
              </w:rPr>
            </w:pPr>
          </w:p>
        </w:tc>
        <w:tc>
          <w:tcPr>
            <w:tcW w:w="7240" w:type="dxa"/>
            <w:vAlign w:val="bottom"/>
            <w:gridSpan w:val="21"/>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Termination Scenarios</w:t>
              </w:r>
            </w:hyperlink>
          </w:p>
        </w:tc>
        <w:tc>
          <w:tcPr>
            <w:tcW w:w="40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66</w:t>
            </w:r>
          </w:p>
        </w:tc>
      </w:tr>
      <w:tr>
        <w:trPr>
          <w:trHeight w:val="20"/>
        </w:trPr>
        <w:tc>
          <w:tcPr>
            <w:tcW w:w="18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318"/>
        </w:trPr>
        <w:tc>
          <w:tcPr>
            <w:tcW w:w="7420" w:type="dxa"/>
            <w:vAlign w:val="bottom"/>
            <w:gridSpan w:val="22"/>
          </w:tcPr>
          <w:p>
            <w:pP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COMPENSATION OF DIRECTORS</w:t>
              </w:r>
            </w:hyperlink>
          </w:p>
        </w:tc>
        <w:tc>
          <w:tcPr>
            <w:tcW w:w="400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35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Director Compensation for Fiscal Year 2014</w:t>
              </w:r>
            </w:hyperlink>
          </w:p>
        </w:tc>
        <w:tc>
          <w:tcPr>
            <w:tcW w:w="3740" w:type="dxa"/>
            <w:vAlign w:val="bottom"/>
            <w:gridSpan w:val="6"/>
          </w:tcPr>
          <w:p>
            <w:pPr>
              <w:spacing w:after="0"/>
              <w:rPr>
                <w:sz w:val="18"/>
                <w:szCs w:val="18"/>
                <w:color w:val="auto"/>
              </w:rPr>
            </w:pPr>
          </w:p>
        </w:tc>
        <w:tc>
          <w:tcPr>
            <w:tcW w:w="400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318"/>
        </w:trPr>
        <w:tc>
          <w:tcPr>
            <w:tcW w:w="7420" w:type="dxa"/>
            <w:vAlign w:val="bottom"/>
            <w:gridSpan w:val="22"/>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EQUITY COMPENSATION STOCK PLANS</w:t>
              </w:r>
            </w:hyperlink>
          </w:p>
        </w:tc>
        <w:tc>
          <w:tcPr>
            <w:tcW w:w="400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gridSpan w:val="22"/>
          </w:tcPr>
          <w:p>
            <w:pP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REPORT OF THE AUDIT COMMITTEE</w:t>
              </w:r>
            </w:hyperlink>
          </w:p>
        </w:tc>
        <w:tc>
          <w:tcPr>
            <w:tcW w:w="400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gridSpan w:val="22"/>
          </w:tcPr>
          <w:p>
            <w:pPr>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PROPOSAL 2: RATIFICATION OF THE APPOINTMENT OF INDEPENDENT AUDITORS</w:t>
              </w:r>
            </w:hyperlink>
          </w:p>
        </w:tc>
        <w:tc>
          <w:tcPr>
            <w:tcW w:w="400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gridSpan w:val="22"/>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PROPOSAL 3: ADVISORY VOTE ON EXECUTIVE COMPENSATION</w:t>
              </w:r>
            </w:hyperlink>
          </w:p>
        </w:tc>
        <w:tc>
          <w:tcPr>
            <w:tcW w:w="400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gridSpan w:val="22"/>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INCORPORATION BY REFERENCE</w:t>
              </w:r>
            </w:hyperlink>
          </w:p>
        </w:tc>
        <w:tc>
          <w:tcPr>
            <w:tcW w:w="400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gridSpan w:val="22"/>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WEBSITE ACCESS TO REPORTS AND OTHER INFORMATION</w:t>
              </w:r>
            </w:hyperlink>
          </w:p>
        </w:tc>
        <w:tc>
          <w:tcPr>
            <w:tcW w:w="400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363"/>
        </w:trPr>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gridSpan w:val="6"/>
          </w:tcPr>
          <w:p>
            <w:pPr>
              <w:ind w:left="40"/>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000" w:type="dxa"/>
            <w:vAlign w:val="bottom"/>
          </w:tcPr>
          <w:p>
            <w:pPr>
              <w:jc w:val="right"/>
              <w:ind w:right="3630"/>
              <w:spacing w:after="0"/>
              <w:rPr>
                <w:sz w:val="20"/>
                <w:szCs w:val="20"/>
                <w:color w:val="auto"/>
              </w:rPr>
            </w:pPr>
            <w:r>
              <w:rPr>
                <w:rFonts w:ascii="Arial" w:cs="Arial" w:eastAsia="Arial" w:hAnsi="Arial"/>
                <w:sz w:val="20"/>
                <w:szCs w:val="20"/>
                <w:color w:val="auto"/>
              </w:rPr>
              <w:t>ii</w:t>
            </w:r>
          </w:p>
        </w:tc>
      </w:tr>
    </w:tbl>
    <w:p>
      <w:pPr>
        <w:sectPr>
          <w:pgSz w:w="11900" w:h="16838" w:orient="portrait"/>
          <w:cols w:equalWidth="0" w:num="1">
            <w:col w:w="11420"/>
          </w:cols>
          <w:pgMar w:left="240" w:top="446"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Notice of the 2015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Date, Time and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Thursday, May 21, 2015, at 2:00 p.m. CDT</w:t>
      </w:r>
    </w:p>
    <w:p>
      <w:pPr>
        <w:spacing w:after="0"/>
        <w:rPr>
          <w:sz w:val="20"/>
          <w:szCs w:val="20"/>
          <w:color w:val="auto"/>
        </w:rPr>
      </w:pPr>
      <w:r>
        <w:rPr>
          <w:rFonts w:ascii="Arial" w:cs="Arial" w:eastAsia="Arial" w:hAnsi="Arial"/>
          <w:sz w:val="18"/>
          <w:szCs w:val="18"/>
          <w:color w:val="auto"/>
        </w:rPr>
        <w:t>Williams Resource Center Theater, One Williams Center, Tulsa, Oklahoma 74172</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Close of business on March 31, 2015.</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the 13 director nominees identified in this proxy statement each for a one-year term;</w:t>
      </w:r>
    </w:p>
    <w:p>
      <w:pPr>
        <w:ind w:left="340" w:hanging="332"/>
        <w:spacing w:after="0" w:line="23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auditors for 2015;</w:t>
      </w:r>
    </w:p>
    <w:p>
      <w:pPr>
        <w:ind w:left="340" w:hanging="332"/>
        <w:spacing w:after="0" w:line="23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an advisory vote on executive compensation; and</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annual meeting or any adjournment of the meeting.</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Our 2014 Annual Report, which includes a copy of our annual report on Form 10-K, accompanies this proxy statement.</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Even if you intend to be present at the annual meeting, please promptly vote in one of the following ways so that your shares of common stock may be represented and voted at the annual meeting:</w:t>
      </w:r>
    </w:p>
    <w:p>
      <w:pPr>
        <w:ind w:left="340" w:hanging="332"/>
        <w:spacing w:after="0" w:line="23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Call the toll-free telephone number shown on the proxy card;</w:t>
      </w:r>
    </w:p>
    <w:p>
      <w:pPr>
        <w:ind w:left="340" w:hanging="332"/>
        <w:spacing w:after="0" w:line="23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Vote via the Internet on the website shown on the proxy card; or</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 sign, date, and return the enclosed proxy card in the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3384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38455"/>
                    </a:xfrm>
                    <a:prstGeom prst="rect">
                      <a:avLst/>
                    </a:prstGeom>
                    <a:noFill/>
                  </pic:spPr>
                </pic:pic>
              </a:graphicData>
            </a:graphic>
          </wp:anchor>
        </w:drawing>
      </w:r>
    </w:p>
    <w:p>
      <w:pPr>
        <w:spacing w:after="0" w:line="372" w:lineRule="exact"/>
        <w:rPr>
          <w:sz w:val="20"/>
          <w:szCs w:val="20"/>
          <w:color w:val="auto"/>
        </w:rPr>
      </w:pPr>
    </w:p>
    <w:p>
      <w:pPr>
        <w:ind w:left="140" w:right="760"/>
        <w:spacing w:after="0" w:line="271" w:lineRule="auto"/>
        <w:rPr>
          <w:sz w:val="20"/>
          <w:szCs w:val="20"/>
          <w:color w:val="auto"/>
        </w:rPr>
      </w:pPr>
      <w:r>
        <w:rPr>
          <w:rFonts w:ascii="Arial" w:cs="Arial" w:eastAsia="Arial" w:hAnsi="Arial"/>
          <w:sz w:val="18"/>
          <w:szCs w:val="18"/>
          <w:b w:val="1"/>
          <w:bCs w:val="1"/>
          <w:color w:val="auto"/>
        </w:rPr>
        <w:t xml:space="preserve">Important Notice Regarding the Availability of Materials for the Stockholder Meeting to be Held on May 21, 2015: This proxy statement and our 2014 annual report are available at </w:t>
      </w:r>
      <w:r>
        <w:rPr>
          <w:rFonts w:ascii="Arial" w:cs="Arial" w:eastAsia="Arial" w:hAnsi="Arial"/>
          <w:sz w:val="18"/>
          <w:szCs w:val="18"/>
          <w:b w:val="1"/>
          <w:bCs w:val="1"/>
          <w:i w:val="1"/>
          <w:iCs w:val="1"/>
          <w:color w:val="auto"/>
        </w:rPr>
        <w:t>www.edocumentview.com/wmb</w:t>
      </w:r>
      <w:r>
        <w:rPr>
          <w:rFonts w:ascii="Arial" w:cs="Arial" w:eastAsia="Arial" w:hAnsi="Arial"/>
          <w:sz w:val="18"/>
          <w:szCs w:val="18"/>
          <w:b w:val="1"/>
          <w:bCs w:val="1"/>
          <w:color w:val="auto"/>
        </w:rPr>
        <w:t>.</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243330" cy="523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4333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Sarah C. Miller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Secretary</w:t>
      </w:r>
    </w:p>
    <w:p>
      <w:pPr>
        <w:spacing w:after="0" w:line="234" w:lineRule="auto"/>
        <w:rPr>
          <w:sz w:val="20"/>
          <w:szCs w:val="20"/>
          <w:color w:val="auto"/>
        </w:rPr>
      </w:pPr>
      <w:r>
        <w:rPr>
          <w:rFonts w:ascii="Arial" w:cs="Arial" w:eastAsia="Arial" w:hAnsi="Arial"/>
          <w:sz w:val="18"/>
          <w:szCs w:val="18"/>
          <w:i w:val="1"/>
          <w:iCs w:val="1"/>
          <w:color w:val="auto"/>
        </w:rPr>
        <w:t>Interim Senior Vice President and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10, 2015</w:t>
      </w:r>
    </w:p>
    <w:p>
      <w:pPr>
        <w:spacing w:after="0" w:line="176" w:lineRule="exact"/>
        <w:rPr>
          <w:sz w:val="20"/>
          <w:szCs w:val="20"/>
          <w:color w:val="auto"/>
        </w:rPr>
      </w:pPr>
    </w:p>
    <w:p>
      <w:pPr>
        <w:ind w:left="3760"/>
        <w:spacing w:after="0"/>
        <w:rPr>
          <w:sz w:val="20"/>
          <w:szCs w:val="20"/>
          <w:color w:val="auto"/>
        </w:rPr>
      </w:pPr>
      <w:r>
        <w:rPr>
          <w:rFonts w:ascii="Arial" w:cs="Arial" w:eastAsia="Arial" w:hAnsi="Arial"/>
          <w:sz w:val="14"/>
          <w:szCs w:val="14"/>
          <w:i w:val="1"/>
          <w:iCs w:val="1"/>
          <w:color w:val="225CAB"/>
        </w:rPr>
        <w:t>The Williams Companies, Inc. – 2015 Proxy Statement</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205740</wp:posOffset>
            </wp:positionV>
            <wp:extent cx="218694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869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Proxy Statement</w:t>
      </w: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providing this proxy statement as part of a solicitation by the Board of Directors (the “Board”) of The Williams Companies, Inc. for use at our 2015 annual meeting of stockholders and at any adjournment or postponement thereof. We will hold the meeting in the Williams Resource Center Theater, One Williams Center, Tulsa, Oklahoma, 74172 on Thursday, May 21, 2015, at 2:00 p.m., Central Daylight Time.</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permitted by the rules of the Securities and Exchange Commission (“SEC”), we have elected to send you this full set of proxy materials, including a proxy card, and additionally to notify you of the availability of these proxy materials on the Internet. This proxy statement and our 2014 annual report are available at www.edocumentview.com/wmb, which does not have “cookies” that identify visitors to the site.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We expect to mail this proxy statement and accompanying proxy card to stockholders beginning on April 10, 2015.</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Unless the context otherwise requires, all references in this proxy statement to “Williams,” the “Company,” “we,” “us,” and “our” refer to The Williams Companies,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Questions and Answers About the Annual Meeting and Voting</w:t>
      </w:r>
    </w:p>
    <w:p>
      <w:pPr>
        <w:sectPr>
          <w:pgSz w:w="11900" w:h="16838" w:orient="portrait"/>
          <w:cols w:equalWidth="0" w:num="1">
            <w:col w:w="11420"/>
          </w:cols>
          <w:pgMar w:left="240" w:top="459" w:right="239" w:bottom="1440" w:gutter="0" w:footer="0" w:header="0"/>
        </w:sect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WHY AM I RECEIVING THESE MATERIALS?</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 are receiving these materials because, at the close of business on March 31, 2015 (the “Record Date”), you owned shares of Williams common stock. All stockholders of record on the Record Date are entitled to attend and vote at the annual meeting. Each stockholder will have one vote on each matter for every share of common stock owned on the Record Date. On the Record Date, we had 748,912,083 shares of common stock outstanding. (The shares held in our treasury are not considered outstanding and will not be voted or considered present at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WHAT INFORMATION IS CONTAINED IN THIS PROXY STATEMENT?</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proxy statement includes information about the nominees for director and other matters to be voted on at the annual meeting. It also explains the voting process and requirements; describes the compensation of the principal executive officer, the principal financial officer, and the three other most highly compensated officers (collectively referred to as our “Named Executive Officers” or “NEOs”); describes the compensation of our directors; and provides certain other information required under SEC rules.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WHAT MATTERS CAN I VOTE 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You can vote on the following matters:</w:t>
      </w:r>
    </w:p>
    <w:p>
      <w:pPr>
        <w:spacing w:after="0" w:line="5" w:lineRule="exact"/>
        <w:rPr>
          <w:sz w:val="20"/>
          <w:szCs w:val="20"/>
          <w:color w:val="auto"/>
        </w:rPr>
      </w:pPr>
    </w:p>
    <w:p>
      <w:pPr>
        <w:ind w:left="200" w:hanging="200"/>
        <w:spacing w:after="0"/>
        <w:tabs>
          <w:tab w:leader="none" w:pos="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election of our 13 directors, each for a one-year term;</w:t>
      </w:r>
    </w:p>
    <w:p>
      <w:pPr>
        <w:spacing w:after="0" w:line="5" w:lineRule="exact"/>
        <w:rPr>
          <w:rFonts w:ascii="Arial" w:cs="Arial" w:eastAsia="Arial" w:hAnsi="Arial"/>
          <w:sz w:val="16"/>
          <w:szCs w:val="16"/>
          <w:color w:val="auto"/>
        </w:rPr>
      </w:pPr>
    </w:p>
    <w:p>
      <w:pPr>
        <w:ind w:left="200" w:right="180" w:hanging="200"/>
        <w:spacing w:after="0" w:line="246" w:lineRule="auto"/>
        <w:tabs>
          <w:tab w:leader="none" w:pos="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ratification of the appointment of Ernst &amp; Young LLP as our independent auditors for 2015;</w:t>
      </w:r>
    </w:p>
    <w:p>
      <w:pPr>
        <w:ind w:left="200" w:hanging="200"/>
        <w:spacing w:after="0"/>
        <w:tabs>
          <w:tab w:leader="none" w:pos="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advisory vote on executive compensation; and</w:t>
      </w:r>
    </w:p>
    <w:p>
      <w:pPr>
        <w:spacing w:after="0" w:line="5" w:lineRule="exact"/>
        <w:rPr>
          <w:rFonts w:ascii="Arial" w:cs="Arial" w:eastAsia="Arial" w:hAnsi="Arial"/>
          <w:sz w:val="16"/>
          <w:szCs w:val="16"/>
          <w:color w:val="auto"/>
        </w:rPr>
      </w:pPr>
    </w:p>
    <w:p>
      <w:pPr>
        <w:ind w:left="200" w:hanging="200"/>
        <w:spacing w:after="0"/>
        <w:tabs>
          <w:tab w:leader="none" w:pos="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other business properly coming before the annual meeting.</w:t>
      </w:r>
    </w:p>
    <w:p>
      <w:pPr>
        <w:spacing w:after="0" w:line="93" w:lineRule="exact"/>
        <w:rPr>
          <w:sz w:val="20"/>
          <w:szCs w:val="20"/>
          <w:color w:val="auto"/>
        </w:rPr>
      </w:pPr>
    </w:p>
    <w:p>
      <w:pPr>
        <w:jc w:val="both"/>
        <w:ind w:right="160"/>
        <w:spacing w:after="0" w:line="254" w:lineRule="auto"/>
        <w:rPr>
          <w:sz w:val="20"/>
          <w:szCs w:val="20"/>
          <w:color w:val="auto"/>
        </w:rPr>
      </w:pPr>
      <w:r>
        <w:rPr>
          <w:rFonts w:ascii="Arial" w:cs="Arial" w:eastAsia="Arial" w:hAnsi="Arial"/>
          <w:sz w:val="16"/>
          <w:szCs w:val="16"/>
          <w:color w:val="auto"/>
        </w:rPr>
        <w:t xml:space="preserve">In the election of directors, you may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or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each individual nominee or indicate that you wish to </w:t>
      </w:r>
      <w:r>
        <w:rPr>
          <w:rFonts w:ascii="Arial" w:cs="Arial" w:eastAsia="Arial" w:hAnsi="Arial"/>
          <w:sz w:val="16"/>
          <w:szCs w:val="16"/>
          <w:b w:val="1"/>
          <w:bCs w:val="1"/>
          <w:color w:val="auto"/>
        </w:rPr>
        <w:t>ABSTAIN</w:t>
      </w:r>
      <w:r>
        <w:rPr>
          <w:rFonts w:ascii="Arial" w:cs="Arial" w:eastAsia="Arial" w:hAnsi="Arial"/>
          <w:sz w:val="16"/>
          <w:szCs w:val="16"/>
          <w:color w:val="auto"/>
        </w:rPr>
        <w:t xml:space="preserve"> from voting on one or more nominee. For the ratification of Ernst &amp; Young LLP as independent auditors and the advisory vote on executive compensation, you may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or </w:t>
      </w:r>
      <w:r>
        <w:rPr>
          <w:rFonts w:ascii="Arial" w:cs="Arial" w:eastAsia="Arial" w:hAnsi="Arial"/>
          <w:sz w:val="16"/>
          <w:szCs w:val="16"/>
          <w:b w:val="1"/>
          <w:bCs w:val="1"/>
          <w:color w:val="auto"/>
        </w:rPr>
        <w:t xml:space="preserve">AGAINST </w:t>
      </w:r>
      <w:r>
        <w:rPr>
          <w:rFonts w:ascii="Arial" w:cs="Arial" w:eastAsia="Arial" w:hAnsi="Arial"/>
          <w:sz w:val="16"/>
          <w:szCs w:val="16"/>
          <w:color w:val="auto"/>
        </w:rPr>
        <w:t>the respective matter or you may indicate that you wish to</w:t>
      </w:r>
      <w:r>
        <w:rPr>
          <w:rFonts w:ascii="Arial" w:cs="Arial" w:eastAsia="Arial" w:hAnsi="Arial"/>
          <w:sz w:val="16"/>
          <w:szCs w:val="16"/>
          <w:b w:val="1"/>
          <w:bCs w:val="1"/>
          <w:color w:val="auto"/>
        </w:rPr>
        <w:t xml:space="preserve"> ABSTAIN </w:t>
      </w:r>
      <w:r>
        <w:rPr>
          <w:rFonts w:ascii="Arial" w:cs="Arial" w:eastAsia="Arial" w:hAnsi="Arial"/>
          <w:sz w:val="16"/>
          <w:szCs w:val="16"/>
          <w:color w:val="auto"/>
        </w:rPr>
        <w:t>from voting on the matter.</w:t>
      </w:r>
    </w:p>
    <w:p>
      <w:pPr>
        <w:spacing w:after="0" w:line="94" w:lineRule="exact"/>
        <w:rPr>
          <w:sz w:val="20"/>
          <w:szCs w:val="20"/>
          <w:color w:val="auto"/>
        </w:rPr>
      </w:pPr>
    </w:p>
    <w:p>
      <w:pPr>
        <w:jc w:val="both"/>
        <w:ind w:right="160"/>
        <w:spacing w:after="0" w:line="249" w:lineRule="auto"/>
        <w:rPr>
          <w:sz w:val="20"/>
          <w:szCs w:val="20"/>
          <w:color w:val="auto"/>
        </w:rPr>
      </w:pPr>
      <w:r>
        <w:rPr>
          <w:rFonts w:ascii="Arial" w:cs="Arial" w:eastAsia="Arial" w:hAnsi="Arial"/>
          <w:sz w:val="16"/>
          <w:szCs w:val="16"/>
          <w:color w:val="auto"/>
        </w:rPr>
        <w:t>We are not aware of any matter to be presented at the annual meeting that is not included in this proxy statement. However, your proxy authorizes the persons named on the proxy card to take action on additional matters that may properly arise. These individuals will exercise their best judgment to vote on any other matter, including a question of adjourning the annual meeting. All votes are confidential unless disclosure is legally necessary.</w:t>
      </w:r>
    </w:p>
    <w:p>
      <w:pPr>
        <w:spacing w:after="0" w:line="200" w:lineRule="exact"/>
        <w:rPr>
          <w:sz w:val="20"/>
          <w:szCs w:val="20"/>
          <w:color w:val="auto"/>
        </w:rPr>
      </w:pPr>
    </w:p>
    <w:p>
      <w:pPr>
        <w:sectPr>
          <w:pgSz w:w="11900" w:h="16838" w:orient="portrait"/>
          <w:cols w:equalWidth="0" w:num="2">
            <w:col w:w="5480" w:space="300"/>
            <w:col w:w="5640"/>
          </w:cols>
          <w:pgMar w:left="240" w:top="459" w:right="239" w:bottom="1440" w:gutter="0" w:footer="0" w:header="0"/>
          <w:type w:val="continuous"/>
        </w:sectPr>
      </w:pPr>
    </w:p>
    <w:p>
      <w:pPr>
        <w:spacing w:after="0" w:line="67" w:lineRule="exact"/>
        <w:rPr>
          <w:sz w:val="20"/>
          <w:szCs w:val="20"/>
          <w:color w:val="auto"/>
        </w:rPr>
      </w:pPr>
    </w:p>
    <w:tbl>
      <w:tblPr>
        <w:tblLayout w:type="fixed"/>
        <w:tblInd w:w="370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340" w:type="dxa"/>
            <w:vAlign w:val="bottom"/>
          </w:tcPr>
          <w:p>
            <w:pPr>
              <w:jc w:val="right"/>
              <w:spacing w:after="0"/>
              <w:rPr>
                <w:sz w:val="20"/>
                <w:szCs w:val="20"/>
                <w:color w:val="auto"/>
              </w:rPr>
            </w:pPr>
            <w:r>
              <w:rPr>
                <w:rFonts w:ascii="Arial" w:cs="Arial" w:eastAsia="Arial" w:hAnsi="Arial"/>
                <w:sz w:val="20"/>
                <w:szCs w:val="20"/>
                <w:color w:val="auto"/>
              </w:rPr>
              <w:t>1</w:t>
            </w:r>
          </w:p>
        </w:tc>
      </w:tr>
    </w:tbl>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225CAB"/>
        </w:rPr>
        <w:t>HOW DOES THE BOARD RECOMMEND THAT I VOTE ON EACH OF THE MATTERS?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FOR ITEMS 1-3: </w:t>
      </w:r>
      <w:r>
        <w:rPr>
          <w:rFonts w:ascii="Arial" w:cs="Arial" w:eastAsia="Arial" w:hAnsi="Arial"/>
          <w:sz w:val="16"/>
          <w:szCs w:val="16"/>
          <w:color w:val="auto"/>
        </w:rPr>
        <w:t>The Board recommends that you vote</w:t>
      </w:r>
      <w:r>
        <w:rPr>
          <w:rFonts w:ascii="Arial" w:cs="Arial" w:eastAsia="Arial" w:hAnsi="Arial"/>
          <w:sz w:val="16"/>
          <w:szCs w:val="16"/>
          <w:b w:val="1"/>
          <w:bCs w:val="1"/>
          <w:color w:val="auto"/>
        </w:rPr>
        <w:t xml:space="preserve"> FOR </w:t>
      </w:r>
      <w:r>
        <w:rPr>
          <w:rFonts w:ascii="Arial" w:cs="Arial" w:eastAsia="Arial" w:hAnsi="Arial"/>
          <w:sz w:val="16"/>
          <w:szCs w:val="16"/>
          <w:color w:val="auto"/>
        </w:rPr>
        <w:t>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director nominees,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Ernst &amp; Young LLP as our independent auditors for 2015,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on an advisory basis, of the Company’s executive compensation.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225CAB"/>
        </w:rPr>
        <w:t>WHAT IS THE DIFFERENCE BETWEEN A STOCKHOLDER OF RECORD AND A STOCKHOLDER WHO HOLDS STOCK IN STREET NAME?</w:t>
      </w:r>
    </w:p>
    <w:p>
      <w:pPr>
        <w:spacing w:after="0" w:line="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your shares are registered in your name with our transfer agent, Computershare Trust Company, N.A. (“Computershare”), you are a stockholder of record, and the Company’s proxy materials, including a proxy card, were sent to you directly by Computershare.</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you hold your shares with a broker or in an account at a bank, then you are a beneficial owner of shares held in “street name.” The Company’s proxy materials were forwarded to you by your broker or bank, who is considered the stockholder of record for purposes of voting at the annual meeting. Your broker or bank should also have provided you with instructions for directing the broker or bank how to vote your shares.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HOW DO I VOTE IF I AM A STOCKHOLDER OF RECORD?</w:t>
      </w:r>
    </w:p>
    <w:p>
      <w:pPr>
        <w:spacing w:after="0" w:line="79"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As a stockholder of record, you may vote your shares in any one of the following ways:</w:t>
      </w:r>
    </w:p>
    <w:p>
      <w:pPr>
        <w:spacing w:after="0" w:line="47"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Call the toll-free number shown on the proxy card;</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Vote on the Internet on the website shown on the proxy card;</w:t>
      </w:r>
    </w:p>
    <w:p>
      <w:pPr>
        <w:spacing w:after="0" w:line="72" w:lineRule="exact"/>
        <w:rPr>
          <w:rFonts w:ascii="Arial" w:cs="Arial" w:eastAsia="Arial" w:hAnsi="Arial"/>
          <w:sz w:val="16"/>
          <w:szCs w:val="16"/>
          <w:color w:val="auto"/>
        </w:rPr>
      </w:pPr>
    </w:p>
    <w:p>
      <w:pPr>
        <w:ind w:left="220" w:hanging="212"/>
        <w:spacing w:after="0" w:line="260" w:lineRule="auto"/>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Mark, sign, date, and return the enclosed proxy card in the postage-paid envelope; or</w:t>
      </w:r>
    </w:p>
    <w:p>
      <w:pPr>
        <w:spacing w:after="0" w:line="47" w:lineRule="exact"/>
        <w:rPr>
          <w:rFonts w:ascii="Arial" w:cs="Arial" w:eastAsia="Arial" w:hAnsi="Arial"/>
          <w:sz w:val="16"/>
          <w:szCs w:val="16"/>
          <w:color w:val="auto"/>
        </w:rPr>
      </w:pPr>
    </w:p>
    <w:p>
      <w:pPr>
        <w:ind w:left="220" w:hanging="212"/>
        <w:spacing w:after="0"/>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Vote in person at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HOW DO I VOTE IF I OWN SHARES IN STREET NAME?</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an owner of shares in street name, you have the right to direct your broker or bank how to vote your shares by following the instructions sent to you by your broker or bank. You will receive proxy materials and voting instructions for each account you have with a broker or bank. If you wish to change the directions you have provided your broker or bank, you should follow the instructions sent to you by your broker or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an owner of shares in street name, you are also invited to attend the annual meeting. However, since you are not the stockholder of record, you may not vote your shares in person at the meeting unless you obtain a signed legal proxy from your broker or bank giving you the right to vote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-1449705</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-909320</wp:posOffset>
            </wp:positionV>
            <wp:extent cx="218694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86940" cy="171450"/>
                    </a:xfrm>
                    <a:prstGeom prst="rect">
                      <a:avLst/>
                    </a:prstGeom>
                    <a:noFill/>
                  </pic:spPr>
                </pic:pic>
              </a:graphicData>
            </a:graphic>
          </wp:anchor>
        </w:drawing>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225CAB"/>
        </w:rPr>
        <w:t>WILL MY SHARES HELD IN STREET NAME BE VOTED IF I DO NOT TELL MY BROKER OR BANK HOW I WANT THEM VOTED?</w:t>
      </w:r>
    </w:p>
    <w:p>
      <w:pPr>
        <w:spacing w:after="0" w:line="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rules of the New York Stock Exchange (“NYSE”), if you are a beneficial owner, your broker or bank only has discretion to vote on certain “routine” matters without your voting instructions. The proposal to ratify Ernst &amp; Young LLP as our independent auditors is considered a routine matter. However, the election of directors and the advisory vote on executive compensation are not considered routine matters. Accordingly, your broker or bank will not be permitted to vote your shares on such matters unless you provide proper voting instructions.</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225CAB"/>
        </w:rPr>
        <w:t>HOW DO I VOTE IF I PARTICIPATE IN THE WILLIAMS INVESTMENT PLUS PLAN?</w:t>
      </w:r>
    </w:p>
    <w:p>
      <w:pPr>
        <w:spacing w:after="0" w:line="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you hold shares in The Williams Investment Plus Plan, Computershare sent you the Company’s proxy materials directly. You may direct the trustee of the plan how to vote your plan shares by calling the toll-free number shown on the proxy card, voting on the Internet on the website shown on the proxy card, or completing and returning the enclosed proxy card in the postage-paid envelope. Please note, in order to permit the trustee to tally and vote all shares of Williams common stock held in The Williams Investment Plus Plan, your instructions, whether by Internet, by telephone, or by proxy card, must be completed prior to 1:00 a.m. Central Daylight Time on Monday, May 18, 2015. You may not change your vote related to such plan shares after this deadline.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 do not instruct the trustee how to vote, your plan shares will be voted by the trustee in the same proportion that it votes shares in other plan accounts for which it did receive timely voting instructions. The proportional voting policy is detailed under the terms of the plan and the trust agreement.</w:t>
      </w:r>
    </w:p>
    <w:p>
      <w:pPr>
        <w:spacing w:after="0" w:line="980" w:lineRule="exact"/>
        <w:rPr>
          <w:sz w:val="20"/>
          <w:szCs w:val="20"/>
          <w:color w:val="auto"/>
        </w:rPr>
      </w:pPr>
    </w:p>
    <w:p>
      <w:pPr>
        <w:sectPr>
          <w:pgSz w:w="11900" w:h="16838" w:orient="portrait"/>
          <w:cols w:equalWidth="0" w:num="2">
            <w:col w:w="5480" w:space="300"/>
            <w:col w:w="5480"/>
          </w:cols>
          <w:pgMar w:left="240" w:top="459" w:right="399" w:bottom="1440" w:gutter="0" w:footer="0" w:header="0"/>
        </w:sectPr>
      </w:pPr>
    </w:p>
    <w:p>
      <w:pPr>
        <w:spacing w:after="0" w:line="81" w:lineRule="exact"/>
        <w:rPr>
          <w:sz w:val="20"/>
          <w:szCs w:val="20"/>
          <w:color w:val="auto"/>
        </w:rPr>
      </w:pPr>
    </w:p>
    <w:tbl>
      <w:tblPr>
        <w:tblLayout w:type="fixed"/>
        <w:tblInd w:w="370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340" w:type="dxa"/>
            <w:vAlign w:val="bottom"/>
          </w:tcPr>
          <w:p>
            <w:pPr>
              <w:jc w:val="right"/>
              <w:spacing w:after="0"/>
              <w:rPr>
                <w:sz w:val="20"/>
                <w:szCs w:val="20"/>
                <w:color w:val="auto"/>
              </w:rPr>
            </w:pPr>
            <w:r>
              <w:rPr>
                <w:rFonts w:ascii="Arial" w:cs="Arial" w:eastAsia="Arial" w:hAnsi="Arial"/>
                <w:sz w:val="20"/>
                <w:szCs w:val="20"/>
                <w:color w:val="auto"/>
              </w:rPr>
              <w:t>2</w:t>
            </w:r>
          </w:p>
        </w:tc>
      </w:tr>
    </w:tbl>
    <w:p>
      <w:pPr>
        <w:sectPr>
          <w:pgSz w:w="11900" w:h="16838" w:orient="portrait"/>
          <w:cols w:equalWidth="0" w:num="1">
            <w:col w:w="11260"/>
          </w:cols>
          <w:pgMar w:left="240" w:top="459" w:right="3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225CAB"/>
        </w:rPr>
        <w:t>WHAT IF I RETURN MY PROXY CARD OR VOTE BY INTERNET OR PHONE BUT DO NOT SPECIFY HOW I WANT TO VOTE?</w:t>
      </w:r>
    </w:p>
    <w:p>
      <w:pPr>
        <w:spacing w:after="0" w:line="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 are a stockholder of record and sign and return your proxy card or complete the Internet or telephone voting procedures, but do not specify how you want to vote your shares, we will vote them as follows:</w:t>
      </w:r>
    </w:p>
    <w:p>
      <w:pPr>
        <w:spacing w:after="0" w:line="19"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the director nominees.</w:t>
      </w:r>
    </w:p>
    <w:p>
      <w:pPr>
        <w:spacing w:after="0" w:line="59" w:lineRule="exact"/>
        <w:rPr>
          <w:rFonts w:ascii="Arial" w:cs="Arial" w:eastAsia="Arial" w:hAnsi="Arial"/>
          <w:sz w:val="16"/>
          <w:szCs w:val="16"/>
          <w:color w:val="auto"/>
        </w:rPr>
      </w:pPr>
    </w:p>
    <w:p>
      <w:pPr>
        <w:ind w:firstLine="8"/>
        <w:spacing w:after="0" w:line="281" w:lineRule="auto"/>
        <w:tabs>
          <w:tab w:leader="none" w:pos="165"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ratifying the appointment of Ernst &amp; Young LLP as our</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auditors for the fiscal year ending December 31, 2015.</w:t>
      </w:r>
    </w:p>
    <w:p>
      <w:pPr>
        <w:spacing w:after="0" w:line="1" w:lineRule="exact"/>
        <w:rPr>
          <w:rFonts w:ascii="Arial" w:cs="Arial" w:eastAsia="Arial" w:hAnsi="Arial"/>
          <w:sz w:val="16"/>
          <w:szCs w:val="16"/>
          <w:b w:val="1"/>
          <w:bCs w:val="1"/>
          <w:color w:val="auto"/>
        </w:rPr>
      </w:pPr>
    </w:p>
    <w:p>
      <w:pPr>
        <w:ind w:firstLine="8"/>
        <w:spacing w:after="0" w:line="286" w:lineRule="auto"/>
        <w:tabs>
          <w:tab w:leader="none" w:pos="214"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 Company’s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CAN I CHANGE MY VOTE OR REVOKE MY PROXY?</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you are a stockholder of record, you can change your vote within the regular voting deadlines by voting again by telephone or on the Internet, executing and returning a later dated proxy card, or attending the annual meeting and voting in person. If you are a stockholder of record, you can revoke your proxy by delivering a written notice of your revocation to our Corporate Secretary at One Williams Center, MD 47, Tulsa, Oklahoma 74172.</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WHAT SHARES ARE INCLUDED ON MY PROXY CARD?</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 will receive one proxy card for all the shares of common stock you hold as a stockholder of record (in certificate form or in book-entry form) and in The Williams Investment Plus Plan.</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hold your shares in street name, you will receive voting instructions for each account you have with a broker or bank.</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HOW MAY I OBTAIN DIRECTIONS TO ATTEND THE MEETING?</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 need assistance with directions to attend the meeting, call us at 1-800-600-3782 or write us at The Williams Companies, Inc., One Williams Center, MD 50, Tulsa, Oklahoma 74172, Attn: Investor Relations.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WHAT CAN I BRING INTO THE MEETING?</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security reasons, briefcases, backpacks, and other large bags are not permitted in the theater. All such items can be checked with security upon arrival at the theater.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WHAT IF I HAVE A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-944880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-405130</wp:posOffset>
            </wp:positionV>
            <wp:extent cx="218694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86940" cy="171450"/>
                    </a:xfrm>
                    <a:prstGeom prst="rect">
                      <a:avLst/>
                    </a:prstGeom>
                    <a:noFill/>
                  </pic:spPr>
                </pic:pic>
              </a:graphicData>
            </a:graphic>
          </wp:anchor>
        </w:drawing>
      </w:r>
    </w:p>
    <w:p>
      <w:pPr>
        <w:spacing w:after="0" w:line="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can provide reasonable assistance to help you participate in the meeting if you tell us about your disability and your plans to attend. Please call or write us at least two weeks before the meeting at the telephone number or address listed in the answer to the question captioned “</w:t>
      </w:r>
      <w:r>
        <w:rPr>
          <w:rFonts w:ascii="Arial" w:cs="Arial" w:eastAsia="Arial" w:hAnsi="Arial"/>
          <w:sz w:val="16"/>
          <w:szCs w:val="16"/>
          <w:i w:val="1"/>
          <w:iCs w:val="1"/>
          <w:color w:val="auto"/>
        </w:rPr>
        <w:t>How may I obtain</w:t>
      </w:r>
      <w:r>
        <w:rPr>
          <w:rFonts w:ascii="Arial" w:cs="Arial" w:eastAsia="Arial" w:hAnsi="Arial"/>
          <w:sz w:val="16"/>
          <w:szCs w:val="16"/>
          <w:color w:val="auto"/>
        </w:rPr>
        <w:t xml:space="preserve"> </w:t>
      </w:r>
      <w:r>
        <w:rPr>
          <w:rFonts w:ascii="Arial" w:cs="Arial" w:eastAsia="Arial" w:hAnsi="Arial"/>
          <w:sz w:val="16"/>
          <w:szCs w:val="16"/>
          <w:i w:val="1"/>
          <w:iCs w:val="1"/>
          <w:color w:val="auto"/>
        </w:rPr>
        <w:t>directions to attend the meeting?</w:t>
      </w:r>
      <w:r>
        <w:rPr>
          <w:rFonts w:ascii="Arial" w:cs="Arial" w:eastAsia="Arial" w:hAnsi="Arial"/>
          <w:sz w:val="16"/>
          <w:szCs w:val="16"/>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WHAT IS THE QUORUM REQUIREMENT FOR THE MEETING?</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There must be quorum to take action at the meeting (other than adjournment or postponement of the meeting). A quorum will exist at the meeting if stockholders holding a majority of the shares entitled to vote at the annual meeting are present in person or by proxy. Stockholders of record who return a proxy or vote in person at the meeting will be considered part of the quorum. Abstentions are counted as “present” for determining a quorum. Uninstructed broker votes, also called “broker non-votes,” are also counted as “present” for determining a quorum so long as there is at least one matter that a broker may vote on without specific instructions from a beneficial owner. See “</w:t>
      </w:r>
      <w:r>
        <w:rPr>
          <w:rFonts w:ascii="Arial" w:cs="Arial" w:eastAsia="Arial" w:hAnsi="Arial"/>
          <w:sz w:val="16"/>
          <w:szCs w:val="16"/>
          <w:i w:val="1"/>
          <w:iCs w:val="1"/>
          <w:color w:val="auto"/>
        </w:rPr>
        <w:t>Will my shares held in street</w:t>
      </w:r>
      <w:r>
        <w:rPr>
          <w:rFonts w:ascii="Arial" w:cs="Arial" w:eastAsia="Arial" w:hAnsi="Arial"/>
          <w:sz w:val="16"/>
          <w:szCs w:val="16"/>
          <w:color w:val="auto"/>
        </w:rPr>
        <w:t xml:space="preserve"> </w:t>
      </w:r>
      <w:r>
        <w:rPr>
          <w:rFonts w:ascii="Arial" w:cs="Arial" w:eastAsia="Arial" w:hAnsi="Arial"/>
          <w:sz w:val="16"/>
          <w:szCs w:val="16"/>
          <w:i w:val="1"/>
          <w:iCs w:val="1"/>
          <w:color w:val="auto"/>
        </w:rPr>
        <w:t>name be voted if I do not tell my broker how I want them voted?</w:t>
      </w:r>
      <w:r>
        <w:rPr>
          <w:rFonts w:ascii="Arial" w:cs="Arial" w:eastAsia="Arial" w:hAnsi="Arial"/>
          <w:sz w:val="16"/>
          <w:szCs w:val="16"/>
          <w:color w:val="auto"/>
        </w:rPr>
        <w:t>”</w:t>
      </w:r>
    </w:p>
    <w:p>
      <w:pPr>
        <w:spacing w:after="0" w:line="18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225CAB"/>
        </w:rPr>
        <w:t>WHAT IS THE VOTING REQUIREMENT TO APPROVE EACH OF THE MATTERS?</w:t>
      </w:r>
    </w:p>
    <w:p>
      <w:pPr>
        <w:spacing w:after="0" w:line="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Items 1-3 may be approved by a majority of the votes cast. Other matters that may properly come before the annual meeting may require more than a majority vote under our By-laws, our Restated Certificate of Incorporation, the laws of Delaware, or other applicable laws.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HOW WILL THE VOTES BE COUNTED?</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Abstentions from voting on the election of a director nominee, the ratification of the appointment of independent auditors, and the advisory vote on executive compensation will not be considered a vote cast with respect to those matters and therefore will have no effect on the outcome of such matters.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Broker non-votes (i.e., shares held by brokers or nominees that cannot be voted because the beneficial owner did not provide specific voting instructions) will not be treated as a vote cast for any matter.</w:t>
      </w:r>
    </w:p>
    <w:p>
      <w:pPr>
        <w:spacing w:after="0" w:line="443" w:lineRule="exact"/>
        <w:rPr>
          <w:sz w:val="20"/>
          <w:szCs w:val="20"/>
          <w:color w:val="auto"/>
        </w:rPr>
      </w:pPr>
    </w:p>
    <w:p>
      <w:pPr>
        <w:sectPr>
          <w:pgSz w:w="11900" w:h="16838" w:orient="portrait"/>
          <w:cols w:equalWidth="0" w:num="2">
            <w:col w:w="5480" w:space="300"/>
            <w:col w:w="5480"/>
          </w:cols>
          <w:pgMar w:left="240" w:top="459" w:right="399" w:bottom="1440" w:gutter="0" w:footer="0" w:header="0"/>
        </w:sectPr>
      </w:pPr>
    </w:p>
    <w:p>
      <w:pPr>
        <w:spacing w:after="0" w:line="77" w:lineRule="exact"/>
        <w:rPr>
          <w:sz w:val="20"/>
          <w:szCs w:val="20"/>
          <w:color w:val="auto"/>
        </w:rPr>
      </w:pPr>
    </w:p>
    <w:tbl>
      <w:tblPr>
        <w:tblLayout w:type="fixed"/>
        <w:tblInd w:w="370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340" w:type="dxa"/>
            <w:vAlign w:val="bottom"/>
          </w:tcPr>
          <w:p>
            <w:pPr>
              <w:jc w:val="right"/>
              <w:spacing w:after="0"/>
              <w:rPr>
                <w:sz w:val="20"/>
                <w:szCs w:val="20"/>
                <w:color w:val="auto"/>
              </w:rPr>
            </w:pPr>
            <w:r>
              <w:rPr>
                <w:rFonts w:ascii="Arial" w:cs="Arial" w:eastAsia="Arial" w:hAnsi="Arial"/>
                <w:sz w:val="20"/>
                <w:szCs w:val="20"/>
                <w:color w:val="auto"/>
              </w:rPr>
              <w:t>3</w:t>
            </w:r>
          </w:p>
        </w:tc>
      </w:tr>
    </w:tbl>
    <w:p>
      <w:pPr>
        <w:sectPr>
          <w:pgSz w:w="11900" w:h="16838" w:orient="portrait"/>
          <w:cols w:equalWidth="0" w:num="1">
            <w:col w:w="11260"/>
          </w:cols>
          <w:pgMar w:left="240" w:top="459" w:right="3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WHO WILL COUNT THE VOTES?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representative of Computershare will act as the inspector of elections and count the votes.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WHERE CAN I FIND THE VOTING RESULTS OF THE MEETING?</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will announce the voting results at the meeting. We also will disclose the voting results in a current report on Form 8-K within four business days after the annual meeting.</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225CAB"/>
        </w:rPr>
        <w:t>MAY I PROPOSE ACTIONS FOR CONSIDERATION AT THE 2016 MEETING OF STOCKHOLDERS?</w:t>
      </w:r>
    </w:p>
    <w:p>
      <w:pPr>
        <w:spacing w:after="0" w:line="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Yes. For your proposal to be considered for inclusion in our proxy statement for the 2016 meeting in accordance with Rule 14a-8 under the Securities Exchange Act of 1934, as amended (the “Exchange Act”), the SEC’s rule on stockholder proposals, we must receive your written proposal no later than December 13, 2015. If we change the date of the 2016 meeting by more than 30 days from the anniversary of the date of this year’s meeting, then the deadline to submit proposals will be a reasonable time before we begin to print and mail our proxy materials. Your proposal, including the manner in which you submit it, must comply with Rule 14a-8.</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you wish to bring business (including a director nomination) before our 2016 annual meeting of stockholders other than through a stockholder proposal pursuant to the SEC’s Rule 14a-8, we must receive a written notice of the proposal no earlier than the close of business on January 22, 2016 and no later than the close of business on February 21, 2016. Your submission must meet the requirements set forth in our By-laws. Proposals should be addressed to our Corporate Secretary at One Williams Center, MD 47, Tulsa, Oklahoma 74172.</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WHO IS PAYING FOR THIS PROXY SOLICITATION?</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Your proxy is solicited by the Board. We expect to solicit proxies in person, by telephone, or by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electronic means. We have retained MacKenzie Partners, Inc. to assist in this solicitation. We expect to pay MacKenzie Partners, Inc. an estimated $20,000 in fees, plus expenses and disbursements.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-1210310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-669925</wp:posOffset>
            </wp:positionV>
            <wp:extent cx="218694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86940" cy="171450"/>
                    </a:xfrm>
                    <a:prstGeom prst="rect">
                      <a:avLst/>
                    </a:prstGeom>
                    <a:noFill/>
                  </pic:spPr>
                </pic:pic>
              </a:graphicData>
            </a:graphic>
          </wp:anchor>
        </w:drawing>
      </w:r>
    </w:p>
    <w:p>
      <w:pPr>
        <w:spacing w:after="0" w:line="7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also will pay the expenses of this proxy solicitation including the cost of preparing and mailing the proxy statement and accompanying proxy card. Such expenses may include the charges and expenses of banks, brokerage firms, and other custodians, nominees, or fiduciaries for forwarding proxy materials to beneficial owners of our common stock.</w:t>
      </w:r>
    </w:p>
    <w:p>
      <w:pPr>
        <w:spacing w:after="0" w:line="1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225CAB"/>
        </w:rPr>
        <w:t>ARE YOU “HOUSEHOLDING” FOR STOCKHOLDERS OF RECORD SHARING THE SAME ADDRESS?</w:t>
      </w:r>
    </w:p>
    <w:p>
      <w:pPr>
        <w:spacing w:after="0" w:line="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SEC’s rules permit us to deliver a single copy of this proxy statement and our 2014 annual report to an address shared by two or more stockholders. This method of delivery is referred to as “householding” and can significantly reduce our printing and mailing costs. It also reduces the volume of mail you receive. We will deliver only one proxy statement and 2014 Annual Report to multiple registered stockholders sharing an address, unless we receive instructions to the contrary from one or more of the stockholders. We will still send each stockholder an individual proxy card.</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you would like to receive more than one copy of this proxy statement and our 2014 annual report, we will promptly send you additional copies upon request directed to our transfer agent, Computershare. You can call Computershare toll free at 1-800-884-4225. You can call the same phone number to notify us that you wish to receive a separate annual report or proxy statement in the future, or to request delivery of a single copy of any materials if you are receiving multiple copies now.</w:t>
      </w:r>
    </w:p>
    <w:p>
      <w:pPr>
        <w:spacing w:after="0" w:line="1455" w:lineRule="exact"/>
        <w:rPr>
          <w:sz w:val="20"/>
          <w:szCs w:val="20"/>
          <w:color w:val="auto"/>
        </w:rPr>
      </w:pPr>
    </w:p>
    <w:p>
      <w:pPr>
        <w:sectPr>
          <w:pgSz w:w="11900" w:h="16838" w:orient="portrait"/>
          <w:cols w:equalWidth="0" w:num="2">
            <w:col w:w="5480" w:space="300"/>
            <w:col w:w="5480"/>
          </w:cols>
          <w:pgMar w:left="240" w:top="459" w:right="399" w:bottom="1440" w:gutter="0" w:footer="0" w:header="0"/>
        </w:sectPr>
      </w:pPr>
    </w:p>
    <w:p>
      <w:pPr>
        <w:spacing w:after="0" w:line="71" w:lineRule="exact"/>
        <w:rPr>
          <w:sz w:val="20"/>
          <w:szCs w:val="20"/>
          <w:color w:val="auto"/>
        </w:rPr>
      </w:pPr>
    </w:p>
    <w:tbl>
      <w:tblPr>
        <w:tblLayout w:type="fixed"/>
        <w:tblInd w:w="370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340" w:type="dxa"/>
            <w:vAlign w:val="bottom"/>
          </w:tcPr>
          <w:p>
            <w:pPr>
              <w:jc w:val="right"/>
              <w:spacing w:after="0"/>
              <w:rPr>
                <w:sz w:val="20"/>
                <w:szCs w:val="20"/>
                <w:color w:val="auto"/>
              </w:rPr>
            </w:pPr>
            <w:r>
              <w:rPr>
                <w:rFonts w:ascii="Arial" w:cs="Arial" w:eastAsia="Arial" w:hAnsi="Arial"/>
                <w:sz w:val="20"/>
                <w:szCs w:val="20"/>
                <w:color w:val="auto"/>
              </w:rPr>
              <w:t>4</w:t>
            </w:r>
          </w:p>
        </w:tc>
      </w:tr>
    </w:tbl>
    <w:p>
      <w:pPr>
        <w:sectPr>
          <w:pgSz w:w="11900" w:h="16838" w:orient="portrait"/>
          <w:cols w:equalWidth="0" w:num="1">
            <w:col w:w="11260"/>
          </w:cols>
          <w:pgMar w:left="240" w:top="459" w:right="3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205740</wp:posOffset>
            </wp:positionV>
            <wp:extent cx="216979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697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Governance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General</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Board believes that strong corporate governance is critical to achieving our performance goals and to maintaining the trust and confidence of investors, employees, customers, business partners, regulatory agencies, and other stakeholders.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Corporate Governance Guidelines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Corporate Governance Guidelines provide a framework for the governance of Williams as a whole and also address the operation, structure, and practice of the Board and its committees. The Nominating and Governance Committee reviews these guidelines at least annually.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Strategic Planning</w:t>
      </w:r>
    </w:p>
    <w:p>
      <w:pPr>
        <w:spacing w:after="0" w:line="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the year, the Board meets with management to discuss and approve strategic plans, financial goals, capital spending, and other factors critical to successful performance. The Board also conducts an annual review of Company strategy, including macro trends and their strategic implications and strategy related to each business unit, finance, engineering and construction, and operational discipline. During Board meetings, directors review key issues and financial performance. In 2014 the Board met privately with the Chief Executive Officer (“CEO”) at least six times and met in executive session at each regular Board meeting and additionally as required. Further, the CEO communicates regularly with the Board on important business opportunities and developments. In 2014, the Board held one of its regularly scheduled meetings at one of our field locations to further educate the directors about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Board/Committee/Director Evaluations</w:t>
      </w:r>
    </w:p>
    <w:p>
      <w:pPr>
        <w:spacing w:after="0" w:line="7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Board and each of its committees conduct annual self-assessments. In addition, the Nominating and Governance Committee evaluates each individual director annually.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Chief Executive Officer Evaluation and Management Succession</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and the CEO annually discuss and collaborate to set the CEO’s performance goals and objectives. The Board meets annually in executive session to assess the CEO’s performance. The Board maintains a process for planning orderly succession for the CEO and other executive officer positions and oversees executive officer development.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Board Leadership Structure</w:t>
      </w:r>
    </w:p>
    <w:p>
      <w:pPr>
        <w:spacing w:after="0" w:line="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Pursuant to our By-laws and Corporate Governance Guidelines, the positions of Chairman of the Board and President and CEO may be held by the same or different persons. At this time, the Board believes that the Company and its stockholders are best served by a leadership structure in which an independent director serves as Chairman of the Board. In this regard, Alan S. Armstrong serves as President and CEO of Williams and Frank T. MacInnis serves as Chairman of the Board. The Board believes that having an independent Chairman aids in the Board’s oversight of management and promotes communications among the Board, the CEO, and other senior management. In addition, having a separate Chairman of the Board and CEO allows Mr. Armstrong to focus on his responsibilities in managing the Company.</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responsibilities of the Chairman of the Board include: (1) presiding over meetings of the Board and executive sessions of the independent directors;</w:t>
      </w:r>
    </w:p>
    <w:p>
      <w:pPr>
        <w:spacing w:after="0" w:line="5" w:lineRule="exact"/>
        <w:rPr>
          <w:sz w:val="20"/>
          <w:szCs w:val="20"/>
          <w:color w:val="auto"/>
        </w:rPr>
      </w:pPr>
    </w:p>
    <w:p>
      <w:pPr>
        <w:jc w:val="both"/>
        <w:ind w:firstLine="8"/>
        <w:spacing w:after="0" w:line="246" w:lineRule="auto"/>
        <w:tabs>
          <w:tab w:leader="none" w:pos="2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overseeing the planning of the annual Board calendar and, in consultation with the CEO, scheduling and setting the agendas for meetings of the Board and its committees; (3) overseeing the appropriate flow of information to the Board; (4) acting as liaison between the independent directors and management;</w:t>
      </w: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assisting the Chairs of the various Board committees in preparing agendas for</w:t>
      </w:r>
    </w:p>
    <w:p>
      <w:pPr>
        <w:spacing w:after="0" w:line="148" w:lineRule="exact"/>
        <w:rPr>
          <w:sz w:val="20"/>
          <w:szCs w:val="20"/>
          <w:color w:val="auto"/>
        </w:rPr>
      </w:pPr>
    </w:p>
    <w:tbl>
      <w:tblPr>
        <w:tblLayout w:type="fixed"/>
        <w:tblInd w:w="370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340" w:type="dxa"/>
            <w:vAlign w:val="bottom"/>
          </w:tcPr>
          <w:p>
            <w:pPr>
              <w:jc w:val="right"/>
              <w:spacing w:after="0"/>
              <w:rPr>
                <w:sz w:val="20"/>
                <w:szCs w:val="20"/>
                <w:color w:val="auto"/>
              </w:rPr>
            </w:pPr>
            <w:r>
              <w:rPr>
                <w:rFonts w:ascii="Arial" w:cs="Arial" w:eastAsia="Arial" w:hAnsi="Arial"/>
                <w:sz w:val="20"/>
                <w:szCs w:val="20"/>
                <w:color w:val="auto"/>
              </w:rPr>
              <w:t>5</w:t>
            </w: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205740</wp:posOffset>
            </wp:positionV>
            <wp:extent cx="216979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697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committee meetings; (6) chairing the Company’s annual meeting of stockholders; (7) being available for consultation and communication with stockholders as appropriate; and (8) performing other functions and responsibilities referred to in the Corporate Governance Guidelines or requested by the Board from time to time.</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believes that having an independent Chairman of the Board is the most appropriate leadership structure for the Board at this time. However, it has the flexibility to revise this structure in the future based upon the Board’s assessment of the Company’s needs and leadership from time to time. In this regard, the Board periodically reviews the Board structure and leadership as well as director succession planning.</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Board Oversight of Williams’ Risk Management Processes</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use the Committee of Sponsoring Organizations of the Treadway Commission Enterprise Risk Management (“ERM”) framework to provide positive assurance to management and the Board that risks are effectively managed to enable achievement of strategic, financial, operating, compliance, and reporting objectives. Our risk assessment process is integrated with our strategy process to better facilitate identification of the most significant risks to achieving our strategic objectives. We maintain a decentralized, cross functional approach to ERM; management functions – including internal audit, accounting, legal, and compliance – support our strategy and risk assessment with established control activities, monitoring, and reporting. The Board maintains responsibility for oversight of the Company’s risk management activities. In conjunction with the Board’s strategy review</w:t>
      </w:r>
      <w:r>
        <w:rPr>
          <w:rFonts w:ascii="Arial" w:cs="Arial" w:eastAsia="Arial" w:hAnsi="Arial"/>
          <w:sz w:val="16"/>
          <w:szCs w:val="16"/>
          <w:b w:val="1"/>
          <w:bCs w:val="1"/>
          <w:color w:val="auto"/>
        </w:rPr>
        <w:t>,</w:t>
      </w:r>
      <w:r>
        <w:rPr>
          <w:rFonts w:ascii="Arial" w:cs="Arial" w:eastAsia="Arial" w:hAnsi="Arial"/>
          <w:sz w:val="16"/>
          <w:szCs w:val="16"/>
          <w:color w:val="auto"/>
        </w:rPr>
        <w:t xml:space="preserve"> management presented to the Board an enterprise-wide risk appetite statement, strategic risk profile, and management’s risk response via risk management and monitoring metrics. The Board considers whether management has appropriately identified our risk appetite, has established effective enterprise risk management processes, and is managing the risk portfolio consistent with such processes considering the risk appetite. Throughout the year, management reviews any critical issues or opportunities with the Board or relevant committees. Also, as stated in “Proposal 1 – Election of Directors,” the Board has determined that it is important to have individuals on the Board with strategy development and risk management experience, and many of our directors have such experience.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Executive Sessions of Non-Employee Directors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Non-employee directors meet without management present at each regularly scheduled Board meeting. Additional meetings may be called by the Chairman in his discretion or at the request of the Board.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Director Independence</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Corporate Governance Guidelines require that the Board make an annual determination regarding the independence of each of our directors. The Board made these determinations in March 2015, based on an annual evaluation performed by and recommendations made by the Nominating and Governance Committee.</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Board has affirmatively determined that each of Mr. Cleveland, Dr. Cooper, Mr. Hagg, Ms. Hinshaw, Mr. Izzo, Mr. MacInnis, Mr. Mandelblatt, Mr. Meister, Mr. Nance, Mr. Smith, Ms. Stoney, and Ms. Sugg is an independent director. In so doing, the Board determined that each of these individuals met the “bright line” independence standards of the NYSE. In addition, the Board considered the following transactions and relationships between each director and any member of his or her immediate family on one hand, and Williams and its affiliates on the other, to confirm that those transactions and relationships do not vitiate the affected director’s independence. We discuss these relationships below.</w:t>
      </w:r>
    </w:p>
    <w:p>
      <w:pPr>
        <w:spacing w:after="0" w:line="109" w:lineRule="exact"/>
        <w:rPr>
          <w:sz w:val="20"/>
          <w:szCs w:val="20"/>
          <w:color w:val="auto"/>
        </w:rPr>
      </w:pPr>
    </w:p>
    <w:p>
      <w:pPr>
        <w:jc w:val="both"/>
        <w:ind w:left="540" w:hanging="316"/>
        <w:spacing w:after="0" w:line="253"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Ms. Hinshaw is a director of Aegion Corporation (“Aegion”), which provided ordinary course pipeline construction and maintenance services to Williams. In determining that the relationship was not material, the Board considered these facts: the relationship arises only because Ms. Hinshaw is a director of Aegion; she has no material interest in any transactions between Aegion and Williams; and she had no role in any such transactions.</w:t>
      </w:r>
    </w:p>
    <w:p>
      <w:pPr>
        <w:spacing w:after="0" w:line="106" w:lineRule="exact"/>
        <w:rPr>
          <w:rFonts w:ascii="Arial" w:cs="Arial" w:eastAsia="Arial" w:hAnsi="Arial"/>
          <w:sz w:val="16"/>
          <w:szCs w:val="16"/>
          <w:color w:val="auto"/>
        </w:rPr>
      </w:pPr>
    </w:p>
    <w:p>
      <w:pPr>
        <w:ind w:left="540" w:hanging="316"/>
        <w:spacing w:after="0" w:line="260"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Izzo is Chief Executive Officer of Public Service Energy Group (“PSEG”), for whom Williams has provided ordinary course transportation services since at least 2010. In determining that the relationship was not</w:t>
      </w:r>
    </w:p>
    <w:p>
      <w:pPr>
        <w:spacing w:after="0" w:line="123" w:lineRule="exact"/>
        <w:rPr>
          <w:sz w:val="20"/>
          <w:szCs w:val="20"/>
          <w:color w:val="auto"/>
        </w:rPr>
      </w:pPr>
    </w:p>
    <w:tbl>
      <w:tblPr>
        <w:tblLayout w:type="fixed"/>
        <w:tblInd w:w="370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340" w:type="dxa"/>
            <w:vAlign w:val="bottom"/>
          </w:tcPr>
          <w:p>
            <w:pPr>
              <w:jc w:val="right"/>
              <w:spacing w:after="0"/>
              <w:rPr>
                <w:sz w:val="20"/>
                <w:szCs w:val="20"/>
                <w:color w:val="auto"/>
              </w:rPr>
            </w:pPr>
            <w:r>
              <w:rPr>
                <w:rFonts w:ascii="Arial" w:cs="Arial" w:eastAsia="Arial" w:hAnsi="Arial"/>
                <w:sz w:val="20"/>
                <w:szCs w:val="20"/>
                <w:color w:val="auto"/>
              </w:rPr>
              <w:t>6</w:t>
            </w: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205740</wp:posOffset>
            </wp:positionV>
            <wp:extent cx="216979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697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580"/>
        <w:spacing w:after="0" w:line="253" w:lineRule="auto"/>
        <w:rPr>
          <w:sz w:val="20"/>
          <w:szCs w:val="20"/>
          <w:color w:val="auto"/>
        </w:rPr>
      </w:pPr>
      <w:r>
        <w:rPr>
          <w:rFonts w:ascii="Arial" w:cs="Arial" w:eastAsia="Arial" w:hAnsi="Arial"/>
          <w:sz w:val="16"/>
          <w:szCs w:val="16"/>
          <w:color w:val="auto"/>
        </w:rPr>
        <w:t>material, the Board considered these facts: payments made by PSEG to Williams in any of the last three fiscal years are less than 2% of PSEG’s revenue for the respective year; Mr. Izzo has no material interest in any transactions between PSEG and Williams; and he had no role in any such transactions.</w:t>
      </w:r>
    </w:p>
    <w:p>
      <w:pPr>
        <w:spacing w:after="0" w:line="107" w:lineRule="exact"/>
        <w:rPr>
          <w:sz w:val="20"/>
          <w:szCs w:val="20"/>
          <w:color w:val="auto"/>
        </w:rPr>
      </w:pPr>
    </w:p>
    <w:p>
      <w:pPr>
        <w:jc w:val="both"/>
        <w:ind w:left="540" w:hanging="316"/>
        <w:spacing w:after="0" w:line="253"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Nance is a director of Newfield Exploration Company (“Newfield”), for whom Williams provided ordinary course midstream and transportation services. In determining that the relationship was not material, the Board considered these facts: the relationship arises only because Mr. Nance is a director of Newfield; he has no material interest in any transactions between Newfield and Williams; and he had no role in any such transactions.</w:t>
      </w:r>
    </w:p>
    <w:p>
      <w:pPr>
        <w:spacing w:after="0" w:line="106" w:lineRule="exact"/>
        <w:rPr>
          <w:rFonts w:ascii="Arial" w:cs="Arial" w:eastAsia="Arial" w:hAnsi="Arial"/>
          <w:sz w:val="16"/>
          <w:szCs w:val="16"/>
          <w:color w:val="auto"/>
        </w:rPr>
      </w:pPr>
    </w:p>
    <w:p>
      <w:pPr>
        <w:jc w:val="both"/>
        <w:ind w:left="540" w:hanging="316"/>
        <w:spacing w:after="0" w:line="251"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Ms. Sugg is a director of Denbury Resources, Inc. (“Denbury”), from whom Williams purchased gas for fuel and shrink and for whom Williams provided midstream and transportation services in the ordinary course of business. In determining that the relationship was not material, the Board considered these facts: the relationship arises only because Ms. Sugg is a director of Denbury; she has no material interest in any transactions between Denbury and Williams; and she had no role in any such transactions.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No member of our Board serves as an executive officer of any non-profit organization that has received contributions from Williams exceeding the greater of $1 million or 2% of such organization’s consolidated gross revenues in any single fiscal year of the preceding three years. Further, in accordance with our director independence standards, the Board determined that there were no discretionary contributions to a non-profit organization with which a director, or a director’s spouse, has a relationship that affects the director’s independence.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Mr. Armstrong, the current Chief Executive Officer and President and a director, is not independent, because of his role as an executive officer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Transactions with Related Persons</w:t>
      </w:r>
    </w:p>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has adopted policies and procedures with respect to related person transactions. Any proposed related person transaction involving a member of the Board must be reviewed and approved by the full Board. The Audit Committee reviews proposed transactions with any other related persons, promoters, and certain control persons that are required to be disclosed in our filings with the SEC. If it is impractical to convene an Audit Committee meeting before a related person transaction occurs, the Chair of the committee may review the transaction alone.</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No director may participate in any review, consideration or approval of any related person transaction with respect to which such director or any of his or her immediate family members is the related person. The Audit Committee or its Chair, or the Board, as the case may be, in good faith, may approve only those related person transactions that are in, or not inconsistent with, Williams’ best interests and the best interests of our stockholders. In conducting a review of whether a transaction is in, or is not inconsistent with the best interest of Williams and its stockholders, the Audit Committee or its chair, or the Board, as the case may be, will consider the benefits of the transaction to the Company, the availability of other sources for comparable products or services, the terms of the transaction, the terms available to unrelated third parties and to employees generally, and the nature of the relationship between the Company and the related party, among other things. During 2014, there were no transactions that required review or approval by the Audit Committee or the full Board.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Outside Board Service</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corporate governance guidelines limit the service of our board members on publicly held companies and investment company boards to no more than four (including our Board), provided that our CEO is limited to service on one non-affiliated public company board.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Majority Vote Standard</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Board has adopted a majority vote standard for the election of directors in uncontested elections. Each of our directors has executed an irrevocable resignation that will become effective if he or she fails to receive a majority</w:t>
      </w:r>
    </w:p>
    <w:p>
      <w:pPr>
        <w:spacing w:after="0" w:line="123" w:lineRule="exact"/>
        <w:rPr>
          <w:sz w:val="20"/>
          <w:szCs w:val="20"/>
          <w:color w:val="auto"/>
        </w:rPr>
      </w:pPr>
    </w:p>
    <w:tbl>
      <w:tblPr>
        <w:tblLayout w:type="fixed"/>
        <w:tblInd w:w="370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340" w:type="dxa"/>
            <w:vAlign w:val="bottom"/>
          </w:tcPr>
          <w:p>
            <w:pPr>
              <w:jc w:val="right"/>
              <w:spacing w:after="0"/>
              <w:rPr>
                <w:sz w:val="20"/>
                <w:szCs w:val="20"/>
                <w:color w:val="auto"/>
              </w:rPr>
            </w:pPr>
            <w:r>
              <w:rPr>
                <w:rFonts w:ascii="Arial" w:cs="Arial" w:eastAsia="Arial" w:hAnsi="Arial"/>
                <w:sz w:val="20"/>
                <w:szCs w:val="20"/>
                <w:color w:val="auto"/>
              </w:rPr>
              <w:t>7</w:t>
            </w: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205740</wp:posOffset>
            </wp:positionV>
            <wp:extent cx="216979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697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of the votes cast in an uncontested election and the Board accepts such resignation. If a director fails to receive the required votes for election, the Nominating and Governance Committee will act on an expedited basis to determine whether to accept the resignation. The Nominating and Governance Committee will then submit its recommendation for consideration by the Board. The Board will act on the recommendation and publicly disclose its decision within 90 days from the date of the certification of the election results. The Board expects the director whose tendered resignation is under consideration to abstain from participating in any decision regarding that resignation. The Nominating and Governance Committee and the Board may consider any factors they deem relevant in deciding whether to accept a director’s tendered resignation. If the Board accepts a director’s resignation, the Nominating and Governance Committee will recommend to the Board whether to fill such vacancy or reduce the size of the Board.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Director Attendance at Annual Meeting of Stockholders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 policy that all Board members are expected to attend our annual meeting of stockholders. All of the then-current Board members attended the 2014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Communications with Directors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Any stockholder or other interested party may communicate with our directors, individually or as a group, by contacting our Corporate Secretary or the Chairman of the Board. The contact information is maintained through the Investors page of our website at www.williams.com.</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current contact information is as follows:</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Williams Companies,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One Williams Center, MD 49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Tulsa, Oklahoma 74172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Attn: Chairman of the Board</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Williams Companies,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One Williams Center, MD 47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Tulsa, Oklahoma 74172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Attn: Corporate Secretary</w:t>
      </w:r>
    </w:p>
    <w:p>
      <w:pPr>
        <w:spacing w:after="0" w:line="113"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Communications will be forwarded to the relevant director(s) except for solicitations or other matters not related to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Code of Ethics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adopted a code of ethics specific to the CEO, Chief Financial Officer, and Chief Accounting Officer, which was filed with the SEC as Exhibit 14 to our annual report on Form 10-K for the year ended December 31, 2003. In addition, we have adopted a code of business conduct that is applicable to all employees and directors.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How to Obtain Copies of our Governance-Related Materials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are available through the Investors page of our website.</w:t>
      </w:r>
    </w:p>
    <w:p>
      <w:pPr>
        <w:spacing w:after="0" w:line="127"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Corporate Governance Guidelines,</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Code of Ethics for Senior Officers,</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Williams Code of Business Conduct; and</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Charters for the Audit Committee, the Compensation Committee, the Finance Committee, and the Nominating and Governance Committee.</w:t>
      </w:r>
    </w:p>
    <w:p>
      <w:pPr>
        <w:spacing w:after="0" w:line="11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If you want to receive these documents in print, please send a written request to our Corporate Secretary at The Williams Companies, Inc., One Williams Center, MD 47, Tulsa, Oklahoma 74172.</w:t>
      </w:r>
    </w:p>
    <w:p>
      <w:pPr>
        <w:spacing w:after="0" w:line="123" w:lineRule="exact"/>
        <w:rPr>
          <w:sz w:val="20"/>
          <w:szCs w:val="20"/>
          <w:color w:val="auto"/>
        </w:rPr>
      </w:pPr>
    </w:p>
    <w:tbl>
      <w:tblPr>
        <w:tblLayout w:type="fixed"/>
        <w:tblInd w:w="370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340" w:type="dxa"/>
            <w:vAlign w:val="bottom"/>
          </w:tcPr>
          <w:p>
            <w:pPr>
              <w:jc w:val="right"/>
              <w:spacing w:after="0"/>
              <w:rPr>
                <w:sz w:val="20"/>
                <w:szCs w:val="20"/>
                <w:color w:val="auto"/>
              </w:rPr>
            </w:pPr>
            <w:r>
              <w:rPr>
                <w:rFonts w:ascii="Arial" w:cs="Arial" w:eastAsia="Arial" w:hAnsi="Arial"/>
                <w:sz w:val="20"/>
                <w:szCs w:val="20"/>
                <w:color w:val="auto"/>
              </w:rPr>
              <w:t>8</w:t>
            </w:r>
          </w:p>
        </w:tc>
      </w:tr>
    </w:tbl>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205740</wp:posOffset>
            </wp:positionV>
            <wp:extent cx="216979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697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and Committee Structure and Meetings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Board Meetings</w:t>
      </w:r>
    </w:p>
    <w:p>
      <w:pPr>
        <w:spacing w:after="0" w:line="70"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Board members actively participate in Board and committee meetings. Generally, materials are distributed one week in advance of each regular Board meeting so that members can be prepared for the discussion.</w:t>
      </w:r>
    </w:p>
    <w:p>
      <w:pPr>
        <w:spacing w:after="0" w:line="88"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The full Board met 16 times in 2014. Further, the non-employee directors met seven times without the CEO present. Each director attended at least 75% of the aggregate of the Board and applicable committee meetings held in 2014.</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Board Committees</w:t>
      </w:r>
    </w:p>
    <w:p>
      <w:pPr>
        <w:spacing w:after="0" w:line="70"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The Board has four standing committees — Audit, Compensation, Finance, and Nominating and Governance. Each standing committee has a charter adopted by the Board. The standing committees report to the full Board at each regular Board meeting. The Board elects each committee’s members and chair annually. The Board also has a Special Safety Committee. Each committee has authority to retain, approve fees for, and terminate advisors as it deems necessary to assist in the fulfillment of its responsibilities. The chart below shows the current composition of the committees and the number of committee meetings in 2014.</w:t>
      </w:r>
    </w:p>
    <w:p>
      <w:pPr>
        <w:spacing w:after="0" w:line="400"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2780" w:type="dxa"/>
            <w:vAlign w:val="bottom"/>
            <w:tcBorders>
              <w:top w:val="single" w:sz="8" w:color="auto"/>
              <w:left w:val="single" w:sz="8" w:color="auto"/>
              <w:right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c>
          <w:tcPr>
            <w:tcW w:w="1820" w:type="dxa"/>
            <w:vAlign w:val="bottom"/>
            <w:tcBorders>
              <w:top w:val="single" w:sz="8" w:color="auto"/>
              <w:right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spacing w:after="0"/>
              <w:rPr>
                <w:sz w:val="24"/>
                <w:szCs w:val="24"/>
                <w:color w:val="auto"/>
              </w:rPr>
            </w:pPr>
          </w:p>
        </w:tc>
        <w:tc>
          <w:tcPr>
            <w:tcW w:w="1920" w:type="dxa"/>
            <w:vAlign w:val="bottom"/>
            <w:tcBorders>
              <w:top w:val="single" w:sz="8" w:color="auto"/>
              <w:right w:val="single" w:sz="8" w:color="auto"/>
            </w:tcBorders>
          </w:tcPr>
          <w:p>
            <w:pPr>
              <w:jc w:val="center"/>
              <w:ind w:left="579"/>
              <w:spacing w:after="0"/>
              <w:rPr>
                <w:sz w:val="20"/>
                <w:szCs w:val="20"/>
                <w:color w:val="auto"/>
              </w:rPr>
            </w:pPr>
            <w:r>
              <w:rPr>
                <w:rFonts w:ascii="Arial" w:cs="Arial" w:eastAsia="Arial" w:hAnsi="Arial"/>
                <w:sz w:val="16"/>
                <w:szCs w:val="16"/>
                <w:b w:val="1"/>
                <w:bCs w:val="1"/>
                <w:color w:val="auto"/>
              </w:rPr>
              <w:t>Nominating &amp;</w:t>
            </w:r>
          </w:p>
        </w:tc>
        <w:tc>
          <w:tcPr>
            <w:tcW w:w="2020" w:type="dxa"/>
            <w:vAlign w:val="bottom"/>
            <w:tcBorders>
              <w:top w:val="single" w:sz="8" w:color="auto"/>
              <w:right w:val="single" w:sz="8" w:color="auto"/>
            </w:tcBorders>
          </w:tcPr>
          <w:p>
            <w:pPr>
              <w:spacing w:after="0"/>
              <w:rPr>
                <w:sz w:val="24"/>
                <w:szCs w:val="24"/>
                <w:color w:val="auto"/>
              </w:rPr>
            </w:pPr>
          </w:p>
        </w:tc>
      </w:tr>
      <w:tr>
        <w:trPr>
          <w:trHeight w:val="207"/>
        </w:trPr>
        <w:tc>
          <w:tcPr>
            <w:tcW w:w="2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Director</w:t>
            </w:r>
          </w:p>
        </w:tc>
        <w:tc>
          <w:tcPr>
            <w:tcW w:w="1440" w:type="dxa"/>
            <w:vAlign w:val="bottom"/>
            <w:tcBorders>
              <w:bottom w:val="single" w:sz="8" w:color="auto"/>
              <w:right w:val="single" w:sz="8" w:color="auto"/>
            </w:tcBorders>
          </w:tcPr>
          <w:p>
            <w:pPr>
              <w:jc w:val="center"/>
              <w:ind w:left="559"/>
              <w:spacing w:after="0"/>
              <w:rPr>
                <w:sz w:val="20"/>
                <w:szCs w:val="20"/>
                <w:color w:val="auto"/>
              </w:rPr>
            </w:pPr>
            <w:r>
              <w:rPr>
                <w:rFonts w:ascii="Arial" w:cs="Arial" w:eastAsia="Arial" w:hAnsi="Arial"/>
                <w:sz w:val="16"/>
                <w:szCs w:val="16"/>
                <w:b w:val="1"/>
                <w:bCs w:val="1"/>
                <w:color w:val="auto"/>
                <w:w w:val="97"/>
              </w:rPr>
              <w:t>Audit</w:t>
            </w:r>
          </w:p>
        </w:tc>
        <w:tc>
          <w:tcPr>
            <w:tcW w:w="1820" w:type="dxa"/>
            <w:vAlign w:val="bottom"/>
            <w:tcBorders>
              <w:bottom w:val="single" w:sz="8" w:color="auto"/>
              <w:right w:val="single" w:sz="8" w:color="auto"/>
            </w:tcBorders>
          </w:tcPr>
          <w:p>
            <w:pPr>
              <w:jc w:val="center"/>
              <w:ind w:left="559"/>
              <w:spacing w:after="0"/>
              <w:rPr>
                <w:sz w:val="20"/>
                <w:szCs w:val="20"/>
                <w:color w:val="auto"/>
              </w:rPr>
            </w:pPr>
            <w:r>
              <w:rPr>
                <w:rFonts w:ascii="Arial" w:cs="Arial" w:eastAsia="Arial" w:hAnsi="Arial"/>
                <w:sz w:val="16"/>
                <w:szCs w:val="16"/>
                <w:b w:val="1"/>
                <w:bCs w:val="1"/>
                <w:color w:val="auto"/>
              </w:rPr>
              <w:t>Compensation</w:t>
            </w:r>
          </w:p>
        </w:tc>
        <w:tc>
          <w:tcPr>
            <w:tcW w:w="1460" w:type="dxa"/>
            <w:vAlign w:val="bottom"/>
            <w:tcBorders>
              <w:bottom w:val="single" w:sz="8" w:color="auto"/>
              <w:right w:val="single" w:sz="8" w:color="auto"/>
            </w:tcBorders>
          </w:tcPr>
          <w:p>
            <w:pPr>
              <w:jc w:val="center"/>
              <w:ind w:left="559"/>
              <w:spacing w:after="0"/>
              <w:rPr>
                <w:sz w:val="20"/>
                <w:szCs w:val="20"/>
                <w:color w:val="auto"/>
              </w:rPr>
            </w:pPr>
            <w:r>
              <w:rPr>
                <w:rFonts w:ascii="Arial" w:cs="Arial" w:eastAsia="Arial" w:hAnsi="Arial"/>
                <w:sz w:val="16"/>
                <w:szCs w:val="16"/>
                <w:b w:val="1"/>
                <w:bCs w:val="1"/>
                <w:color w:val="auto"/>
              </w:rPr>
              <w:t>Finance</w:t>
            </w:r>
          </w:p>
        </w:tc>
        <w:tc>
          <w:tcPr>
            <w:tcW w:w="1920" w:type="dxa"/>
            <w:vAlign w:val="bottom"/>
            <w:tcBorders>
              <w:bottom w:val="single" w:sz="8" w:color="auto"/>
              <w:right w:val="single" w:sz="8" w:color="auto"/>
            </w:tcBorders>
          </w:tcPr>
          <w:p>
            <w:pPr>
              <w:jc w:val="center"/>
              <w:ind w:left="579"/>
              <w:spacing w:after="0"/>
              <w:rPr>
                <w:sz w:val="20"/>
                <w:szCs w:val="20"/>
                <w:color w:val="auto"/>
              </w:rPr>
            </w:pPr>
            <w:r>
              <w:rPr>
                <w:rFonts w:ascii="Arial" w:cs="Arial" w:eastAsia="Arial" w:hAnsi="Arial"/>
                <w:sz w:val="16"/>
                <w:szCs w:val="16"/>
                <w:b w:val="1"/>
                <w:bCs w:val="1"/>
                <w:color w:val="auto"/>
              </w:rPr>
              <w:t>Governance</w:t>
            </w:r>
          </w:p>
        </w:tc>
        <w:tc>
          <w:tcPr>
            <w:tcW w:w="20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Special Safety</w:t>
            </w:r>
          </w:p>
        </w:tc>
      </w:tr>
      <w:tr>
        <w:trPr>
          <w:trHeight w:val="277"/>
        </w:trPr>
        <w:tc>
          <w:tcPr>
            <w:tcW w:w="2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Alan S. Armstrong</w:t>
            </w:r>
          </w:p>
        </w:tc>
        <w:tc>
          <w:tcPr>
            <w:tcW w:w="144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325"/>
        </w:trPr>
        <w:tc>
          <w:tcPr>
            <w:tcW w:w="2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Joseph R. Cleveland</w:t>
            </w:r>
          </w:p>
        </w:tc>
        <w:tc>
          <w:tcPr>
            <w:tcW w:w="14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47"/>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339"/>
        </w:trPr>
        <w:tc>
          <w:tcPr>
            <w:tcW w:w="2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Kathleen B. Cooper</w:t>
            </w:r>
          </w:p>
        </w:tc>
        <w:tc>
          <w:tcPr>
            <w:tcW w:w="14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47"/>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325"/>
        </w:trPr>
        <w:tc>
          <w:tcPr>
            <w:tcW w:w="2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John A. Hagg</w:t>
            </w:r>
          </w:p>
        </w:tc>
        <w:tc>
          <w:tcPr>
            <w:tcW w:w="14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47"/>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339"/>
        </w:trPr>
        <w:tc>
          <w:tcPr>
            <w:tcW w:w="2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Juanita H. Hinshaw</w:t>
            </w:r>
          </w:p>
        </w:tc>
        <w:tc>
          <w:tcPr>
            <w:tcW w:w="14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47"/>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325"/>
        </w:trPr>
        <w:tc>
          <w:tcPr>
            <w:tcW w:w="2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Ralph Izzo</w:t>
            </w:r>
          </w:p>
        </w:tc>
        <w:tc>
          <w:tcPr>
            <w:tcW w:w="14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47"/>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339"/>
        </w:trPr>
        <w:tc>
          <w:tcPr>
            <w:tcW w:w="2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Frank T. MacInnis</w:t>
            </w:r>
          </w:p>
        </w:tc>
        <w:tc>
          <w:tcPr>
            <w:tcW w:w="14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47"/>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325"/>
        </w:trPr>
        <w:tc>
          <w:tcPr>
            <w:tcW w:w="2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Eric W. Mandelblatt</w:t>
            </w:r>
          </w:p>
        </w:tc>
        <w:tc>
          <w:tcPr>
            <w:tcW w:w="14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47"/>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325"/>
        </w:trPr>
        <w:tc>
          <w:tcPr>
            <w:tcW w:w="2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Keith A. Meister</w:t>
            </w:r>
          </w:p>
        </w:tc>
        <w:tc>
          <w:tcPr>
            <w:tcW w:w="14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47"/>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339"/>
        </w:trPr>
        <w:tc>
          <w:tcPr>
            <w:tcW w:w="2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Steven W. Nance</w:t>
            </w:r>
          </w:p>
        </w:tc>
        <w:tc>
          <w:tcPr>
            <w:tcW w:w="14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47"/>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325"/>
        </w:trPr>
        <w:tc>
          <w:tcPr>
            <w:tcW w:w="2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Murray D. Smith</w:t>
            </w:r>
          </w:p>
        </w:tc>
        <w:tc>
          <w:tcPr>
            <w:tcW w:w="14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47"/>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339"/>
        </w:trPr>
        <w:tc>
          <w:tcPr>
            <w:tcW w:w="2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Janice D. Stoney</w:t>
            </w:r>
          </w:p>
        </w:tc>
        <w:tc>
          <w:tcPr>
            <w:tcW w:w="14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47"/>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325"/>
        </w:trPr>
        <w:tc>
          <w:tcPr>
            <w:tcW w:w="2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Laura A. Sugg</w:t>
            </w:r>
          </w:p>
        </w:tc>
        <w:tc>
          <w:tcPr>
            <w:tcW w:w="14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r>
      <w:tr>
        <w:trPr>
          <w:trHeight w:val="47"/>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183"/>
        </w:trPr>
        <w:tc>
          <w:tcPr>
            <w:tcW w:w="2780" w:type="dxa"/>
            <w:vAlign w:val="bottom"/>
            <w:tcBorders>
              <w:left w:val="single" w:sz="8" w:color="auto"/>
              <w:bottom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b w:val="1"/>
                <w:bCs w:val="1"/>
                <w:color w:val="auto"/>
              </w:rPr>
              <w:t>Number of meetings in 2014</w:t>
            </w:r>
          </w:p>
        </w:tc>
        <w:tc>
          <w:tcPr>
            <w:tcW w:w="1440" w:type="dxa"/>
            <w:vAlign w:val="bottom"/>
            <w:tcBorders>
              <w:bottom w:val="single" w:sz="8" w:color="auto"/>
              <w:right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11</w:t>
            </w:r>
          </w:p>
        </w:tc>
        <w:tc>
          <w:tcPr>
            <w:tcW w:w="1820" w:type="dxa"/>
            <w:vAlign w:val="bottom"/>
            <w:tcBorders>
              <w:bottom w:val="single" w:sz="8" w:color="auto"/>
              <w:right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8</w:t>
            </w:r>
          </w:p>
        </w:tc>
        <w:tc>
          <w:tcPr>
            <w:tcW w:w="1460" w:type="dxa"/>
            <w:vAlign w:val="bottom"/>
            <w:tcBorders>
              <w:bottom w:val="single" w:sz="8" w:color="auto"/>
              <w:right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6</w:t>
            </w:r>
          </w:p>
        </w:tc>
        <w:tc>
          <w:tcPr>
            <w:tcW w:w="1920" w:type="dxa"/>
            <w:vAlign w:val="bottom"/>
            <w:tcBorders>
              <w:bottom w:val="single" w:sz="8" w:color="auto"/>
              <w:right w:val="single" w:sz="8" w:color="auto"/>
            </w:tcBorders>
          </w:tcPr>
          <w:p>
            <w:pPr>
              <w:jc w:val="center"/>
              <w:ind w:left="579"/>
              <w:spacing w:after="0" w:line="183" w:lineRule="exact"/>
              <w:rPr>
                <w:sz w:val="20"/>
                <w:szCs w:val="20"/>
                <w:color w:val="auto"/>
              </w:rPr>
            </w:pPr>
            <w:r>
              <w:rPr>
                <w:rFonts w:ascii="Arial" w:cs="Arial" w:eastAsia="Arial" w:hAnsi="Arial"/>
                <w:sz w:val="16"/>
                <w:szCs w:val="16"/>
                <w:color w:val="auto"/>
              </w:rPr>
              <w:t>5</w:t>
            </w:r>
          </w:p>
        </w:tc>
        <w:tc>
          <w:tcPr>
            <w:tcW w:w="2020" w:type="dxa"/>
            <w:vAlign w:val="bottom"/>
            <w:tcBorders>
              <w:bottom w:val="single" w:sz="8" w:color="auto"/>
              <w:right w:val="single" w:sz="8" w:color="auto"/>
            </w:tcBorders>
          </w:tcPr>
          <w:p>
            <w:pPr>
              <w:jc w:val="right"/>
              <w:ind w:right="559"/>
              <w:spacing w:after="0" w:line="183" w:lineRule="exact"/>
              <w:rPr>
                <w:sz w:val="20"/>
                <w:szCs w:val="20"/>
                <w:color w:val="auto"/>
              </w:rPr>
            </w:pPr>
            <w:r>
              <w:rPr>
                <w:rFonts w:ascii="Arial" w:cs="Arial" w:eastAsia="Arial" w:hAnsi="Arial"/>
                <w:sz w:val="16"/>
                <w:szCs w:val="16"/>
                <w:color w:val="auto"/>
              </w:rPr>
              <w:t>7</w:t>
            </w:r>
          </w:p>
        </w:tc>
      </w:tr>
      <w:tr>
        <w:trPr>
          <w:trHeight w:val="690"/>
        </w:trPr>
        <w:tc>
          <w:tcPr>
            <w:tcW w:w="2780" w:type="dxa"/>
            <w:vAlign w:val="bottom"/>
          </w:tcPr>
          <w:p>
            <w:pPr>
              <w:ind w:left="180"/>
              <w:spacing w:after="0"/>
              <w:rPr>
                <w:sz w:val="20"/>
                <w:szCs w:val="20"/>
                <w:color w:val="auto"/>
              </w:rPr>
            </w:pPr>
            <w:r>
              <w:rPr>
                <w:rFonts w:ascii="Arial" w:cs="Arial" w:eastAsia="Arial" w:hAnsi="Arial"/>
                <w:sz w:val="16"/>
                <w:szCs w:val="16"/>
                <w:color w:val="auto"/>
              </w:rPr>
              <w:t>Chair</w:t>
            </w:r>
          </w:p>
        </w:tc>
        <w:tc>
          <w:tcPr>
            <w:tcW w:w="1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11"/>
        </w:trPr>
        <w:tc>
          <w:tcPr>
            <w:tcW w:w="2780" w:type="dxa"/>
            <w:vAlign w:val="bottom"/>
          </w:tcPr>
          <w:p>
            <w:pPr>
              <w:ind w:left="200"/>
              <w:spacing w:after="0"/>
              <w:rPr>
                <w:sz w:val="20"/>
                <w:szCs w:val="20"/>
                <w:color w:val="auto"/>
              </w:rPr>
            </w:pPr>
            <w:r>
              <w:rPr>
                <w:rFonts w:ascii="Arial" w:cs="Arial" w:eastAsia="Arial" w:hAnsi="Arial"/>
                <w:sz w:val="16"/>
                <w:szCs w:val="16"/>
                <w:color w:val="auto"/>
              </w:rPr>
              <w:t>Committee Member</w:t>
            </w:r>
          </w:p>
        </w:tc>
        <w:tc>
          <w:tcPr>
            <w:tcW w:w="1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-3734435</wp:posOffset>
            </wp:positionV>
            <wp:extent cx="11176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-3734435</wp:posOffset>
            </wp:positionV>
            <wp:extent cx="11176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-3486150</wp:posOffset>
            </wp:positionV>
            <wp:extent cx="16319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-3477260</wp:posOffset>
            </wp:positionV>
            <wp:extent cx="11176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-3228340</wp:posOffset>
            </wp:positionV>
            <wp:extent cx="11176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-3228340</wp:posOffset>
            </wp:positionV>
            <wp:extent cx="11176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-2971165</wp:posOffset>
            </wp:positionV>
            <wp:extent cx="11176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-2980055</wp:posOffset>
            </wp:positionV>
            <wp:extent cx="163195"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-2722880</wp:posOffset>
            </wp:positionV>
            <wp:extent cx="11176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-2722880</wp:posOffset>
            </wp:positionV>
            <wp:extent cx="11176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-2465070</wp:posOffset>
            </wp:positionV>
            <wp:extent cx="11176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-2473960</wp:posOffset>
            </wp:positionV>
            <wp:extent cx="16319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-2216785</wp:posOffset>
            </wp:positionV>
            <wp:extent cx="11176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-2216785</wp:posOffset>
            </wp:positionV>
            <wp:extent cx="11176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-1967865</wp:posOffset>
            </wp:positionV>
            <wp:extent cx="11176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-1967865</wp:posOffset>
            </wp:positionV>
            <wp:extent cx="11176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-1710690</wp:posOffset>
            </wp:positionV>
            <wp:extent cx="11176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6720205</wp:posOffset>
            </wp:positionH>
            <wp:positionV relativeFrom="paragraph">
              <wp:posOffset>-1719580</wp:posOffset>
            </wp:positionV>
            <wp:extent cx="16319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-1461770</wp:posOffset>
            </wp:positionV>
            <wp:extent cx="11176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-1461770</wp:posOffset>
            </wp:positionV>
            <wp:extent cx="11176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-1213485</wp:posOffset>
            </wp:positionV>
            <wp:extent cx="163195"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-1204595</wp:posOffset>
            </wp:positionV>
            <wp:extent cx="11176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-956310</wp:posOffset>
            </wp:positionV>
            <wp:extent cx="11176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-956310</wp:posOffset>
            </wp:positionV>
            <wp:extent cx="11176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16319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11176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760" cy="154305"/>
                    </a:xfrm>
                    <a:prstGeom prst="rect">
                      <a:avLst/>
                    </a:prstGeom>
                    <a:noFill/>
                  </pic:spPr>
                </pic:pic>
              </a:graphicData>
            </a:graphic>
          </wp:anchor>
        </w:drawing>
      </w:r>
    </w:p>
    <w:p>
      <w:pPr>
        <w:spacing w:after="0" w:line="361" w:lineRule="exact"/>
        <w:rPr>
          <w:sz w:val="20"/>
          <w:szCs w:val="20"/>
          <w:color w:val="auto"/>
        </w:rPr>
      </w:pPr>
    </w:p>
    <w:tbl>
      <w:tblPr>
        <w:tblLayout w:type="fixed"/>
        <w:tblInd w:w="370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340" w:type="dxa"/>
            <w:vAlign w:val="bottom"/>
          </w:tcPr>
          <w:p>
            <w:pPr>
              <w:jc w:val="right"/>
              <w:spacing w:after="0"/>
              <w:rPr>
                <w:sz w:val="20"/>
                <w:szCs w:val="20"/>
                <w:color w:val="auto"/>
              </w:rPr>
            </w:pPr>
            <w:r>
              <w:rPr>
                <w:rFonts w:ascii="Arial" w:cs="Arial" w:eastAsia="Arial" w:hAnsi="Arial"/>
                <w:sz w:val="20"/>
                <w:szCs w:val="20"/>
                <w:color w:val="auto"/>
              </w:rPr>
              <w:t>9</w:t>
            </w:r>
          </w:p>
        </w:tc>
      </w:tr>
    </w:tbl>
    <w:p>
      <w:pPr>
        <w:sectPr>
          <w:pgSz w:w="11900" w:h="16838" w:orient="portrait"/>
          <w:cols w:equalWidth="0" w:num="1">
            <w:col w:w="11440"/>
          </w:cols>
          <w:pgMar w:left="240" w:top="459" w:right="2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205740</wp:posOffset>
            </wp:positionV>
            <wp:extent cx="216979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697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7229475" cy="425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4253865"/>
                    </a:xfrm>
                    <a:prstGeom prst="rect">
                      <a:avLst/>
                    </a:prstGeom>
                    <a:noFill/>
                  </pic:spPr>
                </pic:pic>
              </a:graphicData>
            </a:graphic>
          </wp:anchor>
        </w:drawing>
      </w:r>
    </w:p>
    <w:p>
      <w:pPr>
        <w:spacing w:after="0" w:line="23" w:lineRule="exact"/>
        <w:rPr>
          <w:sz w:val="20"/>
          <w:szCs w:val="20"/>
          <w:color w:val="auto"/>
        </w:rPr>
      </w:pPr>
    </w:p>
    <w:p>
      <w:pPr>
        <w:ind w:left="820" w:right="20"/>
        <w:spacing w:after="0" w:line="246" w:lineRule="auto"/>
        <w:rPr>
          <w:sz w:val="20"/>
          <w:szCs w:val="20"/>
          <w:color w:val="auto"/>
        </w:rPr>
      </w:pPr>
      <w:r>
        <w:rPr>
          <w:rFonts w:ascii="Arial" w:cs="Arial" w:eastAsia="Arial" w:hAnsi="Arial"/>
          <w:sz w:val="16"/>
          <w:szCs w:val="16"/>
          <w:color w:val="auto"/>
        </w:rPr>
        <w:t>The Board has a separately designated standing Audit Committee established in accordance with Section 3(a)(58)(A) of the Exchange Act. The Audit Committee:</w:t>
      </w:r>
    </w:p>
    <w:p>
      <w:pPr>
        <w:spacing w:after="0" w:line="1" w:lineRule="exact"/>
        <w:rPr>
          <w:sz w:val="20"/>
          <w:szCs w:val="20"/>
          <w:color w:val="auto"/>
        </w:rPr>
      </w:pPr>
    </w:p>
    <w:p>
      <w:pPr>
        <w:ind w:left="1060" w:hanging="242"/>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appoints, evaluates, and approves the compensation of our independent registered public accounting firm;</w:t>
      </w:r>
    </w:p>
    <w:p>
      <w:pPr>
        <w:spacing w:after="0" w:line="72" w:lineRule="exact"/>
        <w:rPr>
          <w:rFonts w:ascii="Arial" w:cs="Arial" w:eastAsia="Arial" w:hAnsi="Arial"/>
          <w:sz w:val="16"/>
          <w:szCs w:val="16"/>
          <w:color w:val="auto"/>
        </w:rPr>
      </w:pPr>
    </w:p>
    <w:p>
      <w:pPr>
        <w:ind w:left="1060" w:right="80" w:hanging="242"/>
        <w:spacing w:after="0" w:line="253" w:lineRule="auto"/>
        <w:tabs>
          <w:tab w:leader="none" w:pos="1054"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assists the Board in fulfilling its responsibilities for generally overseeing Williams’ financial reporting processes and the audit of Williams’ financial statements, including the integrity of Williams’ financial statements, Williams’ compliance with legal and regulatory requirements, and risk assessment and risk management;</w:t>
      </w:r>
    </w:p>
    <w:p>
      <w:pPr>
        <w:spacing w:after="0" w:line="52" w:lineRule="exact"/>
        <w:rPr>
          <w:rFonts w:ascii="Arial" w:cs="Arial" w:eastAsia="Arial" w:hAnsi="Arial"/>
          <w:sz w:val="16"/>
          <w:szCs w:val="16"/>
          <w:color w:val="auto"/>
        </w:rPr>
      </w:pPr>
    </w:p>
    <w:p>
      <w:pPr>
        <w:ind w:left="1060" w:hanging="242"/>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the qualifications and independence of the independent registered public accounting firm;</w:t>
      </w:r>
    </w:p>
    <w:p>
      <w:pPr>
        <w:spacing w:after="0" w:line="72" w:lineRule="exact"/>
        <w:rPr>
          <w:rFonts w:ascii="Arial" w:cs="Arial" w:eastAsia="Arial" w:hAnsi="Arial"/>
          <w:sz w:val="16"/>
          <w:szCs w:val="16"/>
          <w:color w:val="auto"/>
        </w:rPr>
      </w:pPr>
    </w:p>
    <w:p>
      <w:pPr>
        <w:ind w:left="1060" w:hanging="242"/>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the performance of Williams’ internal audit function and the independent registered public accounting firm;</w:t>
      </w:r>
    </w:p>
    <w:p>
      <w:pPr>
        <w:spacing w:after="0" w:line="72" w:lineRule="exact"/>
        <w:rPr>
          <w:rFonts w:ascii="Arial" w:cs="Arial" w:eastAsia="Arial" w:hAnsi="Arial"/>
          <w:sz w:val="16"/>
          <w:szCs w:val="16"/>
          <w:color w:val="auto"/>
        </w:rPr>
      </w:pPr>
    </w:p>
    <w:p>
      <w:pPr>
        <w:ind w:left="1060" w:hanging="242"/>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Williams’ earnings releases;</w:t>
      </w:r>
    </w:p>
    <w:p>
      <w:pPr>
        <w:spacing w:after="0" w:line="72" w:lineRule="exact"/>
        <w:rPr>
          <w:rFonts w:ascii="Arial" w:cs="Arial" w:eastAsia="Arial" w:hAnsi="Arial"/>
          <w:sz w:val="16"/>
          <w:szCs w:val="16"/>
          <w:color w:val="auto"/>
        </w:rPr>
      </w:pPr>
    </w:p>
    <w:p>
      <w:pPr>
        <w:ind w:left="1060" w:hanging="242"/>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transactions between Williams and related persons that are required to be disclosed in our filings with the SEC;</w:t>
      </w:r>
    </w:p>
    <w:p>
      <w:pPr>
        <w:spacing w:after="0" w:line="72" w:lineRule="exact"/>
        <w:rPr>
          <w:rFonts w:ascii="Arial" w:cs="Arial" w:eastAsia="Arial" w:hAnsi="Arial"/>
          <w:sz w:val="16"/>
          <w:szCs w:val="16"/>
          <w:color w:val="auto"/>
        </w:rPr>
      </w:pPr>
    </w:p>
    <w:p>
      <w:pPr>
        <w:ind w:left="1060" w:hanging="242"/>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oversees investigations into complaints concerning financial matters;</w:t>
      </w:r>
    </w:p>
    <w:p>
      <w:pPr>
        <w:spacing w:after="0" w:line="72" w:lineRule="exact"/>
        <w:rPr>
          <w:rFonts w:ascii="Arial" w:cs="Arial" w:eastAsia="Arial" w:hAnsi="Arial"/>
          <w:sz w:val="16"/>
          <w:szCs w:val="16"/>
          <w:color w:val="auto"/>
        </w:rPr>
      </w:pPr>
    </w:p>
    <w:p>
      <w:pPr>
        <w:ind w:left="1060" w:hanging="242"/>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with the General Counsel, as needed, any actual and alleged violations of the Company’s Code of Business Conduct;</w:t>
      </w:r>
    </w:p>
    <w:p>
      <w:pPr>
        <w:spacing w:after="0" w:line="72" w:lineRule="exact"/>
        <w:rPr>
          <w:rFonts w:ascii="Arial" w:cs="Arial" w:eastAsia="Arial" w:hAnsi="Arial"/>
          <w:sz w:val="16"/>
          <w:szCs w:val="16"/>
          <w:color w:val="auto"/>
        </w:rPr>
      </w:pPr>
    </w:p>
    <w:p>
      <w:pPr>
        <w:ind w:left="1060" w:hanging="242"/>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annually reviews its charter and performance; and</w:t>
      </w:r>
    </w:p>
    <w:p>
      <w:pPr>
        <w:spacing w:after="0" w:line="72" w:lineRule="exact"/>
        <w:rPr>
          <w:rFonts w:ascii="Arial" w:cs="Arial" w:eastAsia="Arial" w:hAnsi="Arial"/>
          <w:sz w:val="16"/>
          <w:szCs w:val="16"/>
          <w:color w:val="auto"/>
        </w:rPr>
      </w:pPr>
    </w:p>
    <w:p>
      <w:pPr>
        <w:ind w:left="1060" w:hanging="242"/>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prepares the Audit Committee report for inclusion in the annual proxy statement.</w:t>
      </w:r>
    </w:p>
    <w:p>
      <w:pPr>
        <w:spacing w:after="0" w:line="22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Independence Requirements</w:t>
      </w:r>
    </w:p>
    <w:p>
      <w:pPr>
        <w:spacing w:after="0" w:line="84" w:lineRule="exact"/>
        <w:rPr>
          <w:sz w:val="20"/>
          <w:szCs w:val="20"/>
          <w:color w:val="auto"/>
        </w:rPr>
      </w:pPr>
    </w:p>
    <w:p>
      <w:pPr>
        <w:ind w:left="820" w:firstLine="162"/>
        <w:spacing w:after="0" w:line="260" w:lineRule="auto"/>
        <w:rPr>
          <w:sz w:val="20"/>
          <w:szCs w:val="20"/>
          <w:color w:val="auto"/>
        </w:rPr>
      </w:pPr>
      <w:r>
        <w:rPr>
          <w:rFonts w:ascii="Arial" w:cs="Arial" w:eastAsia="Arial" w:hAnsi="Arial"/>
          <w:sz w:val="16"/>
          <w:szCs w:val="16"/>
          <w:color w:val="auto"/>
        </w:rPr>
        <w:t>The Board has determined that all members of the Audit Committee meet the heightened independence requirements under the NYSE’s rules for persons serving on audit committees.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Financial Literacy, Experts</w:t>
      </w:r>
    </w:p>
    <w:p>
      <w:pPr>
        <w:spacing w:after="0" w:line="84" w:lineRule="exact"/>
        <w:rPr>
          <w:sz w:val="20"/>
          <w:szCs w:val="20"/>
          <w:color w:val="auto"/>
        </w:rPr>
      </w:pPr>
    </w:p>
    <w:p>
      <w:pPr>
        <w:ind w:left="980" w:right="60" w:hanging="162"/>
        <w:spacing w:after="0" w:line="260" w:lineRule="auto"/>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addition, the Board has determined that all members of the Audit Committee are “financially literate” as defined by the NYSE rules and qualify as audit committee financial experts as defined by the rules of the SEC.</w:t>
      </w:r>
    </w:p>
    <w:p>
      <w:pPr>
        <w:spacing w:after="0" w:line="47" w:lineRule="exact"/>
        <w:rPr>
          <w:rFonts w:ascii="Arial" w:cs="Arial" w:eastAsia="Arial" w:hAnsi="Arial"/>
          <w:sz w:val="16"/>
          <w:szCs w:val="16"/>
          <w:color w:val="auto"/>
        </w:rPr>
      </w:pPr>
    </w:p>
    <w:p>
      <w:pPr>
        <w:ind w:left="920" w:hanging="102"/>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Audit Committee member serves on more than three public company audit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1056640</wp:posOffset>
            </wp:positionV>
            <wp:extent cx="7229475" cy="2040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9475"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Responsibilities</w:t>
      </w:r>
    </w:p>
    <w:p>
      <w:pPr>
        <w:spacing w:after="0" w:line="5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Finance Committee:</w:t>
      </w:r>
    </w:p>
    <w:p>
      <w:pPr>
        <w:spacing w:after="0" w:line="5" w:lineRule="exact"/>
        <w:rPr>
          <w:sz w:val="20"/>
          <w:szCs w:val="20"/>
          <w:color w:val="auto"/>
        </w:rPr>
      </w:pPr>
    </w:p>
    <w:p>
      <w:pPr>
        <w:ind w:left="920" w:hanging="102"/>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reviews and approves and/or recommends to the Board Williams’ capital spending in accordance with the Board’s delegation of authority;</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supports the Board’s oversight of Williams’ financial strategies, plans, and policies;</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reviews risks relating to capital, including capital allocation, investment evaluation, and project execution;</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reviews and approves any amendments to Williams’ financing agreements;</w:t>
      </w:r>
    </w:p>
    <w:p>
      <w:pPr>
        <w:spacing w:after="0" w:line="72" w:lineRule="exact"/>
        <w:rPr>
          <w:rFonts w:ascii="Arial" w:cs="Arial" w:eastAsia="Arial" w:hAnsi="Arial"/>
          <w:sz w:val="16"/>
          <w:szCs w:val="16"/>
          <w:color w:val="auto"/>
        </w:rPr>
      </w:pPr>
    </w:p>
    <w:p>
      <w:pPr>
        <w:ind w:left="980" w:right="40" w:hanging="162"/>
        <w:spacing w:after="0" w:line="253" w:lineRule="auto"/>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least annually, reviews and approves Williams’ decision to enter into swaps that are exempt from exchange execution and clearing under the “end-user exception” regulations established by the Commodity Futures Trading Commission and Williams’ policies governing the use of swaps subject to the end-user exception; and</w:t>
      </w:r>
    </w:p>
    <w:p>
      <w:pPr>
        <w:spacing w:after="0" w:line="52" w:lineRule="exact"/>
        <w:rPr>
          <w:rFonts w:ascii="Arial" w:cs="Arial" w:eastAsia="Arial" w:hAnsi="Arial"/>
          <w:sz w:val="16"/>
          <w:szCs w:val="16"/>
          <w:color w:val="auto"/>
        </w:rPr>
      </w:pPr>
    </w:p>
    <w:p>
      <w:pPr>
        <w:ind w:left="920" w:hanging="102"/>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reviews annually its charter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10</w:t>
            </w:r>
          </w:p>
        </w:tc>
      </w:tr>
    </w:tbl>
    <w:p>
      <w:pPr>
        <w:sectPr>
          <w:pgSz w:w="11900" w:h="16838" w:orient="portrait"/>
          <w:cols w:equalWidth="0" w:num="1">
            <w:col w:w="11280"/>
          </w:cols>
          <w:pgMar w:left="24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54875" cy="68433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684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Responsibilities</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Compensation Committee:</w:t>
      </w:r>
    </w:p>
    <w:p>
      <w:pPr>
        <w:spacing w:after="0" w:line="73" w:lineRule="exact"/>
        <w:rPr>
          <w:sz w:val="20"/>
          <w:szCs w:val="20"/>
          <w:color w:val="auto"/>
        </w:rPr>
      </w:pPr>
    </w:p>
    <w:p>
      <w:pPr>
        <w:ind w:left="1160" w:right="540" w:hanging="247"/>
        <w:spacing w:after="0" w:line="260" w:lineRule="auto"/>
        <w:tabs>
          <w:tab w:leader="none" w:pos="115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approves executive compensation philosophy, policies, and programs that align the interests of our executive officers with those of our stockholders;</w:t>
      </w:r>
    </w:p>
    <w:p>
      <w:pPr>
        <w:spacing w:after="0" w:line="47" w:lineRule="exact"/>
        <w:rPr>
          <w:rFonts w:ascii="Arial" w:cs="Arial" w:eastAsia="Arial" w:hAnsi="Arial"/>
          <w:sz w:val="16"/>
          <w:szCs w:val="16"/>
          <w:color w:val="auto"/>
        </w:rPr>
      </w:pPr>
    </w:p>
    <w:p>
      <w:pPr>
        <w:ind w:left="1140" w:hanging="227"/>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oversees the material risks associated with compensation structure, policies, and programs;</w:t>
      </w:r>
    </w:p>
    <w:p>
      <w:pPr>
        <w:spacing w:after="0" w:line="72" w:lineRule="exact"/>
        <w:rPr>
          <w:rFonts w:ascii="Arial" w:cs="Arial" w:eastAsia="Arial" w:hAnsi="Arial"/>
          <w:sz w:val="16"/>
          <w:szCs w:val="16"/>
          <w:color w:val="auto"/>
        </w:rPr>
      </w:pPr>
    </w:p>
    <w:p>
      <w:pPr>
        <w:ind w:left="1140" w:hanging="227"/>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assesses the results of the advisory votes on executive compensation;</w:t>
      </w:r>
    </w:p>
    <w:p>
      <w:pPr>
        <w:spacing w:after="0" w:line="72" w:lineRule="exact"/>
        <w:rPr>
          <w:rFonts w:ascii="Arial" w:cs="Arial" w:eastAsia="Arial" w:hAnsi="Arial"/>
          <w:sz w:val="16"/>
          <w:szCs w:val="16"/>
          <w:color w:val="auto"/>
        </w:rPr>
      </w:pPr>
    </w:p>
    <w:p>
      <w:pPr>
        <w:ind w:left="1140" w:hanging="227"/>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recommends to the Board equity-based compensation plans;</w:t>
      </w:r>
    </w:p>
    <w:p>
      <w:pPr>
        <w:spacing w:after="0" w:line="72" w:lineRule="exact"/>
        <w:rPr>
          <w:rFonts w:ascii="Arial" w:cs="Arial" w:eastAsia="Arial" w:hAnsi="Arial"/>
          <w:sz w:val="16"/>
          <w:szCs w:val="16"/>
          <w:color w:val="auto"/>
        </w:rPr>
      </w:pPr>
    </w:p>
    <w:p>
      <w:pPr>
        <w:ind w:left="1140" w:hanging="227"/>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recommends to the Board cash-based incentive compensation plans for the NEOs and other executives;</w:t>
      </w:r>
    </w:p>
    <w:p>
      <w:pPr>
        <w:spacing w:after="0" w:line="72" w:lineRule="exact"/>
        <w:rPr>
          <w:rFonts w:ascii="Arial" w:cs="Arial" w:eastAsia="Arial" w:hAnsi="Arial"/>
          <w:sz w:val="16"/>
          <w:szCs w:val="16"/>
          <w:color w:val="auto"/>
        </w:rPr>
      </w:pPr>
    </w:p>
    <w:p>
      <w:pPr>
        <w:ind w:left="1140" w:hanging="227"/>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sets corporate goals and objectives for compensation for the NEOs and other executives;</w:t>
      </w:r>
    </w:p>
    <w:p>
      <w:pPr>
        <w:spacing w:after="0" w:line="72" w:lineRule="exact"/>
        <w:rPr>
          <w:rFonts w:ascii="Arial" w:cs="Arial" w:eastAsia="Arial" w:hAnsi="Arial"/>
          <w:sz w:val="16"/>
          <w:szCs w:val="16"/>
          <w:color w:val="auto"/>
        </w:rPr>
      </w:pPr>
    </w:p>
    <w:p>
      <w:pPr>
        <w:ind w:left="1140" w:hanging="227"/>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evaluates the NEOs’ and certain other executives’ performance in light of those goals and objectives;</w:t>
      </w:r>
    </w:p>
    <w:p>
      <w:pPr>
        <w:spacing w:after="0" w:line="72" w:lineRule="exact"/>
        <w:rPr>
          <w:rFonts w:ascii="Arial" w:cs="Arial" w:eastAsia="Arial" w:hAnsi="Arial"/>
          <w:sz w:val="16"/>
          <w:szCs w:val="16"/>
          <w:color w:val="auto"/>
        </w:rPr>
      </w:pPr>
    </w:p>
    <w:p>
      <w:pPr>
        <w:ind w:left="1160" w:right="100" w:hanging="247"/>
        <w:spacing w:after="0" w:line="260" w:lineRule="auto"/>
        <w:tabs>
          <w:tab w:leader="none" w:pos="115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approves the NEOs’ and certain other executives’ compensation, including salary, incentive compensation, equity-based compensation, and any other remuneration;</w:t>
      </w:r>
    </w:p>
    <w:p>
      <w:pPr>
        <w:spacing w:after="0" w:line="47" w:lineRule="exact"/>
        <w:rPr>
          <w:rFonts w:ascii="Arial" w:cs="Arial" w:eastAsia="Arial" w:hAnsi="Arial"/>
          <w:sz w:val="16"/>
          <w:szCs w:val="16"/>
          <w:color w:val="auto"/>
        </w:rPr>
      </w:pPr>
    </w:p>
    <w:p>
      <w:pPr>
        <w:ind w:left="1160" w:right="80" w:hanging="247"/>
        <w:spacing w:after="0" w:line="260" w:lineRule="auto"/>
        <w:tabs>
          <w:tab w:leader="none" w:pos="115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approves, amends, modifies, or terminates, in its settlor (non-fiduciary) capacity, the terms of any benefit plan that do not require stockholder approval;</w:t>
      </w:r>
    </w:p>
    <w:p>
      <w:pPr>
        <w:spacing w:after="0" w:line="47" w:lineRule="exact"/>
        <w:rPr>
          <w:rFonts w:ascii="Arial" w:cs="Arial" w:eastAsia="Arial" w:hAnsi="Arial"/>
          <w:sz w:val="16"/>
          <w:szCs w:val="16"/>
          <w:color w:val="auto"/>
        </w:rPr>
      </w:pPr>
    </w:p>
    <w:p>
      <w:pPr>
        <w:ind w:left="1160" w:right="820" w:hanging="247"/>
        <w:spacing w:after="0" w:line="260" w:lineRule="auto"/>
        <w:tabs>
          <w:tab w:leader="none" w:pos="1154"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reviews and discusses with management and, based on the review and discussions, recommends to the Board the Compensation Discussion and Analysis required by the SEC for inclusion in the annual proxy statement and annual report on Form 10-K;</w:t>
      </w:r>
    </w:p>
    <w:p>
      <w:pPr>
        <w:spacing w:after="0" w:line="47" w:lineRule="exact"/>
        <w:rPr>
          <w:rFonts w:ascii="Arial" w:cs="Arial" w:eastAsia="Arial" w:hAnsi="Arial"/>
          <w:sz w:val="16"/>
          <w:szCs w:val="16"/>
          <w:color w:val="auto"/>
        </w:rPr>
      </w:pPr>
    </w:p>
    <w:p>
      <w:pPr>
        <w:ind w:left="1140" w:hanging="227"/>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reviews annually and recommends to the Board the appropriate compensation of non-employee directors;</w:t>
      </w:r>
    </w:p>
    <w:p>
      <w:pPr>
        <w:spacing w:after="0" w:line="72" w:lineRule="exact"/>
        <w:rPr>
          <w:rFonts w:ascii="Arial" w:cs="Arial" w:eastAsia="Arial" w:hAnsi="Arial"/>
          <w:sz w:val="16"/>
          <w:szCs w:val="16"/>
          <w:color w:val="auto"/>
        </w:rPr>
      </w:pPr>
    </w:p>
    <w:p>
      <w:pPr>
        <w:ind w:left="1160" w:right="80" w:hanging="247"/>
        <w:spacing w:after="0" w:line="260" w:lineRule="auto"/>
        <w:tabs>
          <w:tab w:leader="none" w:pos="1154"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develops, reviews, recommends for Board approval, and then monitors the directors’ and executive officers’ compliance with, Williams’ stock ownership policy;</w:t>
      </w:r>
    </w:p>
    <w:p>
      <w:pPr>
        <w:spacing w:after="0" w:line="47" w:lineRule="exact"/>
        <w:rPr>
          <w:rFonts w:ascii="Arial" w:cs="Arial" w:eastAsia="Arial" w:hAnsi="Arial"/>
          <w:sz w:val="16"/>
          <w:szCs w:val="16"/>
          <w:color w:val="auto"/>
        </w:rPr>
      </w:pPr>
    </w:p>
    <w:p>
      <w:pPr>
        <w:ind w:left="1140" w:hanging="227"/>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reviews and recommends the terms of Williams’ change in control program;</w:t>
      </w:r>
    </w:p>
    <w:p>
      <w:pPr>
        <w:spacing w:after="0" w:line="72" w:lineRule="exact"/>
        <w:rPr>
          <w:rFonts w:ascii="Arial" w:cs="Arial" w:eastAsia="Arial" w:hAnsi="Arial"/>
          <w:sz w:val="16"/>
          <w:szCs w:val="16"/>
          <w:color w:val="auto"/>
        </w:rPr>
      </w:pPr>
    </w:p>
    <w:p>
      <w:pPr>
        <w:ind w:left="1160" w:right="60" w:hanging="247"/>
        <w:spacing w:after="0" w:line="260" w:lineRule="auto"/>
        <w:tabs>
          <w:tab w:leader="none" w:pos="115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assesses any potential conflicts of interest raised by the compensation consultants retained by management or the Committee and assesses the independence of any Compensation Committee advisor; and</w:t>
      </w:r>
    </w:p>
    <w:p>
      <w:pPr>
        <w:spacing w:after="0" w:line="47" w:lineRule="exact"/>
        <w:rPr>
          <w:rFonts w:ascii="Arial" w:cs="Arial" w:eastAsia="Arial" w:hAnsi="Arial"/>
          <w:sz w:val="16"/>
          <w:szCs w:val="16"/>
          <w:color w:val="auto"/>
        </w:rPr>
      </w:pPr>
    </w:p>
    <w:p>
      <w:pPr>
        <w:ind w:left="1140" w:hanging="227"/>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reviews annually its charter and performance.</w:t>
      </w:r>
    </w:p>
    <w:p>
      <w:pPr>
        <w:spacing w:after="0" w:line="22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Independence Requirements</w:t>
      </w:r>
    </w:p>
    <w:p>
      <w:pPr>
        <w:spacing w:after="0" w:line="138" w:lineRule="exact"/>
        <w:rPr>
          <w:sz w:val="20"/>
          <w:szCs w:val="20"/>
          <w:color w:val="auto"/>
        </w:rPr>
      </w:pPr>
    </w:p>
    <w:p>
      <w:pPr>
        <w:jc w:val="both"/>
        <w:ind w:left="920" w:right="20"/>
        <w:spacing w:after="0" w:line="260" w:lineRule="auto"/>
        <w:rPr>
          <w:sz w:val="20"/>
          <w:szCs w:val="20"/>
          <w:color w:val="auto"/>
        </w:rPr>
      </w:pPr>
      <w:r>
        <w:rPr>
          <w:rFonts w:ascii="Arial" w:cs="Arial" w:eastAsia="Arial" w:hAnsi="Arial"/>
          <w:sz w:val="16"/>
          <w:szCs w:val="16"/>
          <w:color w:val="auto"/>
        </w:rPr>
        <w:t>The Board has determined that all members of the Compensation Committee meet the heightened independence requirements under the NYSE’s rules for persons serving on compensation committees.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Independent Executive Compensation Advisor</w:t>
      </w:r>
    </w:p>
    <w:p>
      <w:pPr>
        <w:spacing w:after="0" w:line="138" w:lineRule="exact"/>
        <w:rPr>
          <w:sz w:val="20"/>
          <w:szCs w:val="20"/>
          <w:color w:val="auto"/>
        </w:rPr>
      </w:pPr>
    </w:p>
    <w:p>
      <w:pPr>
        <w:jc w:val="both"/>
        <w:ind w:left="920"/>
        <w:spacing w:after="0" w:line="249" w:lineRule="auto"/>
        <w:rPr>
          <w:sz w:val="20"/>
          <w:szCs w:val="20"/>
          <w:color w:val="auto"/>
        </w:rPr>
      </w:pPr>
      <w:r>
        <w:rPr>
          <w:rFonts w:ascii="Arial" w:cs="Arial" w:eastAsia="Arial" w:hAnsi="Arial"/>
          <w:sz w:val="16"/>
          <w:szCs w:val="16"/>
          <w:color w:val="auto"/>
        </w:rPr>
        <w:t>The Compensation Committee has selected and retained Frederic W. Cook &amp; Co., an independent executive compensation consulting firm, to provide competitive market data and advice related to the CEO’s compensation level and incentive design; review and evaluate management-developed market data and recommendations on compensation levels, incentive mix, and incentive design for NEOs and certain other executives (excluding the CEO); develop the selection criteria and recommend comparator companies for executive compensation and performance comparisons; provide information on executive compensation trends and their implications to Williams; and provide competitive market data and advice on non-employee director compensation.</w:t>
      </w:r>
    </w:p>
    <w:p>
      <w:pPr>
        <w:spacing w:after="0" w:line="111" w:lineRule="exact"/>
        <w:rPr>
          <w:sz w:val="20"/>
          <w:szCs w:val="20"/>
          <w:color w:val="auto"/>
        </w:rPr>
      </w:pPr>
    </w:p>
    <w:p>
      <w:pPr>
        <w:jc w:val="both"/>
        <w:ind w:left="920"/>
        <w:spacing w:after="0" w:line="250" w:lineRule="auto"/>
        <w:rPr>
          <w:sz w:val="20"/>
          <w:szCs w:val="20"/>
          <w:color w:val="auto"/>
        </w:rPr>
      </w:pPr>
      <w:r>
        <w:rPr>
          <w:rFonts w:ascii="Arial" w:cs="Arial" w:eastAsia="Arial" w:hAnsi="Arial"/>
          <w:sz w:val="16"/>
          <w:szCs w:val="16"/>
          <w:color w:val="auto"/>
        </w:rPr>
        <w:t>The Compensation Committee evaluates the independence of Frederic W. Cook &amp; Co., including consideration of the factors specified in Rule 10C-1 under the Exchange Act and the NYSE’s rules to ensure that the advisors maintain objectivity and independence when rendering advice to the Committee. Frederic W. Cook &amp; Co. does not provide any additional services to Williams. The compensation consultant reports to the Compensation Committee and is independent of management. The Compensation Committee has determined that the services Frederic W. Cook &amp; Co. provides to the Committee are not subject to a 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11</w:t>
            </w:r>
          </w:p>
        </w:tc>
      </w:tr>
    </w:tbl>
    <w:p>
      <w:pPr>
        <w:sectPr>
          <w:pgSz w:w="11900" w:h="16838" w:orient="portrait"/>
          <w:cols w:equalWidth="0" w:num="1">
            <w:col w:w="11280"/>
          </w:cols>
          <w:pgMar w:left="24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7229475" cy="49225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9475" cy="4922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Responsibilities</w:t>
      </w:r>
    </w:p>
    <w:p>
      <w:pPr>
        <w:spacing w:after="0" w:line="7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Nominating and Governance Committee:</w:t>
      </w:r>
    </w:p>
    <w:p>
      <w:pPr>
        <w:spacing w:after="0" w:line="5" w:lineRule="exact"/>
        <w:rPr>
          <w:sz w:val="20"/>
          <w:szCs w:val="20"/>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develops and recommends to the Board director qualifications;</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identifies and recommends to the Board director candidates;</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reviews candidates recommended or nominated by stockholders;</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recommends to the Board the individual, or individuals, to be the Chairman of the Board and the CEO;</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reviews the CEO’s recommendations for individuals to be officers;</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reviews annually succession plans for the positions of CEO and certain other executives;</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monitors significant developments in the regulation and practice of corporate governance;</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reviews the size and composition of the Board and its committees and recommends to the Board any changes;</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determines if a Lead Director shall be designated, and if so determined, recommends a director to serve as Lead Director;</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conducts a preliminary review of director independence and the financial literacy and expertise of the Audit Committee members;</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recommends assignments to the Board committees;</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oversees and assists the Board in the review of the Board’s performance and reviews its own performance;</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annually reviews each standing committee’s charter, the Corporate Governance Guidelines, and the Williams Code of Business Conduct;</w:t>
      </w:r>
    </w:p>
    <w:p>
      <w:pPr>
        <w:spacing w:after="0" w:line="72" w:lineRule="exact"/>
        <w:rPr>
          <w:rFonts w:ascii="Arial" w:cs="Arial" w:eastAsia="Arial" w:hAnsi="Arial"/>
          <w:sz w:val="16"/>
          <w:szCs w:val="16"/>
          <w:color w:val="auto"/>
        </w:rPr>
      </w:pPr>
    </w:p>
    <w:p>
      <w:pPr>
        <w:ind w:left="980" w:right="600" w:hanging="162"/>
        <w:spacing w:after="0" w:line="260" w:lineRule="auto"/>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oversees and reviews risks relating to Williams’ ethics and compliance programs and annually reviews Williams’ policies and procedures regarding compliance with the Code of Business Conduct and the results of the Code of Business Conduct and Ethics survey;</w:t>
      </w:r>
    </w:p>
    <w:p>
      <w:pPr>
        <w:spacing w:after="0" w:line="47" w:lineRule="exact"/>
        <w:rPr>
          <w:rFonts w:ascii="Arial" w:cs="Arial" w:eastAsia="Arial" w:hAnsi="Arial"/>
          <w:sz w:val="16"/>
          <w:szCs w:val="16"/>
          <w:color w:val="auto"/>
        </w:rPr>
      </w:pPr>
    </w:p>
    <w:p>
      <w:pPr>
        <w:ind w:left="980" w:right="80" w:hanging="162"/>
        <w:spacing w:after="0" w:line="253" w:lineRule="auto"/>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reviews, on an annual basis, the implementation and effectiveness of the Company’s ethics and compliance program with the General Counsel, and, as applicable, considers any actual and alleged violations of the codes of conduct, including any matters involving criminal or potential criminal conduct communicated by the General Counsel to the committee;</w:t>
      </w:r>
    </w:p>
    <w:p>
      <w:pPr>
        <w:spacing w:after="0" w:line="5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reviews stockholder proposals and recommends responses to the Board;</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reviews our directors’ current service and requests to serve on boards of other companies; and</w:t>
      </w:r>
    </w:p>
    <w:p>
      <w:pPr>
        <w:spacing w:after="0" w:line="72" w:lineRule="exact"/>
        <w:rPr>
          <w:rFonts w:ascii="Arial" w:cs="Arial" w:eastAsia="Arial" w:hAnsi="Arial"/>
          <w:sz w:val="16"/>
          <w:szCs w:val="16"/>
          <w:color w:val="auto"/>
        </w:rPr>
      </w:pPr>
    </w:p>
    <w:p>
      <w:pPr>
        <w:ind w:left="920" w:hanging="102"/>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reviews annually the performance of individual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1408430</wp:posOffset>
            </wp:positionV>
            <wp:extent cx="7229475" cy="11404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947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Responsibilities</w:t>
      </w:r>
    </w:p>
    <w:p>
      <w:pPr>
        <w:spacing w:after="0" w:line="16" w:lineRule="exact"/>
        <w:rPr>
          <w:sz w:val="20"/>
          <w:szCs w:val="20"/>
          <w:color w:val="auto"/>
        </w:rPr>
      </w:pPr>
    </w:p>
    <w:p>
      <w:pPr>
        <w:ind w:left="820"/>
        <w:spacing w:after="0" w:line="260" w:lineRule="auto"/>
        <w:rPr>
          <w:sz w:val="20"/>
          <w:szCs w:val="20"/>
          <w:color w:val="auto"/>
        </w:rPr>
      </w:pPr>
      <w:r>
        <w:rPr>
          <w:rFonts w:ascii="Arial" w:cs="Arial" w:eastAsia="Arial" w:hAnsi="Arial"/>
          <w:sz w:val="16"/>
          <w:szCs w:val="16"/>
          <w:color w:val="auto"/>
        </w:rPr>
        <w:t>In addition to its standing committees, in 2014 the Board formed a Special Safety Committee to review and evaluate safety matters and make recommendations to the Board with respect to safety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12</w:t>
            </w:r>
          </w:p>
        </w:tc>
      </w:tr>
    </w:tbl>
    <w:p>
      <w:pPr>
        <w:sectPr>
          <w:pgSz w:w="11900" w:h="16838" w:orient="portrait"/>
          <w:cols w:equalWidth="0" w:num="1">
            <w:col w:w="11280"/>
          </w:cols>
          <w:pgMar w:left="24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205740</wp:posOffset>
            </wp:positionV>
            <wp:extent cx="216979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697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Consideration of Nominees</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process for selecting a director nominee starts with a preliminary assessment of each candidate based upon his/her resume and other biographical and background information, and his/her willingness to serve. The Committee considers prior Williams Board performance and contributions for any director nominee who is a current or former Board member. A candidate’s qualifications are then evaluated against the criteria set forth in “Proposal 1 — Election of Directors,” as well as the specific needs of Williams at the time. Qualified candidates are interviewed by the Chairman of the Board and at least one member of the Nominating and Governance Committee. Candidates may then meet with other members of the Board and senior management. At the conclusion of this process, the Nominating and Governance Committee may recommend and the Board act to appoint the candidate to the Board and recommend him or her for election by our stockholders at the next annual meeting.</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Nominating and Governance Committee uses the same process to evaluate all candidates regardless of the source of the nomination. The Committee has currently engaged a third party consultant to identify and evaluate potential director nominees.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Stockholder Nominations</w:t>
      </w:r>
    </w:p>
    <w:p>
      <w:pPr>
        <w:spacing w:after="0" w:line="7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Nominating and Governance Committee will consider written recommendations from stockholders for director nominations. If you wish to nominate a candidate, please forward the candidate’s name and a detailed description of the candidate’s qualifications, a document indicating the candidate’s willingness to serve, and evidence that you own Williams’ stock to: The Williams Companies, Inc., One Williams Center, MD 47, Tulsa, Oklahoma 74172, Attn: Corporate Secretary. A stockholder wishing to nominate a director candidate for election at the annual meeting of stockholders must also comply with the notice and other requirements described above under the question “</w:t>
      </w:r>
      <w:r>
        <w:rPr>
          <w:rFonts w:ascii="Arial" w:cs="Arial" w:eastAsia="Arial" w:hAnsi="Arial"/>
          <w:sz w:val="16"/>
          <w:szCs w:val="16"/>
          <w:i w:val="1"/>
          <w:iCs w:val="1"/>
          <w:color w:val="auto"/>
        </w:rPr>
        <w:t>May I propose actions for consideration at the 2016 meeting of stockholders?</w:t>
      </w: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Arrangements for Selection</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Corvex Management LP (“Corvex”), Mr. Keith Meister, Soroban Master Fund LP (“Soroban”), Soroban Capital Partners LP, Soroban Capital GP LLC, and Mr. Eric W. Mandelblatt (collectively, the “Investor Group”) collectively report beneficial ownership of over five percent of our shares and sought Board representation. In February 2014, we entered into an agreement with the Investor Group pursuant to which Messrs. Mandelblatt and Meister were appointed to our Board. Under the terms of the agreement, the Board also nominated Messrs. Mandelblatt and Meister to stand for election at our 2015 annual meeting. Corvex and Soroban agreed to vote their shares in support of all of the Board’s director nominees at that meeting. The agreement provides terms under which Messrs. Mandelblatt and Meister will offer to resign from our Board, including if Corvex and Soroban do not meet minimum share ownership requirements. Please read Security Ownership of Certain Beneficial Owners and Management for information about the shares reported as beneficially held by the Investor Group and our current report on Form 8-K filed with the SEC on February 25, 2014, for more information about our agreement with the Investor Group, including a copy of the agreement.</w:t>
      </w:r>
    </w:p>
    <w:p>
      <w:pPr>
        <w:spacing w:after="0" w:line="134"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13</w:t>
            </w: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6634480</wp:posOffset>
            </wp:positionH>
            <wp:positionV relativeFrom="paragraph">
              <wp:posOffset>205740</wp:posOffset>
            </wp:positionV>
            <wp:extent cx="6172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3420" w:val="left"/>
        </w:tabs>
        <w:rPr>
          <w:sz w:val="20"/>
          <w:szCs w:val="20"/>
          <w:color w:val="auto"/>
        </w:rPr>
      </w:pPr>
      <w:r>
        <w:rPr>
          <w:rFonts w:ascii="Arial" w:cs="Arial" w:eastAsia="Arial" w:hAnsi="Arial"/>
          <w:sz w:val="40"/>
          <w:szCs w:val="40"/>
          <w:b w:val="1"/>
          <w:bCs w:val="1"/>
          <w:color w:val="225CAB"/>
        </w:rPr>
        <w:t>PROPOSAL 1</w:t>
      </w:r>
      <w:r>
        <w:rPr>
          <w:sz w:val="20"/>
          <w:szCs w:val="20"/>
          <w:color w:val="auto"/>
        </w:rPr>
        <w:tab/>
      </w:r>
      <w:r>
        <w:rPr>
          <w:rFonts w:ascii="Arial" w:cs="Arial" w:eastAsia="Arial" w:hAnsi="Arial"/>
          <w:sz w:val="39"/>
          <w:szCs w:val="39"/>
          <w:color w:val="auto"/>
        </w:rPr>
        <w:t>ELECTION OF DIRECTORS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225CAB"/>
        </w:rPr>
        <w:t>The Board of Directors unanimously recommends a vote “FOR” the election of the directors named in Proposal 1.</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restated certificate of incorporation provides that the Board must consist of between five and 17 members, with the actual number of directors at any time to be determined by the Board. Our Board is declassified; each director nominee is considered for a one-year term. All of our directors are up for election in 2015. Unless otherwise instructed, the individuals designated by the Board as proxies intend to vote to elect Messrs. Armstrong, Cleveland, Hagg, Izzo, MacInnis, Mandelblatt, Meister, Nance, and Smith, Dr. Cooper, and Mesdames Hinshaw, Stoney, and Sugg. Should any of these nominees become unable for any reason to stand for election as a director, the designated proxies will vote to elect another nominee recommended by the Nominating and Governance Committee. Alternatively, the Board may choose to reduce its size.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and Nominee Experience and Qualifications</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At each of its regularly scheduled meetings, in satisfaction of our Corporate Governance Guidelines, the Nominating and Governance Committee evaluates the composition of the Board to assess the skills and experience that are currently represented on the Board, as well as the skills and experience that the Board will find valuable in the future, given the Company’s current situation and strategic plans. The Nominating and Governance Committee seeks a variety of occupational and personal backgrounds on the Board in order to obtain a range of viewpoints and perspectives and to enhance the diversity of the Board in such areas as geography, race, gender, ethnicity, and age. This assessment enables the Board to update (if necessary) the skills and experience it seeks in the Board as a whole, and in individual directors, as the Company’s needs evolve and change over time. For Board membership, the Nominating and Governance Committee considers the appropriate balance of experience, skills, and characteristics that best suits the needs of the Company and our stockholders. The Committee develops long-term Board succession plans to ensure that the appropriate balance is maintained.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minimum qualifications and attributes that the Nominating and Governance Committee believes a director nominee must possess include:</w:t>
      </w:r>
    </w:p>
    <w:p>
      <w:pPr>
        <w:spacing w:after="0" w:line="127"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understanding of business and financial affairs and the complexities of a business organization,</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genuine interest in Williams and in representing all of its stockholders,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willingness and ability to spend the time required to function effectively as a director,</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open-minded approach and the resolve to make independent decisions on matters presented for consideration, and</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reputation for honesty and integrity beyond question.</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evaluating the director nominees and in reviewing the qualifications and experience of the directors continuing in office, the Nominating and Governance Committee considered a variety of factors. These include each nominee’s independence, financial literacy, personal and professional accomplishments, and experience in light of the needs of the Company. For incumbent directors, the factors also include past performance on the Board. For Messrs. Mandelblatt and Meister, please read Arrangements for Selection above. Among other things, the</w:t>
      </w:r>
    </w:p>
    <w:p>
      <w:pPr>
        <w:spacing w:after="0" w:line="130"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14</w:t>
            </w: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6634480</wp:posOffset>
            </wp:positionH>
            <wp:positionV relativeFrom="paragraph">
              <wp:posOffset>205740</wp:posOffset>
            </wp:positionV>
            <wp:extent cx="6172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Board has determined that it is important to have individuals on the Board with the following skills and experiences: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4580" w:type="dxa"/>
            <w:vAlign w:val="bottom"/>
          </w:tcPr>
          <w:p>
            <w:pPr>
              <w:ind w:left="60"/>
              <w:spacing w:after="0"/>
              <w:rPr>
                <w:sz w:val="20"/>
                <w:szCs w:val="20"/>
                <w:color w:val="auto"/>
              </w:rPr>
            </w:pPr>
            <w:r>
              <w:rPr>
                <w:rFonts w:ascii="Arial" w:cs="Arial" w:eastAsia="Arial" w:hAnsi="Arial"/>
                <w:sz w:val="16"/>
                <w:szCs w:val="16"/>
                <w:color w:val="auto"/>
              </w:rPr>
              <w:t>Oil, Natural Gas, and Petrochemicals Industry</w:t>
            </w:r>
          </w:p>
        </w:tc>
        <w:tc>
          <w:tcPr>
            <w:tcW w:w="1360" w:type="dxa"/>
            <w:vAlign w:val="bottom"/>
          </w:tcPr>
          <w:p>
            <w:pPr>
              <w:ind w:left="1260"/>
              <w:spacing w:after="0"/>
              <w:rPr>
                <w:sz w:val="20"/>
                <w:szCs w:val="20"/>
                <w:color w:val="auto"/>
              </w:rPr>
            </w:pPr>
            <w:r>
              <w:rPr>
                <w:rFonts w:ascii="Arial" w:cs="Arial" w:eastAsia="Arial" w:hAnsi="Arial"/>
                <w:sz w:val="16"/>
                <w:szCs w:val="16"/>
                <w:color w:val="auto"/>
              </w:rPr>
              <w:t>•</w:t>
            </w:r>
          </w:p>
        </w:tc>
        <w:tc>
          <w:tcPr>
            <w:tcW w:w="3320" w:type="dxa"/>
            <w:vAlign w:val="bottom"/>
          </w:tcPr>
          <w:p>
            <w:pPr>
              <w:ind w:left="40"/>
              <w:spacing w:after="0"/>
              <w:rPr>
                <w:sz w:val="20"/>
                <w:szCs w:val="20"/>
                <w:color w:val="auto"/>
              </w:rPr>
            </w:pPr>
            <w:r>
              <w:rPr>
                <w:rFonts w:ascii="Arial" w:cs="Arial" w:eastAsia="Arial" w:hAnsi="Arial"/>
                <w:sz w:val="16"/>
                <w:szCs w:val="16"/>
                <w:color w:val="auto"/>
              </w:rPr>
              <w:t>Legal</w:t>
            </w: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4580" w:type="dxa"/>
            <w:vAlign w:val="bottom"/>
          </w:tcPr>
          <w:p>
            <w:pPr>
              <w:ind w:left="60"/>
              <w:spacing w:after="0"/>
              <w:rPr>
                <w:sz w:val="20"/>
                <w:szCs w:val="20"/>
                <w:color w:val="auto"/>
              </w:rPr>
            </w:pPr>
            <w:r>
              <w:rPr>
                <w:rFonts w:ascii="Arial" w:cs="Arial" w:eastAsia="Arial" w:hAnsi="Arial"/>
                <w:sz w:val="16"/>
                <w:szCs w:val="16"/>
                <w:color w:val="auto"/>
              </w:rPr>
              <w:t>Engineering and Construction</w:t>
            </w:r>
          </w:p>
        </w:tc>
        <w:tc>
          <w:tcPr>
            <w:tcW w:w="1360" w:type="dxa"/>
            <w:vAlign w:val="bottom"/>
          </w:tcPr>
          <w:p>
            <w:pPr>
              <w:ind w:left="1260"/>
              <w:spacing w:after="0"/>
              <w:rPr>
                <w:sz w:val="20"/>
                <w:szCs w:val="20"/>
                <w:color w:val="auto"/>
              </w:rPr>
            </w:pPr>
            <w:r>
              <w:rPr>
                <w:rFonts w:ascii="Arial" w:cs="Arial" w:eastAsia="Arial" w:hAnsi="Arial"/>
                <w:sz w:val="16"/>
                <w:szCs w:val="16"/>
                <w:color w:val="auto"/>
              </w:rPr>
              <w:t>•</w:t>
            </w:r>
          </w:p>
        </w:tc>
        <w:tc>
          <w:tcPr>
            <w:tcW w:w="3320" w:type="dxa"/>
            <w:vAlign w:val="bottom"/>
          </w:tcPr>
          <w:p>
            <w:pPr>
              <w:ind w:left="40"/>
              <w:spacing w:after="0"/>
              <w:rPr>
                <w:sz w:val="20"/>
                <w:szCs w:val="20"/>
                <w:color w:val="auto"/>
              </w:rPr>
            </w:pPr>
            <w:r>
              <w:rPr>
                <w:rFonts w:ascii="Arial" w:cs="Arial" w:eastAsia="Arial" w:hAnsi="Arial"/>
                <w:sz w:val="16"/>
                <w:szCs w:val="16"/>
                <w:color w:val="auto"/>
              </w:rPr>
              <w:t>Public Policy and Government</w:t>
            </w:r>
          </w:p>
        </w:tc>
      </w:tr>
      <w:tr>
        <w:trPr>
          <w:trHeight w:val="189"/>
        </w:trPr>
        <w:tc>
          <w:tcPr>
            <w:tcW w:w="4680" w:type="dxa"/>
            <w:vAlign w:val="bottom"/>
            <w:gridSpan w:val="2"/>
          </w:tcPr>
          <w:p>
            <w:pPr>
              <w:spacing w:after="0"/>
              <w:rPr>
                <w:sz w:val="20"/>
                <w:szCs w:val="20"/>
                <w:color w:val="auto"/>
              </w:rPr>
            </w:pPr>
            <w:r>
              <w:rPr>
                <w:rFonts w:ascii="Arial" w:cs="Arial" w:eastAsia="Arial" w:hAnsi="Arial"/>
                <w:sz w:val="16"/>
                <w:szCs w:val="16"/>
                <w:color w:val="auto"/>
              </w:rPr>
              <w:t>• Financial and Accounting</w:t>
            </w:r>
          </w:p>
        </w:tc>
        <w:tc>
          <w:tcPr>
            <w:tcW w:w="4680" w:type="dxa"/>
            <w:vAlign w:val="bottom"/>
            <w:gridSpan w:val="2"/>
          </w:tcPr>
          <w:p>
            <w:pPr>
              <w:ind w:left="1260"/>
              <w:spacing w:after="0"/>
              <w:rPr>
                <w:sz w:val="20"/>
                <w:szCs w:val="20"/>
                <w:color w:val="auto"/>
              </w:rPr>
            </w:pPr>
            <w:r>
              <w:rPr>
                <w:rFonts w:ascii="Arial" w:cs="Arial" w:eastAsia="Arial" w:hAnsi="Arial"/>
                <w:sz w:val="16"/>
                <w:szCs w:val="16"/>
                <w:color w:val="auto"/>
              </w:rPr>
              <w:t>• Strategy Development and Risk Management</w:t>
            </w: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4580" w:type="dxa"/>
            <w:vAlign w:val="bottom"/>
          </w:tcPr>
          <w:p>
            <w:pPr>
              <w:ind w:left="60"/>
              <w:spacing w:after="0"/>
              <w:rPr>
                <w:sz w:val="20"/>
                <w:szCs w:val="20"/>
                <w:color w:val="auto"/>
              </w:rPr>
            </w:pPr>
            <w:r>
              <w:rPr>
                <w:rFonts w:ascii="Arial" w:cs="Arial" w:eastAsia="Arial" w:hAnsi="Arial"/>
                <w:sz w:val="16"/>
                <w:szCs w:val="16"/>
                <w:color w:val="auto"/>
              </w:rPr>
              <w:t>Corporate Governance</w:t>
            </w:r>
          </w:p>
        </w:tc>
        <w:tc>
          <w:tcPr>
            <w:tcW w:w="1360" w:type="dxa"/>
            <w:vAlign w:val="bottom"/>
          </w:tcPr>
          <w:p>
            <w:pPr>
              <w:ind w:left="1260"/>
              <w:spacing w:after="0"/>
              <w:rPr>
                <w:sz w:val="20"/>
                <w:szCs w:val="20"/>
                <w:color w:val="auto"/>
              </w:rPr>
            </w:pPr>
            <w:r>
              <w:rPr>
                <w:rFonts w:ascii="Arial" w:cs="Arial" w:eastAsia="Arial" w:hAnsi="Arial"/>
                <w:sz w:val="16"/>
                <w:szCs w:val="16"/>
                <w:color w:val="auto"/>
              </w:rPr>
              <w:t>•</w:t>
            </w:r>
          </w:p>
        </w:tc>
        <w:tc>
          <w:tcPr>
            <w:tcW w:w="3320" w:type="dxa"/>
            <w:vAlign w:val="bottom"/>
          </w:tcPr>
          <w:p>
            <w:pPr>
              <w:ind w:left="40"/>
              <w:spacing w:after="0"/>
              <w:rPr>
                <w:sz w:val="20"/>
                <w:szCs w:val="20"/>
                <w:color w:val="auto"/>
              </w:rPr>
            </w:pPr>
            <w:r>
              <w:rPr>
                <w:rFonts w:ascii="Arial" w:cs="Arial" w:eastAsia="Arial" w:hAnsi="Arial"/>
                <w:sz w:val="16"/>
                <w:szCs w:val="16"/>
                <w:color w:val="auto"/>
              </w:rPr>
              <w:t>Operating</w:t>
            </w:r>
          </w:p>
        </w:tc>
      </w:tr>
      <w:tr>
        <w:trPr>
          <w:trHeight w:val="189"/>
        </w:trPr>
        <w:tc>
          <w:tcPr>
            <w:tcW w:w="4680" w:type="dxa"/>
            <w:vAlign w:val="bottom"/>
            <w:gridSpan w:val="2"/>
          </w:tcPr>
          <w:p>
            <w:pPr>
              <w:spacing w:after="0"/>
              <w:rPr>
                <w:sz w:val="20"/>
                <w:szCs w:val="20"/>
                <w:color w:val="auto"/>
              </w:rPr>
            </w:pPr>
            <w:r>
              <w:rPr>
                <w:rFonts w:ascii="Arial" w:cs="Arial" w:eastAsia="Arial" w:hAnsi="Arial"/>
                <w:sz w:val="16"/>
                <w:szCs w:val="16"/>
                <w:color w:val="auto"/>
              </w:rPr>
              <w:t>• Securities and Capital Markets</w:t>
            </w:r>
          </w:p>
        </w:tc>
        <w:tc>
          <w:tcPr>
            <w:tcW w:w="4680" w:type="dxa"/>
            <w:vAlign w:val="bottom"/>
            <w:gridSpan w:val="2"/>
          </w:tcPr>
          <w:p>
            <w:pPr>
              <w:ind w:left="1260"/>
              <w:spacing w:after="0"/>
              <w:rPr>
                <w:sz w:val="20"/>
                <w:szCs w:val="20"/>
                <w:color w:val="auto"/>
              </w:rPr>
            </w:pPr>
            <w:r>
              <w:rPr>
                <w:rFonts w:ascii="Arial" w:cs="Arial" w:eastAsia="Arial" w:hAnsi="Arial"/>
                <w:sz w:val="16"/>
                <w:szCs w:val="16"/>
                <w:color w:val="auto"/>
              </w:rPr>
              <w:t>• Human Resource Management</w:t>
            </w:r>
          </w:p>
        </w:tc>
      </w:tr>
      <w:tr>
        <w:trPr>
          <w:trHeight w:val="195"/>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4580" w:type="dxa"/>
            <w:vAlign w:val="bottom"/>
          </w:tcPr>
          <w:p>
            <w:pPr>
              <w:ind w:left="60"/>
              <w:spacing w:after="0"/>
              <w:rPr>
                <w:sz w:val="20"/>
                <w:szCs w:val="20"/>
                <w:color w:val="auto"/>
              </w:rPr>
            </w:pPr>
            <w:r>
              <w:rPr>
                <w:rFonts w:ascii="Arial" w:cs="Arial" w:eastAsia="Arial" w:hAnsi="Arial"/>
                <w:sz w:val="16"/>
                <w:szCs w:val="16"/>
                <w:color w:val="auto"/>
              </w:rPr>
              <w:t>Executive Leadership</w:t>
            </w:r>
          </w:p>
        </w:tc>
        <w:tc>
          <w:tcPr>
            <w:tcW w:w="1360" w:type="dxa"/>
            <w:vAlign w:val="bottom"/>
          </w:tcPr>
          <w:p>
            <w:pPr>
              <w:ind w:left="1260"/>
              <w:spacing w:after="0"/>
              <w:rPr>
                <w:sz w:val="20"/>
                <w:szCs w:val="20"/>
                <w:color w:val="auto"/>
              </w:rPr>
            </w:pPr>
            <w:r>
              <w:rPr>
                <w:rFonts w:ascii="Arial" w:cs="Arial" w:eastAsia="Arial" w:hAnsi="Arial"/>
                <w:sz w:val="16"/>
                <w:szCs w:val="16"/>
                <w:color w:val="auto"/>
              </w:rPr>
              <w:t>•</w:t>
            </w:r>
          </w:p>
        </w:tc>
        <w:tc>
          <w:tcPr>
            <w:tcW w:w="3320" w:type="dxa"/>
            <w:vAlign w:val="bottom"/>
          </w:tcPr>
          <w:p>
            <w:pPr>
              <w:ind w:left="40"/>
              <w:spacing w:after="0"/>
              <w:rPr>
                <w:sz w:val="20"/>
                <w:szCs w:val="20"/>
                <w:color w:val="auto"/>
              </w:rPr>
            </w:pPr>
            <w:r>
              <w:rPr>
                <w:rFonts w:ascii="Arial" w:cs="Arial" w:eastAsia="Arial" w:hAnsi="Arial"/>
                <w:sz w:val="16"/>
                <w:szCs w:val="16"/>
                <w:color w:val="auto"/>
              </w:rPr>
              <w:t>Information Technology</w:t>
            </w:r>
          </w:p>
        </w:tc>
      </w:tr>
    </w:tbl>
    <w:p>
      <w:pPr>
        <w:spacing w:after="0" w:line="62" w:lineRule="exact"/>
        <w:rPr>
          <w:sz w:val="20"/>
          <w:szCs w:val="20"/>
          <w:color w:val="auto"/>
        </w:rPr>
      </w:pPr>
    </w:p>
    <w:p>
      <w:pPr>
        <w:ind w:left="220" w:hanging="212"/>
        <w:spacing w:after="0" w:line="260" w:lineRule="auto"/>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Marketplace Knowledge (knowledge of the marketplace and political and regulatory environments relevant to the energy sector in the locations where we operate currently or plan to in the future)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We have included on the following pages certain information about the nominees for election as directors.</w:t>
      </w:r>
    </w:p>
    <w:p>
      <w:pPr>
        <w:spacing w:after="0" w:line="14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15</w:t>
            </w: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243330" cy="30530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43330"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225CAB"/>
        </w:rPr>
        <w:t>ALAN S.</w:t>
      </w:r>
    </w:p>
    <w:p>
      <w:pPr>
        <w:spacing w:after="0" w:line="10" w:lineRule="exact"/>
        <w:rPr>
          <w:sz w:val="20"/>
          <w:szCs w:val="20"/>
          <w:color w:val="auto"/>
        </w:rPr>
      </w:pPr>
    </w:p>
    <w:p>
      <w:pPr>
        <w:jc w:val="center"/>
        <w:ind w:left="200"/>
        <w:spacing w:after="0"/>
        <w:rPr>
          <w:sz w:val="20"/>
          <w:szCs w:val="20"/>
          <w:color w:val="auto"/>
        </w:rPr>
      </w:pPr>
      <w:r>
        <w:rPr>
          <w:rFonts w:ascii="Arial" w:cs="Arial" w:eastAsia="Arial" w:hAnsi="Arial"/>
          <w:sz w:val="19"/>
          <w:szCs w:val="19"/>
          <w:b w:val="1"/>
          <w:bCs w:val="1"/>
          <w:color w:val="225CAB"/>
        </w:rPr>
        <w:t>ARMSTRONG</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Armstrong, 52, became one of our directors and our Chief Executive Officer and President in 2011. From 2002 until January 2011, he was Senior Vice President-Midstream and acted as President of our midstream business. From 1999 to 2002, Mr. Armstrong was Vice President, Gathering and Processing for Midstream. From 1998 to 1999 he was Vice President, Commercial Development for our midstream business. Since the Merger</w:t>
      </w:r>
      <w:r>
        <w:rPr>
          <w:rFonts w:ascii="Arial" w:cs="Arial" w:eastAsia="Arial" w:hAnsi="Arial"/>
          <w:sz w:val="16"/>
          <w:szCs w:val="16"/>
          <w:b w:val="1"/>
          <w:bCs w:val="1"/>
          <w:color w:val="auto"/>
        </w:rPr>
        <w:t>*</w:t>
      </w:r>
      <w:r>
        <w:rPr>
          <w:rFonts w:ascii="Arial" w:cs="Arial" w:eastAsia="Arial" w:hAnsi="Arial"/>
          <w:sz w:val="16"/>
          <w:szCs w:val="16"/>
          <w:color w:val="auto"/>
        </w:rPr>
        <w:t>, Mr. Armstrong has served as Chairman of the Board and Chief Executive Officer of the general partner of Williams Partners L.P. Prior to the Merger, Mr. Armstrong served the general partner of Williams Partners as a director (since 2012) and its Chief Executive Officer (since December 31, 2014). Mr. Armstrong previously served the general partner of Pre-merger Williams Partners as Chairman of the Board and Chief Executive Officer (2011 until the Merger), director (2005 until the Merger), Senior Vice President – Midstream (2010-2011), and Chief Operating Officer (2005-2010). Mr. Armstrong has served as a director of BOK Financial Corporation since 2013. Mr. Armstrong also serves on the National Petroleum Council and as a director for the American Petroleum Institute. Mr. Armstrong serves as 2015 Chair of the Tulsa Regional Chamber’s Board of Directors. He is the past Chairman and a current board member of the University of Oklahoma College of Engineering Board of Visitors.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-2971165</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our current Chief Executive Officer and as acquired during his roles of increasing responsibilities in our midstream business, Mr. Armstrong’s qualifications include industry, engineering and construction, financial and accounting, corporate governance, securities and capital markets, executive leadership, strategy development and risk management, and operating experiences and marketplace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1312545</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-356235</wp:posOffset>
            </wp:positionV>
            <wp:extent cx="6172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Industry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Engineering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construction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Financial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accounting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w:t>
      </w:r>
    </w:p>
    <w:p>
      <w:pPr>
        <w:spacing w:after="0" w:line="127"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Securities and capital markets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Executive leadership</w:t>
      </w:r>
    </w:p>
    <w:p>
      <w:pPr>
        <w:spacing w:after="0" w:line="127"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Strategy development and risk management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Operating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Marketplace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knowledge</w:t>
      </w:r>
    </w:p>
    <w:p>
      <w:pPr>
        <w:spacing w:after="0" w:line="1120" w:lineRule="exact"/>
        <w:rPr>
          <w:sz w:val="20"/>
          <w:szCs w:val="20"/>
          <w:color w:val="auto"/>
        </w:rPr>
      </w:pPr>
    </w:p>
    <w:p>
      <w:pPr>
        <w:sectPr>
          <w:pgSz w:w="11900" w:h="16838" w:orient="portrait"/>
          <w:cols w:equalWidth="0" w:num="3">
            <w:col w:w="1920" w:space="720"/>
            <w:col w:w="6180" w:space="440"/>
            <w:col w:w="216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*Williams Partners L.P. merged with Access Midstream Partners, L.P. (each subsidiaries of the Company) in February 2015 (the “Merger”). Access Midstream Partners, L.P. was the surviving entity in the Merger and changed its name to Williams Partners L.P. Unless the context indicates otherwise, references in this document to (a) “Pre-merger Williams Partners” will mean Williams Partners L.P. prior to its Merger into Access Midstream Partners, L.P. and (b) “Williams Partners” will refer to both Access Midstream Partners, L.P. prior to and after the Merger, when it changed its name to Williams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370"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16</w:t>
            </w:r>
          </w:p>
        </w:tc>
      </w:tr>
    </w:tbl>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286510" cy="2813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6510"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240"/>
        <w:spacing w:after="0"/>
        <w:rPr>
          <w:sz w:val="20"/>
          <w:szCs w:val="20"/>
          <w:color w:val="auto"/>
        </w:rPr>
      </w:pPr>
      <w:r>
        <w:rPr>
          <w:rFonts w:ascii="Arial" w:cs="Arial" w:eastAsia="Arial" w:hAnsi="Arial"/>
          <w:sz w:val="20"/>
          <w:szCs w:val="20"/>
          <w:b w:val="1"/>
          <w:bCs w:val="1"/>
          <w:color w:val="225CAB"/>
        </w:rPr>
        <w:t>JOSEPH R.</w:t>
      </w:r>
    </w:p>
    <w:p>
      <w:pPr>
        <w:spacing w:after="0" w:line="10" w:lineRule="exact"/>
        <w:rPr>
          <w:sz w:val="20"/>
          <w:szCs w:val="20"/>
          <w:color w:val="auto"/>
        </w:rPr>
      </w:pPr>
    </w:p>
    <w:p>
      <w:pPr>
        <w:jc w:val="center"/>
        <w:ind w:left="240"/>
        <w:spacing w:after="0"/>
        <w:rPr>
          <w:sz w:val="20"/>
          <w:szCs w:val="20"/>
          <w:color w:val="auto"/>
        </w:rPr>
      </w:pPr>
      <w:r>
        <w:rPr>
          <w:rFonts w:ascii="Arial" w:cs="Arial" w:eastAsia="Arial" w:hAnsi="Arial"/>
          <w:sz w:val="20"/>
          <w:szCs w:val="20"/>
          <w:b w:val="1"/>
          <w:bCs w:val="1"/>
          <w:color w:val="225CAB"/>
        </w:rPr>
        <w:t>CLEVELAND</w:t>
      </w:r>
    </w:p>
    <w:p>
      <w:pPr>
        <w:spacing w:after="0" w:line="174"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2008</w:t>
      </w:r>
    </w:p>
    <w:p>
      <w:pPr>
        <w:spacing w:after="0" w:line="208"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u w:val="single" w:color="auto"/>
          <w:color w:val="auto"/>
        </w:rPr>
        <w:t>Committees</w:t>
      </w:r>
    </w:p>
    <w:p>
      <w:pPr>
        <w:spacing w:after="0" w:line="25"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Compensation;</w:t>
      </w:r>
    </w:p>
    <w:p>
      <w:pPr>
        <w:spacing w:after="0" w:line="5"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Nominating and</w:t>
      </w:r>
    </w:p>
    <w:p>
      <w:pPr>
        <w:spacing w:after="0" w:line="5"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Cleveland, 70, was the Chief Information Officer of Lockheed Martin Corporation (an advanced technology company) from 2001 to 2008. Mr. Cleveland was responsible for Lockheed Martin’s information technology vision, consolidating its resources, implementing e-commerce initiatives, leveraging economies of scale, and supporting its businesses. He was also President of Lockheed Martin Enterprise Information Systems from 1995 to 2008. From 2001 to 2008, Mr. Cleveland served as a director of Exostar (a joint venture formed to support the supply chain and security requirements of the aerospace and defense industry). Prior to the merger of Lockheed and Martin Marietta in 1995, Mr. Cleveland was Vice President and General Manager of Martin Marietta Internal Information Systems. From 1982 to 1986, Mr. Cleveland held an international assignment as Managing Director of GE Medical Systems Operations in Radlett, England. Mr. Cleveland began his career in 1970 as a member of General Electric Medical Systems’ engineering department. Mr. Cleveland is a member of the board of Aerospace Industries Association, the Florida High Tech Corridor Committee, the Metro Orlando Economic Development Commission, and the Dr. Phillips Center for the Performing Arts among other civic and charitable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-2850515</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the former Chief Information Officer of Lockheed Martin Corporation, a former Vice President of Martin Marietta, and due to his multiple executive operating positions with G.E., Mr. Cleveland’s qualifications include financial and accounting, executive leadership, strategy development and risk management, operating, and information technology experiences and marketplace knowledge.</w:t>
      </w:r>
    </w:p>
    <w:p>
      <w:pPr>
        <w:spacing w:after="0" w:line="157" w:lineRule="exact"/>
        <w:rPr>
          <w:sz w:val="20"/>
          <w:szCs w:val="20"/>
          <w:color w:val="auto"/>
        </w:rPr>
      </w:pPr>
    </w:p>
    <w:tbl>
      <w:tblPr>
        <w:tblLayout w:type="fixed"/>
        <w:tblInd w:w="96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17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-356235</wp:posOffset>
            </wp:positionV>
            <wp:extent cx="6172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Financial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accounting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Executive leadership</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Strategy development and risk management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Operating</w:t>
      </w:r>
    </w:p>
    <w:p>
      <w:pPr>
        <w:spacing w:after="0" w:line="127" w:lineRule="exact"/>
        <w:rPr>
          <w:sz w:val="20"/>
          <w:szCs w:val="20"/>
          <w:color w:val="auto"/>
        </w:rPr>
      </w:pPr>
    </w:p>
    <w:p>
      <w:pPr>
        <w:ind w:right="580"/>
        <w:spacing w:after="0" w:line="419" w:lineRule="auto"/>
        <w:rPr>
          <w:sz w:val="20"/>
          <w:szCs w:val="20"/>
          <w:color w:val="auto"/>
        </w:rPr>
      </w:pPr>
      <w:r>
        <w:rPr>
          <w:rFonts w:ascii="Arial" w:cs="Arial" w:eastAsia="Arial" w:hAnsi="Arial"/>
          <w:sz w:val="16"/>
          <w:szCs w:val="16"/>
          <w:color w:val="auto"/>
        </w:rPr>
        <w:t>Information technology Marketplace knowledge</w:t>
      </w:r>
    </w:p>
    <w:p>
      <w:pPr>
        <w:sectPr>
          <w:pgSz w:w="11900" w:h="16838" w:orient="portrait"/>
          <w:cols w:equalWidth="0" w:num="3">
            <w:col w:w="1960" w:space="720"/>
            <w:col w:w="6020" w:space="440"/>
            <w:col w:w="228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286510" cy="29330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6510"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220"/>
        <w:spacing w:after="0"/>
        <w:rPr>
          <w:sz w:val="20"/>
          <w:szCs w:val="20"/>
          <w:color w:val="auto"/>
        </w:rPr>
      </w:pPr>
      <w:r>
        <w:rPr>
          <w:rFonts w:ascii="Arial" w:cs="Arial" w:eastAsia="Arial" w:hAnsi="Arial"/>
          <w:sz w:val="20"/>
          <w:szCs w:val="20"/>
          <w:b w:val="1"/>
          <w:bCs w:val="1"/>
          <w:color w:val="225CAB"/>
        </w:rPr>
        <w:t>KATHLEEN B.</w:t>
      </w:r>
    </w:p>
    <w:p>
      <w:pPr>
        <w:spacing w:after="0" w:line="10" w:lineRule="exact"/>
        <w:rPr>
          <w:sz w:val="20"/>
          <w:szCs w:val="20"/>
          <w:color w:val="auto"/>
        </w:rPr>
      </w:pPr>
    </w:p>
    <w:p>
      <w:pPr>
        <w:jc w:val="center"/>
        <w:ind w:left="220"/>
        <w:spacing w:after="0"/>
        <w:rPr>
          <w:sz w:val="20"/>
          <w:szCs w:val="20"/>
          <w:color w:val="auto"/>
        </w:rPr>
      </w:pPr>
      <w:r>
        <w:rPr>
          <w:rFonts w:ascii="Arial" w:cs="Arial" w:eastAsia="Arial" w:hAnsi="Arial"/>
          <w:sz w:val="20"/>
          <w:szCs w:val="20"/>
          <w:b w:val="1"/>
          <w:bCs w:val="1"/>
          <w:color w:val="225CAB"/>
        </w:rPr>
        <w:t>COOPER</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2006</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6"/>
          <w:szCs w:val="16"/>
          <w:b w:val="1"/>
          <w:bCs w:val="1"/>
          <w:u w:val="single" w:color="auto"/>
          <w:color w:val="auto"/>
        </w:rPr>
        <w:t>Committees</w:t>
      </w:r>
    </w:p>
    <w:p>
      <w:pPr>
        <w:spacing w:after="0" w:line="25"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Audit (Chair); 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Dr. Cooper, 70, is Senior Fellow of the Tower Center for Political Studies at Southern Methodist University (since 2007) and President of Cooper Strategies International, LLC (since 2012). From 2005 to 2007, she was the Dean of the College of Business Administration at the University of North Texas. From 2001 to 2005, she was the Under Secretary for Economic Affairs at the U.S. Department of Commerce. Dr. Cooper worked at Exxon Mobil Corporation (an international oil and gas company) from 1990 to 2001, serving as Chief Economist the entire time and adding the position of Manager, Economics &amp; Energy Division, Corporate Planning in 1999. Dr. Cooper also served as Executive Vice President and Chief Economist for Security Pacific Bank from 1981 to 1990 and Chief Economist of United Banks of Colorado from 1971 to 1981. Dr. Cooper is currently a director of Deutsche Bank Trust Corporation and Deutsche Bank Trust Company of the Americas, subsidiaries of Deutsche Bank AG (a financial service provider) and the immediate former chair of the National Bureau of Economic Research. She was a founding director of Texas Security Bank from 2008 to 2010. Dr. Cooper is a member of the National Association of Corporate Director’s Advisory Council on Risk Oversight and has participated in numerous professional and community service organizations, including Harvard University’s Higher Education Leadership Forum, the Oxford Energy Forum, and the International Women’s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-2971165</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Senior Fellow of the Tower Center for Political Studies at Southern Methodist University, former Under Secretary for Economic Affairs at the U.S. Department of Commerce, and former executive of a Fortune 500 energy company, Dr. Cooper’s qualifications include industry, financial and accounting, executive leadership, and public policy and government experiences and marketplace knowledge.</w:t>
      </w:r>
    </w:p>
    <w:p>
      <w:pPr>
        <w:spacing w:after="0" w:line="157" w:lineRule="exact"/>
        <w:rPr>
          <w:sz w:val="20"/>
          <w:szCs w:val="20"/>
          <w:color w:val="auto"/>
        </w:rPr>
      </w:pPr>
    </w:p>
    <w:tbl>
      <w:tblPr>
        <w:tblLayout w:type="fixed"/>
        <w:tblInd w:w="96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18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-356235</wp:posOffset>
            </wp:positionV>
            <wp:extent cx="6172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Industry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Financial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accounting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Executive leadership</w:t>
      </w:r>
    </w:p>
    <w:p>
      <w:pPr>
        <w:spacing w:after="0" w:line="127"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Public policy and government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Marketplace knowledge</w:t>
      </w:r>
    </w:p>
    <w:p>
      <w:pPr>
        <w:sectPr>
          <w:pgSz w:w="11900" w:h="16838" w:orient="portrait"/>
          <w:cols w:equalWidth="0" w:num="3">
            <w:col w:w="1960" w:space="720"/>
            <w:col w:w="6240" w:space="440"/>
            <w:col w:w="1700"/>
          </w:cols>
          <w:pgMar w:left="240" w:top="459" w:right="5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286510" cy="4013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6510" cy="401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220"/>
        <w:spacing w:after="0"/>
        <w:rPr>
          <w:sz w:val="20"/>
          <w:szCs w:val="20"/>
          <w:color w:val="auto"/>
        </w:rPr>
      </w:pPr>
      <w:r>
        <w:rPr>
          <w:rFonts w:ascii="Arial" w:cs="Arial" w:eastAsia="Arial" w:hAnsi="Arial"/>
          <w:sz w:val="20"/>
          <w:szCs w:val="20"/>
          <w:b w:val="1"/>
          <w:bCs w:val="1"/>
          <w:color w:val="225CAB"/>
        </w:rPr>
        <w:t>JOHN A.</w:t>
      </w:r>
    </w:p>
    <w:p>
      <w:pPr>
        <w:spacing w:after="0" w:line="10" w:lineRule="exact"/>
        <w:rPr>
          <w:sz w:val="20"/>
          <w:szCs w:val="20"/>
          <w:color w:val="auto"/>
        </w:rPr>
      </w:pPr>
    </w:p>
    <w:p>
      <w:pPr>
        <w:jc w:val="center"/>
        <w:ind w:left="220"/>
        <w:spacing w:after="0"/>
        <w:rPr>
          <w:sz w:val="20"/>
          <w:szCs w:val="20"/>
          <w:color w:val="auto"/>
        </w:rPr>
      </w:pPr>
      <w:r>
        <w:rPr>
          <w:rFonts w:ascii="Arial" w:cs="Arial" w:eastAsia="Arial" w:hAnsi="Arial"/>
          <w:sz w:val="20"/>
          <w:szCs w:val="20"/>
          <w:b w:val="1"/>
          <w:bCs w:val="1"/>
          <w:color w:val="225CAB"/>
        </w:rPr>
        <w:t>HAGG</w:t>
      </w:r>
    </w:p>
    <w:p>
      <w:pPr>
        <w:spacing w:after="0" w:line="174"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2012</w:t>
      </w:r>
    </w:p>
    <w:p>
      <w:pPr>
        <w:spacing w:after="0" w:line="208"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u w:val="single" w:color="auto"/>
          <w:color w:val="auto"/>
        </w:rPr>
        <w:t>Committees</w:t>
      </w:r>
    </w:p>
    <w:p>
      <w:pPr>
        <w:spacing w:after="0" w:line="25"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Finance; Safety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Since 2006, Mr. Hagg, 67, has been a director of Strad Energy Services Ltd. (a drilling services company operating in the United States and Canada), serving as chair of its corporate governance committee and, until 2012, as the Chairman of its Board. Mr. Hagg has served as Chairman of Clark Builders (a Canadian subsidiary of Turner Construction Company) since 2007, and a director for The Fraser Institute (a Canadian economic research and educational organization) since 1999. Mr. Hagg also served as a director of TMX Group, Inc. (an integrated, multi-asset class exchange group and the parent company of The Toronto Stock Exchange, The Montreal Exchange, TSX Venture Exchange, and NGX Gas Marketing Inc.) from 2001 to 2012. Mr. Hagg served Northstar Energy Corporation (an oil and gas production company) as its Chief Executive Officer from 1985 to 1999 and its Chairman from 1985 to 2001. In 1977, Mr. Hagg co-founded Canadian Northstar Corporation (the former controlling shareholder of Northstar Energy Corporation, a subsidiary of Devon Energy Corporation since 1998). During his 35 years of experience as a senior executive in the petroleum industry, Mr. Hagg also formerly served as a director of several other companies in the exploration and production, drilling service, and financial sectors in Canada and the United States, including S&amp;T Drilling Ltd. (a Canadian oil well drilling contractor), Canadian Venture Exchange Inc. (a Canadian stock exchange now known as the TSX Venture Exchange), Devon Energy Corporation (an independent oil and natural gas exploration and production company), Berry Petroleum Company (an independent oil and natural gas exploration and production company), Petroshale Inc. (an independent oil and natural gas exploration and production company), and Tristone Capital, Inc. (a provider of corporate financial advisory and investment banking services to the energy industry now known as Macquarie Tristone).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-3692525</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With 37 years of experience as a senior executive in the exploration, production, service, and financial sectors of the petroleum industry in Canada and the United States, Mr. Hagg’s qualifications include industry, engineering and construction, financial and accounting, corporate governance, securities and capital markets, executive leadership, public policy and government, strategy development and risk management, operating, and human resource management experiences and marketplace knowledge.</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19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-356235</wp:posOffset>
            </wp:positionV>
            <wp:extent cx="6172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Industry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Engineering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construction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Financial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accounting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w:t>
      </w:r>
    </w:p>
    <w:p>
      <w:pPr>
        <w:spacing w:after="0" w:line="12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Securities and capital markets</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Executive leadership</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Public policy and government</w:t>
      </w:r>
    </w:p>
    <w:p>
      <w:pPr>
        <w:spacing w:after="0" w:line="12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Strategy development and risk management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Operating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Human resource</w:t>
      </w:r>
    </w:p>
    <w:p>
      <w:pPr>
        <w:spacing w:after="0" w:line="5" w:lineRule="exact"/>
        <w:rPr>
          <w:sz w:val="20"/>
          <w:szCs w:val="20"/>
          <w:color w:val="auto"/>
        </w:rPr>
      </w:pPr>
    </w:p>
    <w:p>
      <w:pPr>
        <w:ind w:right="440"/>
        <w:spacing w:after="0" w:line="419" w:lineRule="auto"/>
        <w:rPr>
          <w:sz w:val="20"/>
          <w:szCs w:val="20"/>
          <w:color w:val="auto"/>
        </w:rPr>
      </w:pPr>
      <w:r>
        <w:rPr>
          <w:rFonts w:ascii="Arial" w:cs="Arial" w:eastAsia="Arial" w:hAnsi="Arial"/>
          <w:sz w:val="16"/>
          <w:szCs w:val="16"/>
          <w:color w:val="auto"/>
        </w:rPr>
        <w:t>Management Marketplace knowledge</w:t>
      </w:r>
    </w:p>
    <w:p>
      <w:pPr>
        <w:sectPr>
          <w:pgSz w:w="11900" w:h="16838" w:orient="portrait"/>
          <w:cols w:equalWidth="0" w:num="3">
            <w:col w:w="1960" w:space="720"/>
            <w:col w:w="6140" w:space="440"/>
            <w:col w:w="214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243330" cy="2813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43330"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225CAB"/>
        </w:rPr>
        <w:t>JUANITA H.</w:t>
      </w:r>
    </w:p>
    <w:p>
      <w:pPr>
        <w:spacing w:after="0" w:line="10"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225CAB"/>
        </w:rPr>
        <w:t>HINSHAW</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2004</w:t>
      </w:r>
    </w:p>
    <w:p>
      <w:pPr>
        <w:spacing w:after="0" w:line="208" w:lineRule="exact"/>
        <w:rPr>
          <w:sz w:val="20"/>
          <w:szCs w:val="20"/>
          <w:color w:val="auto"/>
        </w:rPr>
      </w:pPr>
    </w:p>
    <w:p>
      <w:pPr>
        <w:jc w:val="center"/>
        <w:ind w:left="200"/>
        <w:spacing w:after="0"/>
        <w:rPr>
          <w:sz w:val="20"/>
          <w:szCs w:val="20"/>
          <w:color w:val="auto"/>
        </w:rPr>
      </w:pPr>
      <w:r>
        <w:rPr>
          <w:rFonts w:ascii="Arial" w:cs="Arial" w:eastAsia="Arial" w:hAnsi="Arial"/>
          <w:sz w:val="16"/>
          <w:szCs w:val="16"/>
          <w:b w:val="1"/>
          <w:bCs w:val="1"/>
          <w:u w:val="single" w:color="auto"/>
          <w:color w:val="auto"/>
        </w:rPr>
        <w:t>Committees</w:t>
      </w:r>
    </w:p>
    <w:p>
      <w:pPr>
        <w:spacing w:after="0" w:line="25"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Audit;</w:t>
      </w:r>
    </w:p>
    <w:p>
      <w:pPr>
        <w:spacing w:after="0" w:line="5"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Finance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Ms. Hinshaw, 70, is President and Chief Executive Officer of H&amp;H Advisors (a financial consulting firm she founded in 2005). From 2000 to 2005 she was Senior Vice President and Chief Financial Officer of Graybar Electric Company (a distributor of electrical and communications products and provider of related supply chain management and logistics services), where she was responsible for the treasury, tax, auditing, and accounting areas. Ms. Hinshaw was a director of Graybar from 2000 to 2005. Prior to joining Graybar, she was with Monsanto Company (an agricultural company that then owned oil and petrochemical businesses) for fifteen years, retiring as Monsanto’s Vice President and Treasurer in 1999. Ms. Hinshaw was a director of IPSCO (a supplier of steel products, tubular products, and coil processing services and products) from 2001 until the company was sold in 2007. Ms. Hinshaw is a director of Aegion Corporation, the parent holding company of Insituform Technologies Inc. (a provider of technologies and services for the rehabilitation of pipeline systems), which Ms. Hinshaw has served as a director since 2000. Ms. Hinshaw is also a director of Synergetics USA, Inc. (which designs, manufactures, and markets instruments used for eye and neurosurgery).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-2730500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the President and Chief Executive Officer of a consulting firm, the former Senior Vice President and Chief Financial Officer of Graybar Electric Company, and the former Vice President and Treasurer of Monsanto Company, Ms. Hinshaw’s qualifications include industry, financial and accounting, executive leadership, securities and capital markets, operating, and information technology experiences.</w:t>
      </w:r>
    </w:p>
    <w:p>
      <w:pPr>
        <w:spacing w:after="0" w:line="157" w:lineRule="exact"/>
        <w:rPr>
          <w:sz w:val="20"/>
          <w:szCs w:val="20"/>
          <w:color w:val="auto"/>
        </w:rPr>
      </w:pPr>
    </w:p>
    <w:tbl>
      <w:tblPr>
        <w:tblLayout w:type="fixed"/>
        <w:tblInd w:w="100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20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-356235</wp:posOffset>
            </wp:positionV>
            <wp:extent cx="6172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Industry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Financial and accounting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Executive leadership</w:t>
      </w:r>
    </w:p>
    <w:p>
      <w:pPr>
        <w:spacing w:after="0" w:line="127"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Securities and capital markets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Operating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Information technology</w:t>
      </w:r>
    </w:p>
    <w:p>
      <w:pPr>
        <w:sectPr>
          <w:pgSz w:w="11900" w:h="16838" w:orient="portrait"/>
          <w:cols w:equalWidth="0" w:num="3">
            <w:col w:w="1920" w:space="720"/>
            <w:col w:w="6060" w:space="440"/>
            <w:col w:w="1800"/>
          </w:cols>
          <w:pgMar w:left="240" w:top="459" w:right="7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243330" cy="30530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43330"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225CAB"/>
        </w:rPr>
        <w:t>RALPH</w:t>
      </w:r>
    </w:p>
    <w:p>
      <w:pPr>
        <w:spacing w:after="0" w:line="10"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225CAB"/>
        </w:rPr>
        <w:t>IZZO</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p>
      <w:pPr>
        <w:spacing w:after="0" w:line="208" w:lineRule="exact"/>
        <w:rPr>
          <w:sz w:val="20"/>
          <w:szCs w:val="20"/>
          <w:color w:val="auto"/>
        </w:rPr>
      </w:pPr>
    </w:p>
    <w:p>
      <w:pPr>
        <w:jc w:val="center"/>
        <w:ind w:left="200"/>
        <w:spacing w:after="0"/>
        <w:rPr>
          <w:sz w:val="20"/>
          <w:szCs w:val="20"/>
          <w:color w:val="auto"/>
        </w:rPr>
      </w:pPr>
      <w:r>
        <w:rPr>
          <w:rFonts w:ascii="Arial" w:cs="Arial" w:eastAsia="Arial" w:hAnsi="Arial"/>
          <w:sz w:val="16"/>
          <w:szCs w:val="16"/>
          <w:b w:val="1"/>
          <w:bCs w:val="1"/>
          <w:u w:val="single" w:color="auto"/>
          <w:color w:val="auto"/>
        </w:rPr>
        <w:t>Committees</w:t>
      </w:r>
    </w:p>
    <w:p>
      <w:pPr>
        <w:spacing w:after="0" w:line="25"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Audit;</w:t>
      </w:r>
    </w:p>
    <w:p>
      <w:pPr>
        <w:spacing w:after="0" w:line="5"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Izzo, 57, has served as Chairman of the Board, President, and Chief Executive Officer of Public Services Enterprise Group Incorporated (“PSEG”) (an integrated generation and energy delivery company) since 2007. He was named PSEG’s President, Chief Operating Officer, and a member of its board in 2006. Previously, he was President and Chief Operating Officer of Public Service Electric and Gas Company (“PSE&amp;G”). Mr. Izzo joined PSE&amp;G in 1992, holding roles of increasing responsibilities related to utility operations, appliance services, corporate planning, and electric ventures. Mr. Izzo also serves as a director of PSE&amp;G, PSEG Power LLC, PSEG Energy Holdings L.L.C., and PSEG Services Corporation, which are subsidiaries of PSEG. Mr. Izzo began his career as a research scientist at the Princeton Plasma Physic Laboratory, performing numerical simulation of fusion energy experiments. Mr. Izzo is chair of the board of directors for the New Jersey Chamber of Commerce and serves on the boards of the New Jersey Utilities Association, the Edison Electric Institute, the Nuclear Energy Institute, and The Center for Energy Workforce Development. He is also a member of the Columbia University School of Engineering Advisory Council, The Princeton Andlinger Energy &amp; Environment Center, as well as a member of the Visiting Committee for the Department of Nuclear Engineering at 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-2971165</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the Chairman of the Board, President, and Chief Executive Officer of PSEG, Mr. Izzo’s qualifications include industry, engineering and construction, financial and accounting, corporate governance, securities and capital markets, executive leadership, public policy and government, strategy development and risk management, operating, and human resource management experiences and marketplace knowledge.</w:t>
      </w:r>
    </w:p>
    <w:p>
      <w:pPr>
        <w:spacing w:after="0" w:line="159" w:lineRule="exact"/>
        <w:rPr>
          <w:sz w:val="20"/>
          <w:szCs w:val="20"/>
          <w:color w:val="auto"/>
        </w:rPr>
      </w:pPr>
    </w:p>
    <w:tbl>
      <w:tblPr>
        <w:tblLayout w:type="fixed"/>
        <w:tblInd w:w="100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-356235</wp:posOffset>
            </wp:positionV>
            <wp:extent cx="6172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Industry</w:t>
      </w:r>
    </w:p>
    <w:p>
      <w:pPr>
        <w:spacing w:after="0" w:line="127"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Engineering and construction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Financial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accounting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w:t>
      </w:r>
    </w:p>
    <w:p>
      <w:pPr>
        <w:spacing w:after="0" w:line="12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Securities and capital markets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Executive leadership</w:t>
      </w:r>
    </w:p>
    <w:p>
      <w:pPr>
        <w:spacing w:after="0" w:line="127"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Public policy and government</w:t>
      </w:r>
    </w:p>
    <w:p>
      <w:pPr>
        <w:spacing w:after="0" w:line="10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Strategy development and risk management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Operating</w:t>
      </w:r>
    </w:p>
    <w:p>
      <w:pPr>
        <w:spacing w:after="0" w:line="12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Human resource management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Marketplace knowledge</w:t>
      </w:r>
    </w:p>
    <w:p>
      <w:pPr>
        <w:sectPr>
          <w:pgSz w:w="11900" w:h="16838" w:orient="portrait"/>
          <w:cols w:equalWidth="0" w:num="3">
            <w:col w:w="1920" w:space="720"/>
            <w:col w:w="6180" w:space="440"/>
            <w:col w:w="1700"/>
          </w:cols>
          <w:pgMar w:left="240" w:top="459" w:right="6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449070" cy="29330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49070"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225CAB"/>
        </w:rPr>
        <w:t>FRANK T.</w:t>
      </w:r>
    </w:p>
    <w:p>
      <w:pPr>
        <w:spacing w:after="0" w:line="10"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225CAB"/>
        </w:rPr>
        <w:t>MACINNIS</w:t>
      </w:r>
    </w:p>
    <w:p>
      <w:pPr>
        <w:spacing w:after="0" w:line="174" w:lineRule="exact"/>
        <w:rPr>
          <w:sz w:val="20"/>
          <w:szCs w:val="20"/>
          <w:color w:val="auto"/>
        </w:rPr>
      </w:pPr>
    </w:p>
    <w:p>
      <w:pPr>
        <w:jc w:val="cente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1998</w:t>
      </w:r>
    </w:p>
    <w:p>
      <w:pPr>
        <w:spacing w:after="0" w:line="208" w:lineRule="exact"/>
        <w:rPr>
          <w:sz w:val="20"/>
          <w:szCs w:val="20"/>
          <w:color w:val="auto"/>
        </w:rPr>
      </w:pPr>
    </w:p>
    <w:p>
      <w:pPr>
        <w:jc w:val="center"/>
        <w:ind w:left="240"/>
        <w:spacing w:after="0"/>
        <w:rPr>
          <w:sz w:val="20"/>
          <w:szCs w:val="20"/>
          <w:color w:val="auto"/>
        </w:rPr>
      </w:pPr>
      <w:r>
        <w:rPr>
          <w:rFonts w:ascii="Arial" w:cs="Arial" w:eastAsia="Arial" w:hAnsi="Arial"/>
          <w:sz w:val="16"/>
          <w:szCs w:val="16"/>
          <w:b w:val="1"/>
          <w:bCs w:val="1"/>
          <w:color w:val="auto"/>
        </w:rPr>
        <w:t>Chairman of the Board</w:t>
      </w:r>
    </w:p>
    <w:p>
      <w:pPr>
        <w:spacing w:after="0" w:line="208" w:lineRule="exact"/>
        <w:rPr>
          <w:sz w:val="20"/>
          <w:szCs w:val="20"/>
          <w:color w:val="auto"/>
        </w:rPr>
      </w:pPr>
    </w:p>
    <w:p>
      <w:pPr>
        <w:jc w:val="center"/>
        <w:ind w:left="240"/>
        <w:spacing w:after="0"/>
        <w:rPr>
          <w:sz w:val="20"/>
          <w:szCs w:val="20"/>
          <w:color w:val="auto"/>
        </w:rPr>
      </w:pPr>
      <w:r>
        <w:rPr>
          <w:rFonts w:ascii="Arial" w:cs="Arial" w:eastAsia="Arial" w:hAnsi="Arial"/>
          <w:sz w:val="16"/>
          <w:szCs w:val="16"/>
          <w:b w:val="1"/>
          <w:bCs w:val="1"/>
          <w:u w:val="single" w:color="auto"/>
          <w:color w:val="auto"/>
        </w:rPr>
        <w:t>Committees</w:t>
      </w:r>
    </w:p>
    <w:p>
      <w:pPr>
        <w:spacing w:after="0" w:line="25"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Compensation;</w:t>
      </w:r>
    </w:p>
    <w:p>
      <w:pPr>
        <w:spacing w:after="0" w:line="5"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Nominating and</w:t>
      </w:r>
    </w:p>
    <w:p>
      <w:pPr>
        <w:spacing w:after="0" w:line="5"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Governance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MacInnis, 68, was named Chairman of our Board in 2011. He is a member of the board of directors of EMCOR Group, Inc. (an electrical and mechanical construction company and energy infrastructure service provider), where he previously served as Chairman of the Board from 1994 to 2013 and as Chief Executive Officer from 1994 to 2010, managing the reorganization and emergence from bankruptcy of its predecessor. Mr. MacInnis also is Chairman of the Board of ComNet Communications, LLC (a provider of turnkey voice, data, and video infrastructure support). He is a director and non-executive Chairman of the Board of ITT Corporation (a high-technology engineering and manufacturing company). Mr. MacInnis has served as a director of Gilbane, Inc. (a real estate development and construction firm) since 2012. From 1981 to 1984, Mr. MacInnis served as Chairman and Chief Executive Officer of H.C. Price Construction (a builder of large diameter oil and gas pipelines). He has managed construction and operations all over the world, including in Tehran, Baghdad, Bangkok, the United Arab Emirates, London, the United States, and Canada. Mr. MacInnis has a law degree, having graduated from the University of Alberta Law School in 1971.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-2730500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the Chairman of our Board and ITT Corporation, the former Chairman of the Board and Chief Executive Officer of EMCOR Group, Inc., and the current Chairman of the Board and Chief Executive Officer of ComNet Communications, LLC, Mr. MacInnis’ qualifications include industry, engineering and construction, financial and accounting, corporate governance, executive leadership, legal, strategy development and risk management, operating, and human resource management experiences and marketplace knowledge.</w:t>
      </w:r>
    </w:p>
    <w:p>
      <w:pPr>
        <w:spacing w:after="0" w:line="163" w:lineRule="exact"/>
        <w:rPr>
          <w:sz w:val="20"/>
          <w:szCs w:val="20"/>
          <w:color w:val="auto"/>
        </w:rPr>
      </w:pPr>
    </w:p>
    <w:tbl>
      <w:tblPr>
        <w:tblLayout w:type="fixed"/>
        <w:tblInd w:w="72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-356235</wp:posOffset>
            </wp:positionV>
            <wp:extent cx="6172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Industry</w:t>
      </w:r>
    </w:p>
    <w:p>
      <w:pPr>
        <w:spacing w:after="0" w:line="127"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Engineering and construction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Financial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accounting</w:t>
      </w:r>
    </w:p>
    <w:p>
      <w:pPr>
        <w:spacing w:after="0" w:line="127" w:lineRule="exact"/>
        <w:rPr>
          <w:sz w:val="20"/>
          <w:szCs w:val="20"/>
          <w:color w:val="auto"/>
        </w:rPr>
      </w:pPr>
    </w:p>
    <w:p>
      <w:pPr>
        <w:ind w:right="100"/>
        <w:spacing w:after="0" w:line="405" w:lineRule="auto"/>
        <w:rPr>
          <w:sz w:val="20"/>
          <w:szCs w:val="20"/>
          <w:color w:val="auto"/>
        </w:rPr>
      </w:pPr>
      <w:r>
        <w:rPr>
          <w:rFonts w:ascii="Arial" w:cs="Arial" w:eastAsia="Arial" w:hAnsi="Arial"/>
          <w:sz w:val="16"/>
          <w:szCs w:val="16"/>
          <w:color w:val="auto"/>
        </w:rPr>
        <w:t>Corporate governance Executive leadership Legal</w:t>
      </w:r>
    </w:p>
    <w:p>
      <w:pPr>
        <w:ind w:right="140"/>
        <w:spacing w:after="0" w:line="260" w:lineRule="auto"/>
        <w:rPr>
          <w:sz w:val="20"/>
          <w:szCs w:val="20"/>
          <w:color w:val="auto"/>
        </w:rPr>
      </w:pPr>
      <w:r>
        <w:rPr>
          <w:rFonts w:ascii="Arial" w:cs="Arial" w:eastAsia="Arial" w:hAnsi="Arial"/>
          <w:sz w:val="16"/>
          <w:szCs w:val="16"/>
          <w:color w:val="auto"/>
        </w:rPr>
        <w:t>Strategy development and risk management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Operating</w:t>
      </w:r>
    </w:p>
    <w:p>
      <w:pPr>
        <w:spacing w:after="0" w:line="12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Human resource management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Marketplace knowledge</w:t>
      </w:r>
    </w:p>
    <w:p>
      <w:pPr>
        <w:sectPr>
          <w:pgSz w:w="11900" w:h="16838" w:orient="portrait"/>
          <w:cols w:equalWidth="0" w:num="3">
            <w:col w:w="2200" w:space="720"/>
            <w:col w:w="5920" w:space="440"/>
            <w:col w:w="1700"/>
          </w:cols>
          <w:pgMar w:left="240" w:top="459" w:right="6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311910" cy="23495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1191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220"/>
        <w:spacing w:after="0"/>
        <w:rPr>
          <w:sz w:val="20"/>
          <w:szCs w:val="20"/>
          <w:color w:val="auto"/>
        </w:rPr>
      </w:pPr>
      <w:r>
        <w:rPr>
          <w:rFonts w:ascii="Arial" w:cs="Arial" w:eastAsia="Arial" w:hAnsi="Arial"/>
          <w:sz w:val="20"/>
          <w:szCs w:val="20"/>
          <w:b w:val="1"/>
          <w:bCs w:val="1"/>
          <w:color w:val="225CAB"/>
        </w:rPr>
        <w:t>ERIC W.</w:t>
      </w:r>
    </w:p>
    <w:p>
      <w:pPr>
        <w:spacing w:after="0" w:line="10" w:lineRule="exact"/>
        <w:rPr>
          <w:sz w:val="20"/>
          <w:szCs w:val="20"/>
          <w:color w:val="auto"/>
        </w:rPr>
      </w:pPr>
    </w:p>
    <w:p>
      <w:pPr>
        <w:jc w:val="center"/>
        <w:ind w:left="220"/>
        <w:spacing w:after="0"/>
        <w:rPr>
          <w:sz w:val="20"/>
          <w:szCs w:val="20"/>
          <w:color w:val="auto"/>
        </w:rPr>
      </w:pPr>
      <w:r>
        <w:rPr>
          <w:rFonts w:ascii="Arial" w:cs="Arial" w:eastAsia="Arial" w:hAnsi="Arial"/>
          <w:sz w:val="20"/>
          <w:szCs w:val="20"/>
          <w:b w:val="1"/>
          <w:bCs w:val="1"/>
          <w:color w:val="225CAB"/>
        </w:rPr>
        <w:t>MANDELBLATT</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2014</w:t>
      </w:r>
    </w:p>
    <w:p>
      <w:pPr>
        <w:spacing w:after="0" w:line="208" w:lineRule="exact"/>
        <w:rPr>
          <w:sz w:val="20"/>
          <w:szCs w:val="20"/>
          <w:color w:val="auto"/>
        </w:rPr>
      </w:pPr>
    </w:p>
    <w:p>
      <w:pPr>
        <w:jc w:val="center"/>
        <w:ind w:left="220"/>
        <w:spacing w:after="0" w:line="266" w:lineRule="auto"/>
        <w:rPr>
          <w:sz w:val="20"/>
          <w:szCs w:val="20"/>
          <w:color w:val="auto"/>
        </w:rPr>
      </w:pPr>
      <w:r>
        <w:rPr>
          <w:rFonts w:ascii="Arial" w:cs="Arial" w:eastAsia="Arial" w:hAnsi="Arial"/>
          <w:sz w:val="16"/>
          <w:szCs w:val="16"/>
          <w:b w:val="1"/>
          <w:bCs w:val="1"/>
          <w:u w:val="single" w:color="auto"/>
          <w:color w:val="auto"/>
        </w:rPr>
        <w:t xml:space="preserve">Committees </w:t>
      </w:r>
      <w:r>
        <w:rPr>
          <w:rFonts w:ascii="Arial" w:cs="Arial" w:eastAsia="Arial" w:hAnsi="Arial"/>
          <w:sz w:val="16"/>
          <w:szCs w:val="16"/>
          <w:color w:val="auto"/>
        </w:rPr>
        <w:t>Finance; Nominating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11910" cy="257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1191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225CAB"/>
        </w:rPr>
        <w:t>KEITH A.</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225CAB"/>
        </w:rPr>
        <w:t>MEISTER</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2014</w:t>
      </w:r>
    </w:p>
    <w:p>
      <w:pPr>
        <w:spacing w:after="0" w:line="208"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u w:val="single" w:color="auto"/>
          <w:color w:val="auto"/>
        </w:rPr>
        <w:t>Committees</w:t>
      </w:r>
    </w:p>
    <w:p>
      <w:pPr>
        <w:spacing w:after="0" w:line="25"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Audit;</w:t>
      </w:r>
    </w:p>
    <w:p>
      <w:pPr>
        <w:spacing w:after="0" w:line="5"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Since 2010, Mr. Mandelblatt, 39, has been the Managing Partner and Chief Investment Officer of Soroban Capital Partners LLC (a New York-based investment firm). Mr. Mandelblatt was previously one of the Partners and Portfolio Managers of TPG-Axon Capital (a global investment firm) and, prior to that, he held a number of positions within the Equities Division at Goldman Sachs &amp; Co. Mr. Mandelblatt currently serves as a board member of the Harlem Children’s Zone, the University of Florida Investment Corporation and the Ronald McDonald House New York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-1651635</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the Managing Partner and Chief Investment Officer of an investment firm and as acquired throughout his prior roles within the investment management industry, Mr. Mandelblatt’s qualifications include financial and accounting, securities and capital markets, executive leadership, and strategy development and risk management experiences and marketplace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Meister, 42, has been the Managing Partner of Corvex Management LP (a New York based investment firm) since 2011. From 2003 to August 2010, Mr. Meister served as Chief Executive Officer and then Principal Executive Officer and Vice Chairman of the Board of Icahn Enterprises G.P. Inc., the general partner of Icahn Enterprises L.P. (a diversified holding company). From 2002 to 2010, Mr. Meister served as Senior Investment Analyst of High River Limited Partnership (an entity primarily engaged in the business of holding and investing in securities). Mr. Meister previously served on the board of directors of several public companies, including The ADT Corporation (a provider of electronic security, interactive home and business automation and alarm monitoring services), Ralcorp Holdings, Inc. (a food manufacturer), XO Holdings (a provider of telecommunications and Internet services), Motorola Mobility and Motorola, Inc. (a manufacturer of telecommunications equipment), Federal Mogul (a manufacturer and supplier of powertrain components and vehicle safety products), American Railcar Industries (a designer and manufacturer of hopper and tank railcars), and American Casino &amp; Entertainment Properties LLC (an owner and operator of gaming and entertainment properties).</w:t>
      </w:r>
    </w:p>
    <w:p>
      <w:pPr>
        <w:spacing w:after="0" w:line="23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As the Managing Partner of an investment firm and as acquired throughout his prior roles within the investment management industry and his extensive board service, Mr. Meister’s qualifications include financial and accounting, securities and capital markets, executive leadership, and strategy development and risk management experiences and marketplace knowledge.</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23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-356235</wp:posOffset>
            </wp:positionV>
            <wp:extent cx="6172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Financial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accounting</w:t>
      </w:r>
    </w:p>
    <w:p>
      <w:pPr>
        <w:spacing w:after="0" w:line="12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Securities and capital markets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Executive leadership</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Strategy development and risk management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Marketplace</w:t>
      </w:r>
    </w:p>
    <w:p>
      <w:pPr>
        <w:spacing w:after="0"/>
        <w:rPr>
          <w:sz w:val="20"/>
          <w:szCs w:val="20"/>
          <w:color w:val="auto"/>
        </w:rPr>
      </w:pPr>
      <w:r>
        <w:rPr>
          <w:rFonts w:ascii="Arial" w:cs="Arial" w:eastAsia="Arial" w:hAnsi="Arial"/>
          <w:sz w:val="17"/>
          <w:szCs w:val="17"/>
          <w:color w:val="auto"/>
        </w:rPr>
        <w:t>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AREAS OF EXPERTISE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Financial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accounting</w:t>
      </w:r>
    </w:p>
    <w:p>
      <w:pPr>
        <w:spacing w:after="0" w:line="12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Securities and capital markets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Executive leadership</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Strategy development and risk management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Marketplace</w:t>
      </w:r>
    </w:p>
    <w:p>
      <w:pPr>
        <w:spacing w:after="0"/>
        <w:rPr>
          <w:sz w:val="20"/>
          <w:szCs w:val="20"/>
          <w:color w:val="auto"/>
        </w:rPr>
      </w:pPr>
      <w:r>
        <w:rPr>
          <w:rFonts w:ascii="Arial" w:cs="Arial" w:eastAsia="Arial" w:hAnsi="Arial"/>
          <w:sz w:val="17"/>
          <w:szCs w:val="17"/>
          <w:color w:val="auto"/>
        </w:rPr>
        <w:t>knowledge</w:t>
      </w:r>
    </w:p>
    <w:p>
      <w:pPr>
        <w:sectPr>
          <w:pgSz w:w="11900" w:h="16838" w:orient="portrait"/>
          <w:cols w:equalWidth="0" w:num="3">
            <w:col w:w="2020" w:space="700"/>
            <w:col w:w="6560" w:space="440"/>
            <w:col w:w="1580"/>
          </w:cols>
          <w:pgMar w:left="24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243330" cy="30530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43330"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225CAB"/>
        </w:rPr>
        <w:t>STEVEN W.</w:t>
      </w:r>
    </w:p>
    <w:p>
      <w:pPr>
        <w:spacing w:after="0" w:line="10"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225CAB"/>
        </w:rPr>
        <w:t>NANCE</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2012</w:t>
      </w:r>
    </w:p>
    <w:p>
      <w:pPr>
        <w:spacing w:after="0" w:line="208" w:lineRule="exact"/>
        <w:rPr>
          <w:sz w:val="20"/>
          <w:szCs w:val="20"/>
          <w:color w:val="auto"/>
        </w:rPr>
      </w:pPr>
    </w:p>
    <w:p>
      <w:pPr>
        <w:jc w:val="center"/>
        <w:ind w:left="200" w:right="60"/>
        <w:spacing w:after="0" w:line="266" w:lineRule="auto"/>
        <w:rPr>
          <w:sz w:val="20"/>
          <w:szCs w:val="20"/>
          <w:color w:val="auto"/>
        </w:rPr>
      </w:pPr>
      <w:r>
        <w:rPr>
          <w:rFonts w:ascii="Arial" w:cs="Arial" w:eastAsia="Arial" w:hAnsi="Arial"/>
          <w:sz w:val="16"/>
          <w:szCs w:val="16"/>
          <w:b w:val="1"/>
          <w:bCs w:val="1"/>
          <w:u w:val="single" w:color="auto"/>
          <w:color w:val="auto"/>
        </w:rPr>
        <w:t xml:space="preserve">Committees </w:t>
      </w:r>
      <w:r>
        <w:rPr>
          <w:rFonts w:ascii="Arial" w:cs="Arial" w:eastAsia="Arial" w:hAnsi="Arial"/>
          <w:sz w:val="16"/>
          <w:szCs w:val="16"/>
          <w:color w:val="auto"/>
        </w:rPr>
        <w:t>Compensation; Safety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Nance, 58, is president and manager of Steele Creek Energy, LLC (a private company with investments primarily in oil and natural gas). He has also served as a director of Cloud Peak Energy, Inc. since 2010 (a coal producing company specializing in the production of low sulfur, subbituminous coal), chairing its health, safety, environment and communities committee and serving as a member of its audit committee and compensation committee. In addition, Mr. Nance has served as a director for Newfield Exploration Company since 2013 where he serves on the compensation and management development committee and the operations and reserves committee. Mr. Nance has more than 35 years of experience in the oil and gas industry, 12 of which he spent performing roles of increasing responsibility for Burlington Resources Inc. and its affiliates (an independent natural gas exploration and production company), departing as its Vice President, Gulf Coast Division, in 1997. From 1997 to 1999, Mr. Nance served XPLOR Energy and its predecessor company (a Gulf Coast-based exploration and production company), acting as its Chairman, President and Chief Executive Officer in 1999 when XPLOR Energy was acquired by Harken Energy Corporation. From 2000 to 2007, Mr. Nance served as President of Peoples Energy Production Company (an oil and gas production company) until it was acquired by a subsidiary of El Paso Corporation. Mr. Nance serves on the board for The Center for the Performing Arts at the Woodlands.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-3091180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With his experience in the oil and gas industry, including leadership of XPLOR Energy, Peoples Energy Production Company, and Steele Creek Energy, Mr. Nance’s qualifications include industry, financial and accounting, executive leadership, strategy development and risk management, operating, and human resource management experiences.</w:t>
      </w:r>
    </w:p>
    <w:p>
      <w:pPr>
        <w:spacing w:after="0" w:line="157" w:lineRule="exact"/>
        <w:rPr>
          <w:sz w:val="20"/>
          <w:szCs w:val="20"/>
          <w:color w:val="auto"/>
        </w:rPr>
      </w:pPr>
    </w:p>
    <w:tbl>
      <w:tblPr>
        <w:tblLayout w:type="fixed"/>
        <w:tblInd w:w="100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-356235</wp:posOffset>
            </wp:positionV>
            <wp:extent cx="6172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Industry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Financial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accounting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Executive leadership</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Strategy development and risk management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Operating</w:t>
      </w:r>
    </w:p>
    <w:p>
      <w:pPr>
        <w:spacing w:after="0" w:line="12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Human resource management</w:t>
      </w:r>
    </w:p>
    <w:p>
      <w:pPr>
        <w:sectPr>
          <w:pgSz w:w="11900" w:h="16838" w:orient="portrait"/>
          <w:cols w:equalWidth="0" w:num="3">
            <w:col w:w="1920" w:space="720"/>
            <w:col w:w="6180" w:space="440"/>
            <w:col w:w="1580"/>
          </w:cols>
          <w:pgMar w:left="240" w:top="459" w:right="8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243330" cy="23926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4333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80"/>
        <w:spacing w:after="0"/>
        <w:rPr>
          <w:sz w:val="20"/>
          <w:szCs w:val="20"/>
          <w:color w:val="auto"/>
        </w:rPr>
      </w:pPr>
      <w:r>
        <w:rPr>
          <w:rFonts w:ascii="Arial" w:cs="Arial" w:eastAsia="Arial" w:hAnsi="Arial"/>
          <w:sz w:val="20"/>
          <w:szCs w:val="20"/>
          <w:b w:val="1"/>
          <w:bCs w:val="1"/>
          <w:color w:val="225CAB"/>
        </w:rPr>
        <w:t>MURRAY D.</w:t>
      </w:r>
    </w:p>
    <w:p>
      <w:pPr>
        <w:spacing w:after="0" w:line="10" w:lineRule="exact"/>
        <w:rPr>
          <w:sz w:val="20"/>
          <w:szCs w:val="20"/>
          <w:color w:val="auto"/>
        </w:rPr>
      </w:pPr>
    </w:p>
    <w:p>
      <w:pPr>
        <w:jc w:val="center"/>
        <w:ind w:left="200"/>
        <w:spacing w:after="0"/>
        <w:rPr>
          <w:sz w:val="20"/>
          <w:szCs w:val="20"/>
          <w:color w:val="auto"/>
        </w:rPr>
      </w:pPr>
      <w:r>
        <w:rPr>
          <w:rFonts w:ascii="Arial" w:cs="Arial" w:eastAsia="Arial" w:hAnsi="Arial"/>
          <w:sz w:val="20"/>
          <w:szCs w:val="20"/>
          <w:b w:val="1"/>
          <w:bCs w:val="1"/>
          <w:color w:val="225CAB"/>
        </w:rPr>
        <w:t>SMITH</w:t>
      </w:r>
    </w:p>
    <w:p>
      <w:pPr>
        <w:spacing w:after="0" w:line="174"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2012</w:t>
      </w:r>
    </w:p>
    <w:p>
      <w:pPr>
        <w:spacing w:after="0" w:line="397" w:lineRule="exact"/>
        <w:rPr>
          <w:sz w:val="20"/>
          <w:szCs w:val="20"/>
          <w:color w:val="auto"/>
        </w:rPr>
      </w:pPr>
    </w:p>
    <w:p>
      <w:pPr>
        <w:jc w:val="center"/>
        <w:ind w:left="200"/>
        <w:spacing w:after="0"/>
        <w:rPr>
          <w:sz w:val="20"/>
          <w:szCs w:val="20"/>
          <w:color w:val="auto"/>
        </w:rPr>
      </w:pPr>
      <w:r>
        <w:rPr>
          <w:rFonts w:ascii="Arial" w:cs="Arial" w:eastAsia="Arial" w:hAnsi="Arial"/>
          <w:sz w:val="16"/>
          <w:szCs w:val="16"/>
          <w:b w:val="1"/>
          <w:bCs w:val="1"/>
          <w:u w:val="single" w:color="auto"/>
          <w:color w:val="auto"/>
        </w:rPr>
        <w:t>Committees</w:t>
      </w:r>
    </w:p>
    <w:p>
      <w:pPr>
        <w:spacing w:after="0" w:line="25"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Finance;</w:t>
      </w:r>
    </w:p>
    <w:p>
      <w:pPr>
        <w:spacing w:after="0" w:line="5"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Safety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Smith, 65, is president of Murray D. Smith and Associates (a consulting firm which provides strategic advice to the North American energy sector). From 1993 to 2004 Mr. Smith was an elected member of the Legislative Assembly of Alberta, Canada, serving in four different Cabinet portfolios. He served as Minister of Energy for Alberta, Canada from 2001 to 2004, where he achieved international recognition of Alberta’s oil sands reserves, oversaw the transformation of its electricity sector to a competitive wholesale generation market, and initiated the largest industrial tax reduction in the Province’s history. Mr. Smith was appointed Representative of the Province of Alberta to the United States of America in Washington, DC, from 2005 to 2007. Prior to serving in elected office, Mr. Smith was an independent businessman, owning a number of Alberta-based energy services companies. He is also a director of Surge Energy Inc. (a public oil- focused oil and gas company with operations throughout Alberta and Saskatchewan), NSolv Corporation (the owner of proprietary technology for water-free oil sands in-situ extraction), and Critical Control Solutions (a public Canadian provider of energy measurement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-2489835</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As a former member of the Legislative Assembly of Alberta, Canada and diplomat and now an energy consultant, Mr. Smith’s qualifications include industry, engineering and construction, corporate governance, securities and capital markets, executive leadership, and public policy and government experiences and marketplace knowledge.</w:t>
      </w:r>
    </w:p>
    <w:p>
      <w:pPr>
        <w:spacing w:after="0" w:line="251" w:lineRule="exact"/>
        <w:rPr>
          <w:sz w:val="20"/>
          <w:szCs w:val="20"/>
          <w:color w:val="auto"/>
        </w:rPr>
      </w:pPr>
    </w:p>
    <w:tbl>
      <w:tblPr>
        <w:tblLayout w:type="fixed"/>
        <w:tblInd w:w="100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-356235</wp:posOffset>
            </wp:positionV>
            <wp:extent cx="6172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Industry</w:t>
      </w:r>
    </w:p>
    <w:p>
      <w:pPr>
        <w:spacing w:after="0" w:line="127"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Engineering and construction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w:t>
      </w:r>
    </w:p>
    <w:p>
      <w:pPr>
        <w:spacing w:after="0" w:line="12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Securities and capital markets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Executive leadership</w:t>
      </w:r>
    </w:p>
    <w:p>
      <w:pPr>
        <w:spacing w:after="0" w:line="127"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Public policy and government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Marketplace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knowledge</w:t>
      </w:r>
    </w:p>
    <w:p>
      <w:pPr>
        <w:sectPr>
          <w:pgSz w:w="11900" w:h="16838" w:orient="portrait"/>
          <w:cols w:equalWidth="0" w:num="3">
            <w:col w:w="1920" w:space="720"/>
            <w:col w:w="6640" w:space="440"/>
            <w:col w:w="162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380490" cy="2693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8049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240"/>
        <w:spacing w:after="0"/>
        <w:rPr>
          <w:sz w:val="20"/>
          <w:szCs w:val="20"/>
          <w:color w:val="auto"/>
        </w:rPr>
      </w:pPr>
      <w:r>
        <w:rPr>
          <w:rFonts w:ascii="Arial" w:cs="Arial" w:eastAsia="Arial" w:hAnsi="Arial"/>
          <w:sz w:val="20"/>
          <w:szCs w:val="20"/>
          <w:b w:val="1"/>
          <w:bCs w:val="1"/>
          <w:color w:val="225CAB"/>
        </w:rPr>
        <w:t>JANICE D.</w:t>
      </w:r>
    </w:p>
    <w:p>
      <w:pPr>
        <w:spacing w:after="0" w:line="10" w:lineRule="exact"/>
        <w:rPr>
          <w:sz w:val="20"/>
          <w:szCs w:val="20"/>
          <w:color w:val="auto"/>
        </w:rPr>
      </w:pPr>
    </w:p>
    <w:p>
      <w:pPr>
        <w:jc w:val="center"/>
        <w:ind w:left="240"/>
        <w:spacing w:after="0"/>
        <w:rPr>
          <w:sz w:val="20"/>
          <w:szCs w:val="20"/>
          <w:color w:val="auto"/>
        </w:rPr>
      </w:pPr>
      <w:r>
        <w:rPr>
          <w:rFonts w:ascii="Arial" w:cs="Arial" w:eastAsia="Arial" w:hAnsi="Arial"/>
          <w:sz w:val="20"/>
          <w:szCs w:val="20"/>
          <w:b w:val="1"/>
          <w:bCs w:val="1"/>
          <w:color w:val="225CAB"/>
        </w:rPr>
        <w:t>STONEY</w:t>
      </w:r>
    </w:p>
    <w:p>
      <w:pPr>
        <w:spacing w:after="0" w:line="174" w:lineRule="exact"/>
        <w:rPr>
          <w:sz w:val="20"/>
          <w:szCs w:val="20"/>
          <w:color w:val="auto"/>
        </w:rPr>
      </w:pPr>
    </w:p>
    <w:p>
      <w:pPr>
        <w:jc w:val="cente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1999</w:t>
      </w:r>
    </w:p>
    <w:p>
      <w:pPr>
        <w:spacing w:after="0" w:line="208" w:lineRule="exact"/>
        <w:rPr>
          <w:sz w:val="20"/>
          <w:szCs w:val="20"/>
          <w:color w:val="auto"/>
        </w:rPr>
      </w:pPr>
    </w:p>
    <w:p>
      <w:pPr>
        <w:jc w:val="center"/>
        <w:ind w:left="240" w:right="120"/>
        <w:spacing w:after="0" w:line="259" w:lineRule="auto"/>
        <w:rPr>
          <w:sz w:val="20"/>
          <w:szCs w:val="20"/>
          <w:color w:val="auto"/>
        </w:rPr>
      </w:pPr>
      <w:r>
        <w:rPr>
          <w:rFonts w:ascii="Arial" w:cs="Arial" w:eastAsia="Arial" w:hAnsi="Arial"/>
          <w:sz w:val="16"/>
          <w:szCs w:val="16"/>
          <w:b w:val="1"/>
          <w:bCs w:val="1"/>
          <w:u w:val="single" w:color="auto"/>
          <w:color w:val="auto"/>
        </w:rPr>
        <w:t xml:space="preserve">Committees </w:t>
      </w:r>
      <w:r>
        <w:rPr>
          <w:rFonts w:ascii="Arial" w:cs="Arial" w:eastAsia="Arial" w:hAnsi="Arial"/>
          <w:sz w:val="16"/>
          <w:szCs w:val="16"/>
          <w:color w:val="auto"/>
        </w:rPr>
        <w:t>Compensation (Chair); 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Ms. Stoney, 74, served as Executive Vice President of US West Communications Group, Inc. from 1991 until retiring in 1993 after a 33-year career. Previously she served as the President, Consumer Division, of US West (the Denver-based parent company of Northwestern Bell Telephone Company, Mountain States Telephone &amp; Telegraph Company, and Pacific Northwest Bell Telephone Company) from 1989 to 1991. Beginning in 1980, Ms. Stoney held officer positions at Northwestern Bell, including Chief Operating Officer and President and Chief Executive Officer. Ms. Stoney was the 1994 Nebraska Republican nominee for the U.S. Senate. Through 22 years as a director in manufacturing, consumer products, retailing, and investment funds industries, Ms. Stoney has board experience with director searches, CEO and management succession, management development, executive compensation, and strategic planning. She has chaired compensation and audit committees for other entities. Ms. Stoney was a director of Whirlpool Corporation (a manufacturer of home appliances) from 1987 to 2011 and has served on the Federal Reserve Bank, Tenth District, Omaha Branch and the Omaha Community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-2730500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a former Executive Vice President of US West Communications Group, Inc., Chief Executive Officer of Northwestern Bell, and through her engagement in the political process, Ms. Stoney’s qualifications include corporate governance, executive leadership, public policy and government, strategy development and risk management, operating, and human resource management experiences.</w:t>
      </w:r>
    </w:p>
    <w:p>
      <w:pPr>
        <w:spacing w:after="0" w:line="157"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26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-356235</wp:posOffset>
            </wp:positionV>
            <wp:extent cx="6172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95" w:lineRule="exact"/>
        <w:rPr>
          <w:sz w:val="20"/>
          <w:szCs w:val="20"/>
          <w:color w:val="auto"/>
        </w:rPr>
      </w:pPr>
    </w:p>
    <w:p>
      <w:pPr>
        <w:spacing w:after="0" w:line="405" w:lineRule="auto"/>
        <w:rPr>
          <w:sz w:val="20"/>
          <w:szCs w:val="20"/>
          <w:color w:val="auto"/>
        </w:rPr>
      </w:pPr>
      <w:r>
        <w:rPr>
          <w:rFonts w:ascii="Arial" w:cs="Arial" w:eastAsia="Arial" w:hAnsi="Arial"/>
          <w:sz w:val="16"/>
          <w:szCs w:val="16"/>
          <w:color w:val="auto"/>
        </w:rPr>
        <w:t>Corporate governance Executive leadership</w:t>
      </w:r>
    </w:p>
    <w:p>
      <w:pPr>
        <w:ind w:right="400"/>
        <w:spacing w:after="0" w:line="260" w:lineRule="auto"/>
        <w:rPr>
          <w:sz w:val="20"/>
          <w:szCs w:val="20"/>
          <w:color w:val="auto"/>
        </w:rPr>
      </w:pPr>
      <w:r>
        <w:rPr>
          <w:rFonts w:ascii="Arial" w:cs="Arial" w:eastAsia="Arial" w:hAnsi="Arial"/>
          <w:sz w:val="16"/>
          <w:szCs w:val="16"/>
          <w:color w:val="auto"/>
        </w:rPr>
        <w:t>Public policy and government</w:t>
      </w:r>
    </w:p>
    <w:p>
      <w:pPr>
        <w:spacing w:after="0" w:line="10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Strategy development and risk management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Operating</w:t>
      </w:r>
    </w:p>
    <w:p>
      <w:pPr>
        <w:spacing w:after="0" w:line="127"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Human resource management</w:t>
      </w:r>
    </w:p>
    <w:p>
      <w:pPr>
        <w:sectPr>
          <w:pgSz w:w="11900" w:h="16838" w:orient="portrait"/>
          <w:cols w:equalWidth="0" w:num="3">
            <w:col w:w="2100" w:space="720"/>
            <w:col w:w="6000" w:space="460"/>
            <w:col w:w="1600"/>
          </w:cols>
          <w:pgMar w:left="240" w:top="459" w:right="7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1355090" cy="36531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55090"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220"/>
        <w:spacing w:after="0"/>
        <w:rPr>
          <w:sz w:val="20"/>
          <w:szCs w:val="20"/>
          <w:color w:val="auto"/>
        </w:rPr>
      </w:pPr>
      <w:r>
        <w:rPr>
          <w:rFonts w:ascii="Arial" w:cs="Arial" w:eastAsia="Arial" w:hAnsi="Arial"/>
          <w:sz w:val="20"/>
          <w:szCs w:val="20"/>
          <w:b w:val="1"/>
          <w:bCs w:val="1"/>
          <w:color w:val="225CAB"/>
        </w:rPr>
        <w:t>LAURA A.</w:t>
      </w:r>
    </w:p>
    <w:p>
      <w:pPr>
        <w:spacing w:after="0" w:line="10" w:lineRule="exact"/>
        <w:rPr>
          <w:sz w:val="20"/>
          <w:szCs w:val="20"/>
          <w:color w:val="auto"/>
        </w:rPr>
      </w:pPr>
    </w:p>
    <w:p>
      <w:pPr>
        <w:jc w:val="center"/>
        <w:ind w:left="220"/>
        <w:spacing w:after="0"/>
        <w:rPr>
          <w:sz w:val="20"/>
          <w:szCs w:val="20"/>
          <w:color w:val="auto"/>
        </w:rPr>
      </w:pPr>
      <w:r>
        <w:rPr>
          <w:rFonts w:ascii="Arial" w:cs="Arial" w:eastAsia="Arial" w:hAnsi="Arial"/>
          <w:sz w:val="20"/>
          <w:szCs w:val="20"/>
          <w:b w:val="1"/>
          <w:bCs w:val="1"/>
          <w:color w:val="225CAB"/>
        </w:rPr>
        <w:t>SUGG</w:t>
      </w:r>
    </w:p>
    <w:p>
      <w:pPr>
        <w:spacing w:after="0" w:line="174"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208"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u w:val="single" w:color="auto"/>
          <w:color w:val="auto"/>
        </w:rPr>
        <w:t>Committees</w:t>
      </w:r>
    </w:p>
    <w:p>
      <w:pPr>
        <w:spacing w:after="0" w:line="25"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Compensation; Safety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Ms. Sugg, 54, retired from ConocoPhillips in 2010 (then an international, integrated oil company), having served as President, Australasia Division, a position responsible for the profit &amp; loss and growth responsibility of ConocoPhillip’s operations in Australia and East Timor. Ms. Sugg began her career in 1983 at Sohio Petroleum and joined Phillips Petroleum, now ConocoPhillips, in 1986 and performed various business development, human resources and operations roles. From 2003 to 2005, Ms. Sugg was ConocoPhillip’s General Manager E&amp;P Human Resources, with responsibility for global compensation and benefits, leadership succession planning, and all human resource functions for 10,000 worldwide employees in 16 countries. From 2002 to 2003, Ms. Sugg was a ConocoPhillip’s midstream executive responsible for profit &amp; loss, health, safety and environment, and operations for its gas gathering, processing, and fractionation business in the U.S., Canada, and Trinidad. From 2000 to 2002, Ms. Sugg was Vice President Worldwide Gas for Phillips with responsibility for its global liquefied natural gas and coal bed methane business development and the profit and loss for its North American gas marketing operations. In 2012, Ms. Sugg joined the board of Denbury Resources, Inc. (an independent oil and gas company) where she serves as the chair of the compensation committee. In February 2015, Ms. Sugg joined the board of Murphy Oil Corporation (an independent oil and gas company). Ms. Sugg served as a director and audit committee member of the general partner of Pre-merger Williams Partners from December 2011 to May 2012 and from January 2014 until the Merger in February 2015. Ms. Sugg was a director of Mariner Energy, Inc. (an independent oil and gas exploration and production company) from 2009 until its merger with Apache Corporation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-3700780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the former President - Australasia Division, General Manager E&amp;P Human Resources, and a midstream executive, each with ConocoPhillips, Ms. Sugg’s qualifications include industry, engineering and construction, financial and accounting, corporate governance, executive leadership, strategy development and risk management, operating, and human resource management experiences.</w:t>
      </w:r>
    </w:p>
    <w:p>
      <w:pPr>
        <w:spacing w:after="0" w:line="157"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27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-365125</wp:posOffset>
            </wp:positionV>
            <wp:extent cx="6172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Industry</w:t>
      </w:r>
    </w:p>
    <w:p>
      <w:pPr>
        <w:spacing w:after="0" w:line="127"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Engineering and construction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Financial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accounting</w:t>
      </w:r>
    </w:p>
    <w:p>
      <w:pPr>
        <w:spacing w:after="0" w:line="127" w:lineRule="exact"/>
        <w:rPr>
          <w:sz w:val="20"/>
          <w:szCs w:val="20"/>
          <w:color w:val="auto"/>
        </w:rPr>
      </w:pPr>
    </w:p>
    <w:p>
      <w:pPr>
        <w:spacing w:after="0" w:line="405" w:lineRule="auto"/>
        <w:rPr>
          <w:sz w:val="20"/>
          <w:szCs w:val="20"/>
          <w:color w:val="auto"/>
        </w:rPr>
      </w:pPr>
      <w:r>
        <w:rPr>
          <w:rFonts w:ascii="Arial" w:cs="Arial" w:eastAsia="Arial" w:hAnsi="Arial"/>
          <w:sz w:val="16"/>
          <w:szCs w:val="16"/>
          <w:color w:val="auto"/>
        </w:rPr>
        <w:t>Corporate governance Executive leadership</w:t>
      </w:r>
    </w:p>
    <w:p>
      <w:pPr>
        <w:ind w:right="40"/>
        <w:spacing w:after="0" w:line="260" w:lineRule="auto"/>
        <w:rPr>
          <w:sz w:val="20"/>
          <w:szCs w:val="20"/>
          <w:color w:val="auto"/>
        </w:rPr>
      </w:pPr>
      <w:r>
        <w:rPr>
          <w:rFonts w:ascii="Arial" w:cs="Arial" w:eastAsia="Arial" w:hAnsi="Arial"/>
          <w:sz w:val="16"/>
          <w:szCs w:val="16"/>
          <w:color w:val="auto"/>
        </w:rPr>
        <w:t>Strategy development and risk management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Operating</w:t>
      </w:r>
    </w:p>
    <w:p>
      <w:pPr>
        <w:spacing w:after="0" w:line="12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Human resource management</w:t>
      </w:r>
    </w:p>
    <w:p>
      <w:pPr>
        <w:sectPr>
          <w:pgSz w:w="11900" w:h="16838" w:orient="portrait"/>
          <w:cols w:equalWidth="0" w:num="3">
            <w:col w:w="2060" w:space="720"/>
            <w:col w:w="6040" w:space="440"/>
            <w:col w:w="1620"/>
          </w:cols>
          <w:pgMar w:left="240" w:top="459" w:right="7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Security Ownership of Certain Beneficial Owners and Management</w:t>
      </w:r>
    </w:p>
    <w:p>
      <w:pPr>
        <w:spacing w:after="0" w:line="26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sets forth information concerning beneficial ownership by holders of five percent or more of our common stock. Unless otherwise indicated, the persons named have sole voting and investment power with respect to the shares listed.</w:t>
      </w:r>
    </w:p>
    <w:p>
      <w:pPr>
        <w:spacing w:after="0" w:line="201" w:lineRule="exact"/>
        <w:rPr>
          <w:sz w:val="20"/>
          <w:szCs w:val="20"/>
          <w:color w:val="auto"/>
        </w:rPr>
      </w:pPr>
    </w:p>
    <w:tbl>
      <w:tblPr>
        <w:tblLayout w:type="fixed"/>
        <w:tblInd w:w="470" w:type="dxa"/>
        <w:tblCellMar>
          <w:top w:w="0" w:type="dxa"/>
          <w:left w:w="0" w:type="dxa"/>
          <w:bottom w:w="0" w:type="dxa"/>
          <w:right w:w="0" w:type="dxa"/>
        </w:tblCellMar>
      </w:tblPr>
      <w:tr>
        <w:trPr>
          <w:trHeight w:val="184"/>
        </w:trPr>
        <w:tc>
          <w:tcPr>
            <w:tcW w:w="5260" w:type="dxa"/>
            <w:vAlign w:val="bottom"/>
            <w:tcBorders>
              <w:top w:val="single" w:sz="8" w:color="auto"/>
              <w:left w:val="single" w:sz="8" w:color="auto"/>
            </w:tcBorders>
          </w:tcPr>
          <w:p>
            <w:pPr>
              <w:spacing w:after="0"/>
              <w:rPr>
                <w:sz w:val="16"/>
                <w:szCs w:val="16"/>
                <w:color w:val="auto"/>
              </w:rPr>
            </w:pPr>
          </w:p>
        </w:tc>
        <w:tc>
          <w:tcPr>
            <w:tcW w:w="32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Number of Share of</w:t>
            </w:r>
          </w:p>
        </w:tc>
        <w:tc>
          <w:tcPr>
            <w:tcW w:w="2020" w:type="dxa"/>
            <w:vAlign w:val="bottom"/>
            <w:tcBorders>
              <w:top w:val="single" w:sz="8" w:color="auto"/>
              <w:right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Percent</w:t>
            </w:r>
          </w:p>
        </w:tc>
      </w:tr>
      <w:tr>
        <w:trPr>
          <w:trHeight w:val="221"/>
        </w:trPr>
        <w:tc>
          <w:tcPr>
            <w:tcW w:w="52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Name</w:t>
            </w:r>
          </w:p>
        </w:tc>
        <w:tc>
          <w:tcPr>
            <w:tcW w:w="32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Common Stock</w:t>
            </w:r>
          </w:p>
        </w:tc>
        <w:tc>
          <w:tcPr>
            <w:tcW w:w="2020" w:type="dxa"/>
            <w:vAlign w:val="bottom"/>
            <w:tcBorders>
              <w:bottom w:val="single" w:sz="8" w:color="auto"/>
              <w:right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 xml:space="preserve">of Class </w:t>
            </w:r>
            <w:r>
              <w:rPr>
                <w:rFonts w:ascii="Arial" w:cs="Arial" w:eastAsia="Arial" w:hAnsi="Arial"/>
                <w:sz w:val="10"/>
                <w:szCs w:val="10"/>
                <w:b w:val="1"/>
                <w:bCs w:val="1"/>
                <w:color w:val="auto"/>
              </w:rPr>
              <w:t>(3)</w:t>
            </w:r>
          </w:p>
        </w:tc>
      </w:tr>
      <w:tr>
        <w:trPr>
          <w:trHeight w:val="183"/>
        </w:trPr>
        <w:tc>
          <w:tcPr>
            <w:tcW w:w="5260" w:type="dxa"/>
            <w:vAlign w:val="bottom"/>
            <w:tcBorders>
              <w:left w:val="single" w:sz="8" w:color="auto"/>
            </w:tcBorders>
            <w:shd w:val="clear" w:color="auto" w:fill="DDE6F2"/>
          </w:tcPr>
          <w:p>
            <w:pPr>
              <w:ind w:left="160"/>
              <w:spacing w:after="0" w:line="183" w:lineRule="exact"/>
              <w:rPr>
                <w:sz w:val="20"/>
                <w:szCs w:val="20"/>
                <w:color w:val="auto"/>
              </w:rPr>
            </w:pPr>
            <w:r>
              <w:rPr>
                <w:rFonts w:ascii="Arial" w:cs="Arial" w:eastAsia="Arial" w:hAnsi="Arial"/>
                <w:sz w:val="16"/>
                <w:szCs w:val="16"/>
                <w:color w:val="auto"/>
              </w:rPr>
              <w:t xml:space="preserve">Corvex Management LP / Soroban Master Fund LP </w:t>
            </w:r>
            <w:r>
              <w:rPr>
                <w:rFonts w:ascii="Arial" w:cs="Arial" w:eastAsia="Arial" w:hAnsi="Arial"/>
                <w:sz w:val="10"/>
                <w:szCs w:val="10"/>
                <w:color w:val="auto"/>
              </w:rPr>
              <w:t>(1)</w:t>
            </w:r>
          </w:p>
        </w:tc>
        <w:tc>
          <w:tcPr>
            <w:tcW w:w="3240" w:type="dxa"/>
            <w:vAlign w:val="bottom"/>
            <w:shd w:val="clear" w:color="auto" w:fill="DDE6F2"/>
          </w:tcPr>
          <w:p>
            <w:pPr>
              <w:jc w:val="right"/>
              <w:ind w:right="439"/>
              <w:spacing w:after="0" w:line="183" w:lineRule="exact"/>
              <w:rPr>
                <w:sz w:val="20"/>
                <w:szCs w:val="20"/>
                <w:color w:val="auto"/>
              </w:rPr>
            </w:pPr>
            <w:r>
              <w:rPr>
                <w:rFonts w:ascii="Arial" w:cs="Arial" w:eastAsia="Arial" w:hAnsi="Arial"/>
                <w:sz w:val="16"/>
                <w:szCs w:val="16"/>
                <w:color w:val="auto"/>
              </w:rPr>
              <w:t>62,682,960</w:t>
            </w:r>
          </w:p>
        </w:tc>
        <w:tc>
          <w:tcPr>
            <w:tcW w:w="2020" w:type="dxa"/>
            <w:vAlign w:val="bottom"/>
            <w:tcBorders>
              <w:right w:val="single" w:sz="8" w:color="auto"/>
            </w:tcBorders>
            <w:shd w:val="clear" w:color="auto" w:fill="DDE6F2"/>
          </w:tcPr>
          <w:p>
            <w:pPr>
              <w:jc w:val="right"/>
              <w:ind w:right="479"/>
              <w:spacing w:after="0" w:line="183" w:lineRule="exact"/>
              <w:rPr>
                <w:sz w:val="20"/>
                <w:szCs w:val="20"/>
                <w:color w:val="auto"/>
              </w:rPr>
            </w:pPr>
            <w:r>
              <w:rPr>
                <w:rFonts w:ascii="Arial" w:cs="Arial" w:eastAsia="Arial" w:hAnsi="Arial"/>
                <w:sz w:val="16"/>
                <w:szCs w:val="16"/>
                <w:color w:val="auto"/>
              </w:rPr>
              <w:t>8.38%</w:t>
            </w:r>
          </w:p>
        </w:tc>
      </w:tr>
      <w:tr>
        <w:trPr>
          <w:trHeight w:val="189"/>
        </w:trPr>
        <w:tc>
          <w:tcPr>
            <w:tcW w:w="52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 xml:space="preserve">The Vanguard Group </w:t>
            </w:r>
            <w:r>
              <w:rPr>
                <w:rFonts w:ascii="Arial" w:cs="Arial" w:eastAsia="Arial" w:hAnsi="Arial"/>
                <w:sz w:val="10"/>
                <w:szCs w:val="10"/>
                <w:color w:val="auto"/>
              </w:rPr>
              <w:t>(2)</w:t>
            </w:r>
          </w:p>
        </w:tc>
        <w:tc>
          <w:tcPr>
            <w:tcW w:w="3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38,879,631</w:t>
            </w:r>
          </w:p>
        </w:tc>
        <w:tc>
          <w:tcPr>
            <w:tcW w:w="202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5.2%</w:t>
            </w:r>
          </w:p>
        </w:tc>
      </w:tr>
    </w:tbl>
    <w:p>
      <w:pPr>
        <w:spacing w:after="0" w:line="248" w:lineRule="exact"/>
        <w:rPr>
          <w:sz w:val="20"/>
          <w:szCs w:val="20"/>
          <w:color w:val="auto"/>
        </w:rPr>
      </w:pPr>
    </w:p>
    <w:p>
      <w:pPr>
        <w:jc w:val="both"/>
        <w:ind w:left="800" w:right="420" w:hanging="346"/>
        <w:spacing w:after="0" w:line="235" w:lineRule="auto"/>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According to a Schedule 13D filed with the SEC on December 16, 2013, as amended on January 13, 2014, February 4, 2014, February 5, 2014, February 14, 2014, February 25, 2014, and November 19, 2014 (as amended, the “13D”), the shares of common stock listed in the table represent the aggregate number of shares that may be beneficially owned by the following (collectively, the “Reporting Persons”): (a) Corvex Management LP, a Delaware limited partnership (“Corvex”), (b) Keith Meister, (collectively with Corvex, the “Corvex Persons”), (c) Soroban Master Fund LP, a Cayman Islands exempted limited partnership (“SMF Fund”) (d) Soroban Capital GP LLC, a Delaware limited liability company (“SCGP LLC”), (e) Soroban Capital Partners LP, a Delaware limited partnership (“SCP LP”), and (f) Eric W. Mandelblatt (collectively with SMF Fund, SCGP LLC and SCP LP, the “Soroban Persons”). The foregoing entities and persons jointly filed the 13D, indicating that they may constitute a “group” within the meaning of Section 13 of the Exchange Act. The 13D further reports an agreement between Corvex and SCP LP relating to taking certain actions with respect to us. The 13D indicates that Corvex may be the beneficial owner of and have sole voting and dispositive power over 41,682,960 shares of our common stock held for the account of certain private investment funds for which Corvex acts as investment advisor. The 13D also notes that Mr. Meister, by virtue of his position as control person of the general partner of Corvex, may be considered to beneficially own such shares. The 13D indicates that the Soroban Persons may be the beneficial owner of and have shared voting and dispositive power over 21,000,000 shares of our common stock held for the account of SMF Fund, a private investment fund for which SCP LP acts as investment manager. SCGP LLC is the general partner of SMF Fund and is controlled by Mr. Mandelblatt through his role as Managing Partner of SCGP LLC. SCP LP is controlled by Mr. Mandelblatt through his role as Managing Partner of SCP LP. The principal business address of the Corvex Persons is 712 Fifth Avenue, 23</w:t>
      </w:r>
      <w:r>
        <w:rPr>
          <w:rFonts w:ascii="Arial" w:cs="Arial" w:eastAsia="Arial" w:hAnsi="Arial"/>
          <w:sz w:val="24"/>
          <w:szCs w:val="24"/>
          <w:color w:val="auto"/>
          <w:vertAlign w:val="superscript"/>
        </w:rPr>
        <w:t>rd</w:t>
      </w:r>
      <w:r>
        <w:rPr>
          <w:rFonts w:ascii="Arial" w:cs="Arial" w:eastAsia="Arial" w:hAnsi="Arial"/>
          <w:sz w:val="14"/>
          <w:szCs w:val="14"/>
          <w:color w:val="auto"/>
        </w:rPr>
        <w:t xml:space="preserve"> Floor, New York, New York 10019. The principal business address of SMF Fund is Gardenia Court, Suite 3307, 45 Market Street, Camana Bay, Grand Cayman KY1-1103, Cayman Islands and the principal business address of SCP LP, SCGP LLC and Mr. Mandelblatt is 444 Madison Avenue, 21</w:t>
      </w:r>
      <w:r>
        <w:rPr>
          <w:rFonts w:ascii="Arial" w:cs="Arial" w:eastAsia="Arial" w:hAnsi="Arial"/>
          <w:sz w:val="24"/>
          <w:szCs w:val="24"/>
          <w:color w:val="auto"/>
          <w:vertAlign w:val="superscript"/>
        </w:rPr>
        <w:t>st</w:t>
      </w:r>
      <w:r>
        <w:rPr>
          <w:rFonts w:ascii="Arial" w:cs="Arial" w:eastAsia="Arial" w:hAnsi="Arial"/>
          <w:sz w:val="14"/>
          <w:szCs w:val="14"/>
          <w:color w:val="auto"/>
        </w:rPr>
        <w:t xml:space="preserve"> Floor, New York, New York, 10022.</w:t>
      </w:r>
    </w:p>
    <w:p>
      <w:pPr>
        <w:spacing w:after="0" w:line="7" w:lineRule="exact"/>
        <w:rPr>
          <w:rFonts w:ascii="Arial" w:cs="Arial" w:eastAsia="Arial" w:hAnsi="Arial"/>
          <w:sz w:val="14"/>
          <w:szCs w:val="14"/>
          <w:color w:val="auto"/>
        </w:rPr>
      </w:pPr>
    </w:p>
    <w:p>
      <w:pPr>
        <w:jc w:val="both"/>
        <w:ind w:left="800" w:right="440" w:hanging="346"/>
        <w:spacing w:after="0" w:line="242" w:lineRule="auto"/>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According to a Schedule 13G filed with the SEC on February 12, 2014, as amended on February 10, 2015 (as amended, the “Vanguard 13G”), The Vanguard Group, an investment advisor, may beneficially own the shares of common stock listed in the table above. The Vanguard 13G indicates that The Vanguard Group may have sole voting power over 1,235,890 shares of our common stock, sole dispositive power over 37,759,426 shares of our common stock, and shared dispositive power over 1,120,205 shares of our common stock. The address of The Vanguard Group is 100 Vanguard Boulevard, Malvern, Pennsylvania 19355.</w:t>
      </w:r>
    </w:p>
    <w:p>
      <w:pPr>
        <w:spacing w:after="0" w:line="160" w:lineRule="exact"/>
        <w:rPr>
          <w:rFonts w:ascii="Arial" w:cs="Arial" w:eastAsia="Arial" w:hAnsi="Arial"/>
          <w:sz w:val="14"/>
          <w:szCs w:val="14"/>
          <w:color w:val="auto"/>
        </w:rPr>
      </w:pPr>
    </w:p>
    <w:p>
      <w:pPr>
        <w:ind w:left="800" w:hanging="346"/>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Ownership percentage is reported based on 748,004,651 shares of common stock outstanding on February 27, 2015.</w:t>
      </w:r>
    </w:p>
    <w:p>
      <w:pPr>
        <w:spacing w:after="0" w:line="141"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28</w:t>
            </w:r>
          </w:p>
        </w:tc>
      </w:tr>
    </w:tbl>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sets forth, as of February 27, 2015, the number of shares of our common stock beneficially owned by each of our directors and nominees for directors, by the NEOs, and by all directors and executive officers as a group.</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240" w:type="dxa"/>
            <w:vAlign w:val="bottom"/>
            <w:tcBorders>
              <w:top w:val="single" w:sz="8" w:color="auto"/>
              <w:left w:val="single" w:sz="8" w:color="auto"/>
            </w:tcBorders>
          </w:tcPr>
          <w:p>
            <w:pPr>
              <w:spacing w:after="0"/>
              <w:rPr>
                <w:sz w:val="16"/>
                <w:szCs w:val="16"/>
                <w:color w:val="auto"/>
              </w:rPr>
            </w:pPr>
          </w:p>
        </w:tc>
        <w:tc>
          <w:tcPr>
            <w:tcW w:w="2200" w:type="dxa"/>
            <w:vAlign w:val="bottom"/>
            <w:tcBorders>
              <w:top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Shares of Williams</w:t>
            </w:r>
          </w:p>
        </w:tc>
        <w:tc>
          <w:tcPr>
            <w:tcW w:w="20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Williams</w:t>
            </w:r>
          </w:p>
        </w:tc>
        <w:tc>
          <w:tcPr>
            <w:tcW w:w="1280" w:type="dxa"/>
            <w:vAlign w:val="bottom"/>
            <w:tcBorders>
              <w:top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r>
      <w:tr>
        <w:trPr>
          <w:trHeight w:val="189"/>
        </w:trPr>
        <w:tc>
          <w:tcPr>
            <w:tcW w:w="3240" w:type="dxa"/>
            <w:vAlign w:val="bottom"/>
            <w:tcBorders>
              <w:left w:val="single" w:sz="8" w:color="auto"/>
            </w:tcBorders>
          </w:tcPr>
          <w:p>
            <w:pPr>
              <w:spacing w:after="0"/>
              <w:rPr>
                <w:sz w:val="16"/>
                <w:szCs w:val="16"/>
                <w:color w:val="auto"/>
              </w:rPr>
            </w:pPr>
          </w:p>
        </w:tc>
        <w:tc>
          <w:tcPr>
            <w:tcW w:w="2200" w:type="dxa"/>
            <w:vAlign w:val="bottom"/>
          </w:tcPr>
          <w:p>
            <w:pPr>
              <w:jc w:val="center"/>
              <w:ind w:left="19"/>
              <w:spacing w:after="0"/>
              <w:rPr>
                <w:sz w:val="20"/>
                <w:szCs w:val="20"/>
                <w:color w:val="auto"/>
              </w:rPr>
            </w:pPr>
            <w:r>
              <w:rPr>
                <w:rFonts w:ascii="Arial" w:cs="Arial" w:eastAsia="Arial" w:hAnsi="Arial"/>
                <w:sz w:val="16"/>
                <w:szCs w:val="16"/>
                <w:b w:val="1"/>
                <w:bCs w:val="1"/>
                <w:color w:val="auto"/>
              </w:rPr>
              <w:t>Common Stock</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Williams</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12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r>
      <w:tr>
        <w:trPr>
          <w:trHeight w:val="189"/>
        </w:trPr>
        <w:tc>
          <w:tcPr>
            <w:tcW w:w="3240" w:type="dxa"/>
            <w:vAlign w:val="bottom"/>
            <w:tcBorders>
              <w:left w:val="single" w:sz="8" w:color="auto"/>
            </w:tcBorders>
          </w:tcPr>
          <w:p>
            <w:pPr>
              <w:ind w:left="160"/>
              <w:spacing w:after="0"/>
              <w:rPr>
                <w:sz w:val="20"/>
                <w:szCs w:val="20"/>
                <w:color w:val="auto"/>
              </w:rPr>
            </w:pPr>
            <w:r>
              <w:rPr>
                <w:rFonts w:ascii="Arial" w:cs="Arial" w:eastAsia="Arial" w:hAnsi="Arial"/>
                <w:sz w:val="16"/>
                <w:szCs w:val="16"/>
                <w:b w:val="1"/>
                <w:bCs w:val="1"/>
                <w:color w:val="auto"/>
              </w:rPr>
              <w:t>Name of Individual or</w:t>
            </w:r>
          </w:p>
        </w:tc>
        <w:tc>
          <w:tcPr>
            <w:tcW w:w="2200" w:type="dxa"/>
            <w:vAlign w:val="bottom"/>
          </w:tcPr>
          <w:p>
            <w:pPr>
              <w:jc w:val="center"/>
              <w:ind w:left="19"/>
              <w:spacing w:after="0"/>
              <w:rPr>
                <w:sz w:val="20"/>
                <w:szCs w:val="20"/>
                <w:color w:val="auto"/>
              </w:rPr>
            </w:pPr>
            <w:r>
              <w:rPr>
                <w:rFonts w:ascii="Arial" w:cs="Arial" w:eastAsia="Arial" w:hAnsi="Arial"/>
                <w:sz w:val="16"/>
                <w:szCs w:val="16"/>
                <w:b w:val="1"/>
                <w:bCs w:val="1"/>
                <w:color w:val="auto"/>
              </w:rPr>
              <w:t>Owned Directly or</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Shares Underlying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Underlying</w:t>
            </w:r>
          </w:p>
        </w:tc>
        <w:tc>
          <w:tcPr>
            <w:tcW w:w="1280" w:type="dxa"/>
            <w:vAlign w:val="bottom"/>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Percent</w:t>
            </w:r>
          </w:p>
        </w:tc>
      </w:tr>
      <w:tr>
        <w:trPr>
          <w:trHeight w:val="207"/>
        </w:trPr>
        <w:tc>
          <w:tcPr>
            <w:tcW w:w="324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Group</w:t>
            </w:r>
          </w:p>
        </w:tc>
        <w:tc>
          <w:tcPr>
            <w:tcW w:w="22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Indirectly</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0"/>
                <w:szCs w:val="10"/>
                <w:b w:val="1"/>
                <w:bCs w:val="1"/>
                <w:color w:val="auto"/>
              </w:rPr>
              <w:t>(1)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RSUs</w:t>
            </w:r>
            <w:r>
              <w:rPr>
                <w:rFonts w:ascii="Arial" w:cs="Arial" w:eastAsia="Arial" w:hAnsi="Arial"/>
                <w:sz w:val="10"/>
                <w:szCs w:val="10"/>
                <w:b w:val="1"/>
                <w:bCs w:val="1"/>
                <w:color w:val="auto"/>
              </w:rPr>
              <w:t>(2)</w:t>
            </w:r>
          </w:p>
        </w:tc>
        <w:tc>
          <w:tcPr>
            <w:tcW w:w="128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 xml:space="preserve">of Class </w:t>
            </w:r>
            <w:r>
              <w:rPr>
                <w:rFonts w:ascii="Arial" w:cs="Arial" w:eastAsia="Arial" w:hAnsi="Arial"/>
                <w:sz w:val="10"/>
                <w:szCs w:val="10"/>
                <w:b w:val="1"/>
                <w:bCs w:val="1"/>
                <w:color w:val="auto"/>
              </w:rPr>
              <w:t>(3)</w:t>
            </w:r>
          </w:p>
        </w:tc>
      </w:tr>
      <w:tr>
        <w:trPr>
          <w:trHeight w:val="183"/>
        </w:trPr>
        <w:tc>
          <w:tcPr>
            <w:tcW w:w="3240" w:type="dxa"/>
            <w:vAlign w:val="bottom"/>
            <w:tcBorders>
              <w:left w:val="single" w:sz="8" w:color="auto"/>
            </w:tcBorders>
            <w:shd w:val="clear" w:color="auto" w:fill="DDE6F2"/>
          </w:tcPr>
          <w:p>
            <w:pPr>
              <w:ind w:left="160"/>
              <w:spacing w:after="0" w:line="183" w:lineRule="exact"/>
              <w:rPr>
                <w:sz w:val="20"/>
                <w:szCs w:val="20"/>
                <w:color w:val="auto"/>
              </w:rPr>
            </w:pPr>
            <w:r>
              <w:rPr>
                <w:rFonts w:ascii="Arial" w:cs="Arial" w:eastAsia="Arial" w:hAnsi="Arial"/>
                <w:sz w:val="16"/>
                <w:szCs w:val="16"/>
                <w:color w:val="auto"/>
              </w:rPr>
              <w:t>Alan S. Armstrong</w:t>
            </w:r>
          </w:p>
        </w:tc>
        <w:tc>
          <w:tcPr>
            <w:tcW w:w="2200" w:type="dxa"/>
            <w:vAlign w:val="bottom"/>
            <w:shd w:val="clear" w:color="auto" w:fill="DDE6F2"/>
          </w:tcPr>
          <w:p>
            <w:pPr>
              <w:jc w:val="center"/>
              <w:ind w:left="19"/>
              <w:spacing w:after="0" w:line="183" w:lineRule="exact"/>
              <w:rPr>
                <w:sz w:val="20"/>
                <w:szCs w:val="20"/>
                <w:color w:val="auto"/>
              </w:rPr>
            </w:pPr>
            <w:r>
              <w:rPr>
                <w:rFonts w:ascii="Arial" w:cs="Arial" w:eastAsia="Arial" w:hAnsi="Arial"/>
                <w:sz w:val="16"/>
                <w:szCs w:val="16"/>
                <w:color w:val="auto"/>
              </w:rPr>
              <w:t>312,940</w:t>
            </w:r>
          </w:p>
        </w:tc>
        <w:tc>
          <w:tcPr>
            <w:tcW w:w="2080" w:type="dxa"/>
            <w:vAlign w:val="bottom"/>
            <w:shd w:val="clear" w:color="auto" w:fill="DDE6F2"/>
          </w:tcPr>
          <w:p>
            <w:pPr>
              <w:jc w:val="center"/>
              <w:spacing w:after="0" w:line="183" w:lineRule="exact"/>
              <w:rPr>
                <w:sz w:val="20"/>
                <w:szCs w:val="20"/>
                <w:color w:val="auto"/>
              </w:rPr>
            </w:pPr>
            <w:r>
              <w:rPr>
                <w:rFonts w:ascii="Arial" w:cs="Arial" w:eastAsia="Arial" w:hAnsi="Arial"/>
                <w:sz w:val="16"/>
                <w:szCs w:val="16"/>
                <w:color w:val="auto"/>
              </w:rPr>
              <w:t>652,851</w:t>
            </w:r>
          </w:p>
        </w:tc>
        <w:tc>
          <w:tcPr>
            <w:tcW w:w="1520" w:type="dxa"/>
            <w:vAlign w:val="bottom"/>
            <w:shd w:val="clear" w:color="auto" w:fill="DDE6F2"/>
          </w:tcPr>
          <w:p>
            <w:pPr>
              <w:jc w:val="center"/>
              <w:spacing w:after="0" w:line="183" w:lineRule="exact"/>
              <w:rPr>
                <w:sz w:val="20"/>
                <w:szCs w:val="20"/>
                <w:color w:val="auto"/>
              </w:rPr>
            </w:pPr>
            <w:r>
              <w:rPr>
                <w:rFonts w:ascii="Arial" w:cs="Arial" w:eastAsia="Arial" w:hAnsi="Arial"/>
                <w:sz w:val="16"/>
                <w:szCs w:val="16"/>
                <w:color w:val="auto"/>
                <w:w w:val="89"/>
              </w:rPr>
              <w:t>0</w:t>
            </w:r>
          </w:p>
        </w:tc>
        <w:tc>
          <w:tcPr>
            <w:tcW w:w="1280" w:type="dxa"/>
            <w:vAlign w:val="bottom"/>
            <w:shd w:val="clear" w:color="auto" w:fill="DDE6F2"/>
          </w:tcPr>
          <w:p>
            <w:pPr>
              <w:jc w:val="center"/>
              <w:ind w:left="99"/>
              <w:spacing w:after="0" w:line="183" w:lineRule="exact"/>
              <w:rPr>
                <w:sz w:val="20"/>
                <w:szCs w:val="20"/>
                <w:color w:val="auto"/>
              </w:rPr>
            </w:pPr>
            <w:r>
              <w:rPr>
                <w:rFonts w:ascii="Arial" w:cs="Arial" w:eastAsia="Arial" w:hAnsi="Arial"/>
                <w:sz w:val="16"/>
                <w:szCs w:val="16"/>
                <w:color w:val="auto"/>
              </w:rPr>
              <w:t>965,791</w:t>
            </w:r>
          </w:p>
        </w:tc>
        <w:tc>
          <w:tcPr>
            <w:tcW w:w="1120" w:type="dxa"/>
            <w:vAlign w:val="bottom"/>
            <w:tcBorders>
              <w:right w:val="single" w:sz="8" w:color="auto"/>
            </w:tcBorders>
            <w:shd w:val="clear" w:color="auto" w:fill="DDE6F2"/>
          </w:tcPr>
          <w:p>
            <w:pPr>
              <w:jc w:val="center"/>
              <w:ind w:left="39"/>
              <w:spacing w:after="0" w:line="183" w:lineRule="exact"/>
              <w:rPr>
                <w:sz w:val="20"/>
                <w:szCs w:val="20"/>
                <w:color w:val="auto"/>
              </w:rPr>
            </w:pPr>
            <w:r>
              <w:rPr>
                <w:rFonts w:ascii="Arial" w:cs="Arial" w:eastAsia="Arial" w:hAnsi="Arial"/>
                <w:sz w:val="16"/>
                <w:szCs w:val="16"/>
                <w:color w:val="auto"/>
              </w:rPr>
              <w:t>*</w:t>
            </w:r>
          </w:p>
        </w:tc>
      </w:tr>
      <w:tr>
        <w:trPr>
          <w:trHeight w:val="189"/>
        </w:trPr>
        <w:tc>
          <w:tcPr>
            <w:tcW w:w="324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Donald R. Chappel</w:t>
            </w:r>
          </w:p>
        </w:tc>
        <w:tc>
          <w:tcPr>
            <w:tcW w:w="2200" w:type="dxa"/>
            <w:vAlign w:val="bottom"/>
          </w:tcPr>
          <w:p>
            <w:pPr>
              <w:jc w:val="center"/>
              <w:ind w:left="19"/>
              <w:spacing w:after="0"/>
              <w:rPr>
                <w:sz w:val="20"/>
                <w:szCs w:val="20"/>
                <w:color w:val="auto"/>
              </w:rPr>
            </w:pPr>
            <w:r>
              <w:rPr>
                <w:rFonts w:ascii="Arial" w:cs="Arial" w:eastAsia="Arial" w:hAnsi="Arial"/>
                <w:sz w:val="16"/>
                <w:szCs w:val="16"/>
                <w:color w:val="auto"/>
              </w:rPr>
              <w:t>292,659</w:t>
            </w:r>
          </w:p>
        </w:tc>
        <w:tc>
          <w:tcPr>
            <w:tcW w:w="2080" w:type="dxa"/>
            <w:vAlign w:val="bottom"/>
          </w:tcPr>
          <w:p>
            <w:pPr>
              <w:jc w:val="center"/>
              <w:spacing w:after="0"/>
              <w:rPr>
                <w:sz w:val="20"/>
                <w:szCs w:val="20"/>
                <w:color w:val="auto"/>
              </w:rPr>
            </w:pPr>
            <w:r>
              <w:rPr>
                <w:rFonts w:ascii="Arial" w:cs="Arial" w:eastAsia="Arial" w:hAnsi="Arial"/>
                <w:sz w:val="16"/>
                <w:szCs w:val="16"/>
                <w:color w:val="auto"/>
              </w:rPr>
              <w:t>607,131</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899,790</w:t>
            </w:r>
          </w:p>
        </w:tc>
        <w:tc>
          <w:tcPr>
            <w:tcW w:w="1120" w:type="dxa"/>
            <w:vAlign w:val="bottom"/>
            <w:tcBorders>
              <w:right w:val="single" w:sz="8" w:color="auto"/>
            </w:tcBorders>
          </w:tcPr>
          <w:p>
            <w:pPr>
              <w:jc w:val="center"/>
              <w:ind w:left="39"/>
              <w:spacing w:after="0"/>
              <w:rPr>
                <w:sz w:val="20"/>
                <w:szCs w:val="20"/>
                <w:color w:val="auto"/>
              </w:rPr>
            </w:pPr>
            <w:r>
              <w:rPr>
                <w:rFonts w:ascii="Arial" w:cs="Arial" w:eastAsia="Arial" w:hAnsi="Arial"/>
                <w:sz w:val="16"/>
                <w:szCs w:val="16"/>
                <w:color w:val="auto"/>
              </w:rPr>
              <w:t>*</w:t>
            </w:r>
          </w:p>
        </w:tc>
      </w:tr>
      <w:tr>
        <w:trPr>
          <w:trHeight w:val="189"/>
        </w:trPr>
        <w:tc>
          <w:tcPr>
            <w:tcW w:w="324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6"/>
                <w:szCs w:val="16"/>
                <w:color w:val="auto"/>
              </w:rPr>
              <w:t xml:space="preserve">Joseph R. Cleveland </w:t>
            </w:r>
            <w:r>
              <w:rPr>
                <w:rFonts w:ascii="Arial" w:cs="Arial" w:eastAsia="Arial" w:hAnsi="Arial"/>
                <w:sz w:val="10"/>
                <w:szCs w:val="10"/>
                <w:color w:val="auto"/>
              </w:rPr>
              <w:t>(4)</w:t>
            </w:r>
          </w:p>
        </w:tc>
        <w:tc>
          <w:tcPr>
            <w:tcW w:w="2200" w:type="dxa"/>
            <w:vAlign w:val="bottom"/>
            <w:shd w:val="clear" w:color="auto" w:fill="DDE6F2"/>
          </w:tcPr>
          <w:p>
            <w:pPr>
              <w:jc w:val="center"/>
              <w:ind w:left="19"/>
              <w:spacing w:after="0"/>
              <w:rPr>
                <w:sz w:val="20"/>
                <w:szCs w:val="20"/>
                <w:color w:val="auto"/>
              </w:rPr>
            </w:pPr>
            <w:r>
              <w:rPr>
                <w:rFonts w:ascii="Arial" w:cs="Arial" w:eastAsia="Arial" w:hAnsi="Arial"/>
                <w:sz w:val="16"/>
                <w:szCs w:val="16"/>
                <w:color w:val="auto"/>
              </w:rPr>
              <w:t>30,543</w:t>
            </w:r>
          </w:p>
        </w:tc>
        <w:tc>
          <w:tcPr>
            <w:tcW w:w="2080" w:type="dxa"/>
            <w:vAlign w:val="bottom"/>
            <w:shd w:val="clear" w:color="auto" w:fill="DDE6F2"/>
          </w:tcPr>
          <w:p>
            <w:pPr>
              <w:jc w:val="center"/>
              <w:spacing w:after="0"/>
              <w:rPr>
                <w:sz w:val="20"/>
                <w:szCs w:val="20"/>
                <w:color w:val="auto"/>
              </w:rPr>
            </w:pPr>
            <w:r>
              <w:rPr>
                <w:rFonts w:ascii="Arial" w:cs="Arial" w:eastAsia="Arial" w:hAnsi="Arial"/>
                <w:sz w:val="16"/>
                <w:szCs w:val="16"/>
                <w:color w:val="auto"/>
                <w:w w:val="89"/>
              </w:rPr>
              <w:t>0</w:t>
            </w:r>
          </w:p>
        </w:tc>
        <w:tc>
          <w:tcPr>
            <w:tcW w:w="1520" w:type="dxa"/>
            <w:vAlign w:val="bottom"/>
            <w:shd w:val="clear" w:color="auto" w:fill="DDE6F2"/>
          </w:tcPr>
          <w:p>
            <w:pPr>
              <w:jc w:val="center"/>
              <w:spacing w:after="0"/>
              <w:rPr>
                <w:sz w:val="20"/>
                <w:szCs w:val="20"/>
                <w:color w:val="auto"/>
              </w:rPr>
            </w:pPr>
            <w:r>
              <w:rPr>
                <w:rFonts w:ascii="Arial" w:cs="Arial" w:eastAsia="Arial" w:hAnsi="Arial"/>
                <w:sz w:val="16"/>
                <w:szCs w:val="16"/>
                <w:color w:val="auto"/>
                <w:w w:val="99"/>
              </w:rPr>
              <w:t>7,053</w:t>
            </w:r>
          </w:p>
        </w:tc>
        <w:tc>
          <w:tcPr>
            <w:tcW w:w="1280" w:type="dxa"/>
            <w:vAlign w:val="bottom"/>
            <w:shd w:val="clear" w:color="auto" w:fill="DDE6F2"/>
          </w:tcPr>
          <w:p>
            <w:pPr>
              <w:jc w:val="center"/>
              <w:ind w:left="99"/>
              <w:spacing w:after="0"/>
              <w:rPr>
                <w:sz w:val="20"/>
                <w:szCs w:val="20"/>
                <w:color w:val="auto"/>
              </w:rPr>
            </w:pPr>
            <w:r>
              <w:rPr>
                <w:rFonts w:ascii="Arial" w:cs="Arial" w:eastAsia="Arial" w:hAnsi="Arial"/>
                <w:sz w:val="16"/>
                <w:szCs w:val="16"/>
                <w:color w:val="auto"/>
              </w:rPr>
              <w:t>37,596</w:t>
            </w:r>
          </w:p>
        </w:tc>
        <w:tc>
          <w:tcPr>
            <w:tcW w:w="1120" w:type="dxa"/>
            <w:vAlign w:val="bottom"/>
            <w:tcBorders>
              <w:right w:val="single" w:sz="8" w:color="auto"/>
            </w:tcBorders>
            <w:shd w:val="clear" w:color="auto" w:fill="DDE6F2"/>
          </w:tcPr>
          <w:p>
            <w:pPr>
              <w:jc w:val="center"/>
              <w:ind w:left="39"/>
              <w:spacing w:after="0"/>
              <w:rPr>
                <w:sz w:val="20"/>
                <w:szCs w:val="20"/>
                <w:color w:val="auto"/>
              </w:rPr>
            </w:pPr>
            <w:r>
              <w:rPr>
                <w:rFonts w:ascii="Arial" w:cs="Arial" w:eastAsia="Arial" w:hAnsi="Arial"/>
                <w:sz w:val="16"/>
                <w:szCs w:val="16"/>
                <w:color w:val="auto"/>
              </w:rPr>
              <w:t>*</w:t>
            </w:r>
          </w:p>
        </w:tc>
      </w:tr>
      <w:tr>
        <w:trPr>
          <w:trHeight w:val="189"/>
        </w:trPr>
        <w:tc>
          <w:tcPr>
            <w:tcW w:w="324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Kathleen B. Cooper</w:t>
            </w:r>
          </w:p>
        </w:tc>
        <w:tc>
          <w:tcPr>
            <w:tcW w:w="2200" w:type="dxa"/>
            <w:vAlign w:val="bottom"/>
          </w:tcPr>
          <w:p>
            <w:pPr>
              <w:jc w:val="center"/>
              <w:ind w:left="19"/>
              <w:spacing w:after="0"/>
              <w:rPr>
                <w:sz w:val="20"/>
                <w:szCs w:val="20"/>
                <w:color w:val="auto"/>
              </w:rPr>
            </w:pPr>
            <w:r>
              <w:rPr>
                <w:rFonts w:ascii="Arial" w:cs="Arial" w:eastAsia="Arial" w:hAnsi="Arial"/>
                <w:sz w:val="16"/>
                <w:szCs w:val="16"/>
                <w:color w:val="auto"/>
              </w:rPr>
              <w:t>30,308</w:t>
            </w:r>
          </w:p>
        </w:tc>
        <w:tc>
          <w:tcPr>
            <w:tcW w:w="2080" w:type="dxa"/>
            <w:vAlign w:val="bottom"/>
          </w:tcPr>
          <w:p>
            <w:pPr>
              <w:jc w:val="center"/>
              <w:spacing w:after="0"/>
              <w:rPr>
                <w:sz w:val="20"/>
                <w:szCs w:val="20"/>
                <w:color w:val="auto"/>
              </w:rPr>
            </w:pPr>
            <w:r>
              <w:rPr>
                <w:rFonts w:ascii="Arial" w:cs="Arial" w:eastAsia="Arial" w:hAnsi="Arial"/>
                <w:sz w:val="16"/>
                <w:szCs w:val="16"/>
                <w:color w:val="auto"/>
                <w:w w:val="99"/>
              </w:rPr>
              <w:t>5,527</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3,000</w:t>
            </w: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38,835</w:t>
            </w:r>
          </w:p>
        </w:tc>
        <w:tc>
          <w:tcPr>
            <w:tcW w:w="1120" w:type="dxa"/>
            <w:vAlign w:val="bottom"/>
            <w:tcBorders>
              <w:right w:val="single" w:sz="8" w:color="auto"/>
            </w:tcBorders>
          </w:tcPr>
          <w:p>
            <w:pPr>
              <w:jc w:val="center"/>
              <w:ind w:left="39"/>
              <w:spacing w:after="0"/>
              <w:rPr>
                <w:sz w:val="20"/>
                <w:szCs w:val="20"/>
                <w:color w:val="auto"/>
              </w:rPr>
            </w:pPr>
            <w:r>
              <w:rPr>
                <w:rFonts w:ascii="Arial" w:cs="Arial" w:eastAsia="Arial" w:hAnsi="Arial"/>
                <w:sz w:val="16"/>
                <w:szCs w:val="16"/>
                <w:color w:val="auto"/>
              </w:rPr>
              <w:t>*</w:t>
            </w:r>
          </w:p>
        </w:tc>
      </w:tr>
      <w:tr>
        <w:trPr>
          <w:trHeight w:val="189"/>
        </w:trPr>
        <w:tc>
          <w:tcPr>
            <w:tcW w:w="324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6"/>
                <w:szCs w:val="16"/>
                <w:color w:val="auto"/>
              </w:rPr>
              <w:t>John R. Dearborn</w:t>
            </w:r>
          </w:p>
        </w:tc>
        <w:tc>
          <w:tcPr>
            <w:tcW w:w="2200" w:type="dxa"/>
            <w:vAlign w:val="bottom"/>
            <w:shd w:val="clear" w:color="auto" w:fill="DDE6F2"/>
          </w:tcPr>
          <w:p>
            <w:pPr>
              <w:jc w:val="center"/>
              <w:ind w:left="19"/>
              <w:spacing w:after="0"/>
              <w:rPr>
                <w:sz w:val="20"/>
                <w:szCs w:val="20"/>
                <w:color w:val="auto"/>
              </w:rPr>
            </w:pPr>
            <w:r>
              <w:rPr>
                <w:rFonts w:ascii="Arial" w:cs="Arial" w:eastAsia="Arial" w:hAnsi="Arial"/>
                <w:sz w:val="16"/>
                <w:szCs w:val="16"/>
                <w:color w:val="auto"/>
              </w:rPr>
              <w:t>0</w:t>
            </w:r>
          </w:p>
        </w:tc>
        <w:tc>
          <w:tcPr>
            <w:tcW w:w="2080" w:type="dxa"/>
            <w:vAlign w:val="bottom"/>
            <w:shd w:val="clear" w:color="auto" w:fill="DDE6F2"/>
          </w:tcPr>
          <w:p>
            <w:pPr>
              <w:jc w:val="center"/>
              <w:spacing w:after="0"/>
              <w:rPr>
                <w:sz w:val="20"/>
                <w:szCs w:val="20"/>
                <w:color w:val="auto"/>
              </w:rPr>
            </w:pPr>
            <w:r>
              <w:rPr>
                <w:rFonts w:ascii="Arial" w:cs="Arial" w:eastAsia="Arial" w:hAnsi="Arial"/>
                <w:sz w:val="16"/>
                <w:szCs w:val="16"/>
                <w:color w:val="auto"/>
              </w:rPr>
              <w:t>11,829</w:t>
            </w:r>
          </w:p>
        </w:tc>
        <w:tc>
          <w:tcPr>
            <w:tcW w:w="1520" w:type="dxa"/>
            <w:vAlign w:val="bottom"/>
            <w:shd w:val="clear" w:color="auto" w:fill="DDE6F2"/>
          </w:tcPr>
          <w:p>
            <w:pPr>
              <w:jc w:val="center"/>
              <w:spacing w:after="0"/>
              <w:rPr>
                <w:sz w:val="20"/>
                <w:szCs w:val="20"/>
                <w:color w:val="auto"/>
              </w:rPr>
            </w:pPr>
            <w:r>
              <w:rPr>
                <w:rFonts w:ascii="Arial" w:cs="Arial" w:eastAsia="Arial" w:hAnsi="Arial"/>
                <w:sz w:val="16"/>
                <w:szCs w:val="16"/>
                <w:color w:val="auto"/>
                <w:w w:val="89"/>
              </w:rPr>
              <w:t>0</w:t>
            </w:r>
          </w:p>
        </w:tc>
        <w:tc>
          <w:tcPr>
            <w:tcW w:w="1280" w:type="dxa"/>
            <w:vAlign w:val="bottom"/>
            <w:shd w:val="clear" w:color="auto" w:fill="DDE6F2"/>
          </w:tcPr>
          <w:p>
            <w:pPr>
              <w:jc w:val="center"/>
              <w:ind w:left="99"/>
              <w:spacing w:after="0"/>
              <w:rPr>
                <w:sz w:val="20"/>
                <w:szCs w:val="20"/>
                <w:color w:val="auto"/>
              </w:rPr>
            </w:pPr>
            <w:r>
              <w:rPr>
                <w:rFonts w:ascii="Arial" w:cs="Arial" w:eastAsia="Arial" w:hAnsi="Arial"/>
                <w:sz w:val="16"/>
                <w:szCs w:val="16"/>
                <w:color w:val="auto"/>
              </w:rPr>
              <w:t>11,829</w:t>
            </w:r>
          </w:p>
        </w:tc>
        <w:tc>
          <w:tcPr>
            <w:tcW w:w="1120" w:type="dxa"/>
            <w:vAlign w:val="bottom"/>
            <w:tcBorders>
              <w:right w:val="single" w:sz="8" w:color="auto"/>
            </w:tcBorders>
            <w:shd w:val="clear" w:color="auto" w:fill="DDE6F2"/>
          </w:tcPr>
          <w:p>
            <w:pPr>
              <w:jc w:val="center"/>
              <w:ind w:left="39"/>
              <w:spacing w:after="0"/>
              <w:rPr>
                <w:sz w:val="20"/>
                <w:szCs w:val="20"/>
                <w:color w:val="auto"/>
              </w:rPr>
            </w:pPr>
            <w:r>
              <w:rPr>
                <w:rFonts w:ascii="Arial" w:cs="Arial" w:eastAsia="Arial" w:hAnsi="Arial"/>
                <w:sz w:val="16"/>
                <w:szCs w:val="16"/>
                <w:color w:val="auto"/>
              </w:rPr>
              <w:t>*</w:t>
            </w:r>
          </w:p>
        </w:tc>
      </w:tr>
      <w:tr>
        <w:trPr>
          <w:trHeight w:val="189"/>
        </w:trPr>
        <w:tc>
          <w:tcPr>
            <w:tcW w:w="324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John A. Hagg</w:t>
            </w:r>
          </w:p>
        </w:tc>
        <w:tc>
          <w:tcPr>
            <w:tcW w:w="2200" w:type="dxa"/>
            <w:vAlign w:val="bottom"/>
          </w:tcPr>
          <w:p>
            <w:pPr>
              <w:jc w:val="center"/>
              <w:ind w:left="19"/>
              <w:spacing w:after="0"/>
              <w:rPr>
                <w:sz w:val="20"/>
                <w:szCs w:val="20"/>
                <w:color w:val="auto"/>
              </w:rPr>
            </w:pPr>
            <w:r>
              <w:rPr>
                <w:rFonts w:ascii="Arial" w:cs="Arial" w:eastAsia="Arial" w:hAnsi="Arial"/>
                <w:sz w:val="16"/>
                <w:szCs w:val="16"/>
                <w:color w:val="auto"/>
              </w:rPr>
              <w:t>12,867</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8,662</w:t>
            </w: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21,529</w:t>
            </w:r>
          </w:p>
        </w:tc>
        <w:tc>
          <w:tcPr>
            <w:tcW w:w="1120" w:type="dxa"/>
            <w:vAlign w:val="bottom"/>
            <w:tcBorders>
              <w:right w:val="single" w:sz="8" w:color="auto"/>
            </w:tcBorders>
          </w:tcPr>
          <w:p>
            <w:pPr>
              <w:jc w:val="center"/>
              <w:ind w:left="39"/>
              <w:spacing w:after="0"/>
              <w:rPr>
                <w:sz w:val="20"/>
                <w:szCs w:val="20"/>
                <w:color w:val="auto"/>
              </w:rPr>
            </w:pPr>
            <w:r>
              <w:rPr>
                <w:rFonts w:ascii="Arial" w:cs="Arial" w:eastAsia="Arial" w:hAnsi="Arial"/>
                <w:sz w:val="16"/>
                <w:szCs w:val="16"/>
                <w:color w:val="auto"/>
              </w:rPr>
              <w:t>*</w:t>
            </w:r>
          </w:p>
        </w:tc>
      </w:tr>
      <w:tr>
        <w:trPr>
          <w:trHeight w:val="189"/>
        </w:trPr>
        <w:tc>
          <w:tcPr>
            <w:tcW w:w="324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6"/>
                <w:szCs w:val="16"/>
                <w:color w:val="auto"/>
              </w:rPr>
              <w:t>Juanita H. Hinshaw</w:t>
            </w:r>
          </w:p>
        </w:tc>
        <w:tc>
          <w:tcPr>
            <w:tcW w:w="2200" w:type="dxa"/>
            <w:vAlign w:val="bottom"/>
            <w:shd w:val="clear" w:color="auto" w:fill="DDE6F2"/>
          </w:tcPr>
          <w:p>
            <w:pPr>
              <w:jc w:val="center"/>
              <w:ind w:left="19"/>
              <w:spacing w:after="0"/>
              <w:rPr>
                <w:sz w:val="20"/>
                <w:szCs w:val="20"/>
                <w:color w:val="auto"/>
              </w:rPr>
            </w:pPr>
            <w:r>
              <w:rPr>
                <w:rFonts w:ascii="Arial" w:cs="Arial" w:eastAsia="Arial" w:hAnsi="Arial"/>
                <w:sz w:val="16"/>
                <w:szCs w:val="16"/>
                <w:color w:val="auto"/>
              </w:rPr>
              <w:t>48,518</w:t>
            </w:r>
          </w:p>
        </w:tc>
        <w:tc>
          <w:tcPr>
            <w:tcW w:w="2080" w:type="dxa"/>
            <w:vAlign w:val="bottom"/>
            <w:shd w:val="clear" w:color="auto" w:fill="DDE6F2"/>
          </w:tcPr>
          <w:p>
            <w:pPr>
              <w:jc w:val="center"/>
              <w:spacing w:after="0"/>
              <w:rPr>
                <w:sz w:val="20"/>
                <w:szCs w:val="20"/>
                <w:color w:val="auto"/>
              </w:rPr>
            </w:pPr>
            <w:r>
              <w:rPr>
                <w:rFonts w:ascii="Arial" w:cs="Arial" w:eastAsia="Arial" w:hAnsi="Arial"/>
                <w:sz w:val="16"/>
                <w:szCs w:val="16"/>
                <w:color w:val="auto"/>
              </w:rPr>
              <w:t>13,379</w:t>
            </w:r>
          </w:p>
        </w:tc>
        <w:tc>
          <w:tcPr>
            <w:tcW w:w="1520" w:type="dxa"/>
            <w:vAlign w:val="bottom"/>
            <w:shd w:val="clear" w:color="auto" w:fill="DDE6F2"/>
          </w:tcPr>
          <w:p>
            <w:pPr>
              <w:jc w:val="center"/>
              <w:spacing w:after="0"/>
              <w:rPr>
                <w:sz w:val="20"/>
                <w:szCs w:val="20"/>
                <w:color w:val="auto"/>
              </w:rPr>
            </w:pPr>
            <w:r>
              <w:rPr>
                <w:rFonts w:ascii="Arial" w:cs="Arial" w:eastAsia="Arial" w:hAnsi="Arial"/>
                <w:sz w:val="16"/>
                <w:szCs w:val="16"/>
                <w:color w:val="auto"/>
                <w:w w:val="99"/>
              </w:rPr>
              <w:t>3,000</w:t>
            </w:r>
          </w:p>
        </w:tc>
        <w:tc>
          <w:tcPr>
            <w:tcW w:w="1280" w:type="dxa"/>
            <w:vAlign w:val="bottom"/>
            <w:shd w:val="clear" w:color="auto" w:fill="DDE6F2"/>
          </w:tcPr>
          <w:p>
            <w:pPr>
              <w:jc w:val="center"/>
              <w:ind w:left="99"/>
              <w:spacing w:after="0"/>
              <w:rPr>
                <w:sz w:val="20"/>
                <w:szCs w:val="20"/>
                <w:color w:val="auto"/>
              </w:rPr>
            </w:pPr>
            <w:r>
              <w:rPr>
                <w:rFonts w:ascii="Arial" w:cs="Arial" w:eastAsia="Arial" w:hAnsi="Arial"/>
                <w:sz w:val="16"/>
                <w:szCs w:val="16"/>
                <w:color w:val="auto"/>
              </w:rPr>
              <w:t>64,897</w:t>
            </w:r>
          </w:p>
        </w:tc>
        <w:tc>
          <w:tcPr>
            <w:tcW w:w="1120" w:type="dxa"/>
            <w:vAlign w:val="bottom"/>
            <w:tcBorders>
              <w:right w:val="single" w:sz="8" w:color="auto"/>
            </w:tcBorders>
            <w:shd w:val="clear" w:color="auto" w:fill="DDE6F2"/>
          </w:tcPr>
          <w:p>
            <w:pPr>
              <w:jc w:val="center"/>
              <w:ind w:left="39"/>
              <w:spacing w:after="0"/>
              <w:rPr>
                <w:sz w:val="20"/>
                <w:szCs w:val="20"/>
                <w:color w:val="auto"/>
              </w:rPr>
            </w:pPr>
            <w:r>
              <w:rPr>
                <w:rFonts w:ascii="Arial" w:cs="Arial" w:eastAsia="Arial" w:hAnsi="Arial"/>
                <w:sz w:val="16"/>
                <w:szCs w:val="16"/>
                <w:color w:val="auto"/>
              </w:rPr>
              <w:t>*</w:t>
            </w:r>
          </w:p>
        </w:tc>
      </w:tr>
      <w:tr>
        <w:trPr>
          <w:trHeight w:val="189"/>
        </w:trPr>
        <w:tc>
          <w:tcPr>
            <w:tcW w:w="324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Ralph Izzo</w:t>
            </w:r>
          </w:p>
        </w:tc>
        <w:tc>
          <w:tcPr>
            <w:tcW w:w="2200" w:type="dxa"/>
            <w:vAlign w:val="bottom"/>
          </w:tcPr>
          <w:p>
            <w:pPr>
              <w:jc w:val="center"/>
              <w:ind w:left="19"/>
              <w:spacing w:after="0"/>
              <w:rPr>
                <w:sz w:val="20"/>
                <w:szCs w:val="20"/>
                <w:color w:val="auto"/>
              </w:rPr>
            </w:pPr>
            <w:r>
              <w:rPr>
                <w:rFonts w:ascii="Arial" w:cs="Arial" w:eastAsia="Arial" w:hAnsi="Arial"/>
                <w:sz w:val="16"/>
                <w:szCs w:val="16"/>
                <w:color w:val="auto"/>
              </w:rPr>
              <w:t>0</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8,067</w:t>
            </w:r>
          </w:p>
        </w:tc>
        <w:tc>
          <w:tcPr>
            <w:tcW w:w="1280" w:type="dxa"/>
            <w:vAlign w:val="bottom"/>
          </w:tcPr>
          <w:p>
            <w:pPr>
              <w:jc w:val="center"/>
              <w:ind w:left="79"/>
              <w:spacing w:after="0"/>
              <w:rPr>
                <w:sz w:val="20"/>
                <w:szCs w:val="20"/>
                <w:color w:val="auto"/>
              </w:rPr>
            </w:pPr>
            <w:r>
              <w:rPr>
                <w:rFonts w:ascii="Arial" w:cs="Arial" w:eastAsia="Arial" w:hAnsi="Arial"/>
                <w:sz w:val="16"/>
                <w:szCs w:val="16"/>
                <w:color w:val="auto"/>
                <w:w w:val="99"/>
              </w:rPr>
              <w:t>8,067</w:t>
            </w:r>
          </w:p>
        </w:tc>
        <w:tc>
          <w:tcPr>
            <w:tcW w:w="1120" w:type="dxa"/>
            <w:vAlign w:val="bottom"/>
            <w:tcBorders>
              <w:right w:val="single" w:sz="8" w:color="auto"/>
            </w:tcBorders>
          </w:tcPr>
          <w:p>
            <w:pPr>
              <w:jc w:val="center"/>
              <w:ind w:left="39"/>
              <w:spacing w:after="0"/>
              <w:rPr>
                <w:sz w:val="20"/>
                <w:szCs w:val="20"/>
                <w:color w:val="auto"/>
              </w:rPr>
            </w:pPr>
            <w:r>
              <w:rPr>
                <w:rFonts w:ascii="Arial" w:cs="Arial" w:eastAsia="Arial" w:hAnsi="Arial"/>
                <w:sz w:val="16"/>
                <w:szCs w:val="16"/>
                <w:color w:val="auto"/>
              </w:rPr>
              <w:t>*</w:t>
            </w:r>
          </w:p>
        </w:tc>
      </w:tr>
      <w:tr>
        <w:trPr>
          <w:trHeight w:val="189"/>
        </w:trPr>
        <w:tc>
          <w:tcPr>
            <w:tcW w:w="324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6"/>
                <w:szCs w:val="16"/>
                <w:color w:val="auto"/>
              </w:rPr>
              <w:t>Frank T. MacInnis</w:t>
            </w:r>
          </w:p>
        </w:tc>
        <w:tc>
          <w:tcPr>
            <w:tcW w:w="2200" w:type="dxa"/>
            <w:vAlign w:val="bottom"/>
            <w:shd w:val="clear" w:color="auto" w:fill="DDE6F2"/>
          </w:tcPr>
          <w:p>
            <w:pPr>
              <w:jc w:val="center"/>
              <w:ind w:left="19"/>
              <w:spacing w:after="0"/>
              <w:rPr>
                <w:sz w:val="20"/>
                <w:szCs w:val="20"/>
                <w:color w:val="auto"/>
              </w:rPr>
            </w:pPr>
            <w:r>
              <w:rPr>
                <w:rFonts w:ascii="Arial" w:cs="Arial" w:eastAsia="Arial" w:hAnsi="Arial"/>
                <w:sz w:val="16"/>
                <w:szCs w:val="16"/>
                <w:color w:val="auto"/>
              </w:rPr>
              <w:t>118,380</w:t>
            </w:r>
          </w:p>
        </w:tc>
        <w:tc>
          <w:tcPr>
            <w:tcW w:w="2080" w:type="dxa"/>
            <w:vAlign w:val="bottom"/>
            <w:shd w:val="clear" w:color="auto" w:fill="DDE6F2"/>
          </w:tcPr>
          <w:p>
            <w:pPr>
              <w:jc w:val="center"/>
              <w:spacing w:after="0"/>
              <w:rPr>
                <w:sz w:val="20"/>
                <w:szCs w:val="20"/>
                <w:color w:val="auto"/>
              </w:rPr>
            </w:pPr>
            <w:r>
              <w:rPr>
                <w:rFonts w:ascii="Arial" w:cs="Arial" w:eastAsia="Arial" w:hAnsi="Arial"/>
                <w:sz w:val="16"/>
                <w:szCs w:val="16"/>
                <w:color w:val="auto"/>
              </w:rPr>
              <w:t>13,379</w:t>
            </w:r>
          </w:p>
        </w:tc>
        <w:tc>
          <w:tcPr>
            <w:tcW w:w="1520" w:type="dxa"/>
            <w:vAlign w:val="bottom"/>
            <w:shd w:val="clear" w:color="auto" w:fill="DDE6F2"/>
          </w:tcPr>
          <w:p>
            <w:pPr>
              <w:jc w:val="center"/>
              <w:spacing w:after="0"/>
              <w:rPr>
                <w:sz w:val="20"/>
                <w:szCs w:val="20"/>
                <w:color w:val="auto"/>
              </w:rPr>
            </w:pPr>
            <w:r>
              <w:rPr>
                <w:rFonts w:ascii="Arial" w:cs="Arial" w:eastAsia="Arial" w:hAnsi="Arial"/>
                <w:sz w:val="16"/>
                <w:szCs w:val="16"/>
                <w:color w:val="auto"/>
                <w:w w:val="98"/>
              </w:rPr>
              <w:t>15,113</w:t>
            </w:r>
          </w:p>
        </w:tc>
        <w:tc>
          <w:tcPr>
            <w:tcW w:w="1280" w:type="dxa"/>
            <w:vAlign w:val="bottom"/>
            <w:shd w:val="clear" w:color="auto" w:fill="DDE6F2"/>
          </w:tcPr>
          <w:p>
            <w:pPr>
              <w:jc w:val="center"/>
              <w:ind w:left="99"/>
              <w:spacing w:after="0"/>
              <w:rPr>
                <w:sz w:val="20"/>
                <w:szCs w:val="20"/>
                <w:color w:val="auto"/>
              </w:rPr>
            </w:pPr>
            <w:r>
              <w:rPr>
                <w:rFonts w:ascii="Arial" w:cs="Arial" w:eastAsia="Arial" w:hAnsi="Arial"/>
                <w:sz w:val="16"/>
                <w:szCs w:val="16"/>
                <w:color w:val="auto"/>
              </w:rPr>
              <w:t>146,872</w:t>
            </w:r>
          </w:p>
        </w:tc>
        <w:tc>
          <w:tcPr>
            <w:tcW w:w="1120" w:type="dxa"/>
            <w:vAlign w:val="bottom"/>
            <w:tcBorders>
              <w:right w:val="single" w:sz="8" w:color="auto"/>
            </w:tcBorders>
            <w:shd w:val="clear" w:color="auto" w:fill="DDE6F2"/>
          </w:tcPr>
          <w:p>
            <w:pPr>
              <w:jc w:val="center"/>
              <w:ind w:left="39"/>
              <w:spacing w:after="0"/>
              <w:rPr>
                <w:sz w:val="20"/>
                <w:szCs w:val="20"/>
                <w:color w:val="auto"/>
              </w:rPr>
            </w:pPr>
            <w:r>
              <w:rPr>
                <w:rFonts w:ascii="Arial" w:cs="Arial" w:eastAsia="Arial" w:hAnsi="Arial"/>
                <w:sz w:val="16"/>
                <w:szCs w:val="16"/>
                <w:color w:val="auto"/>
              </w:rPr>
              <w:t>*</w:t>
            </w:r>
          </w:p>
        </w:tc>
      </w:tr>
      <w:tr>
        <w:trPr>
          <w:trHeight w:val="189"/>
        </w:trPr>
        <w:tc>
          <w:tcPr>
            <w:tcW w:w="324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 xml:space="preserve">Eric W. Mandelblatt </w:t>
            </w:r>
            <w:r>
              <w:rPr>
                <w:rFonts w:ascii="Arial" w:cs="Arial" w:eastAsia="Arial" w:hAnsi="Arial"/>
                <w:sz w:val="10"/>
                <w:szCs w:val="10"/>
                <w:color w:val="auto"/>
              </w:rPr>
              <w:t>(5)</w:t>
            </w:r>
          </w:p>
        </w:tc>
        <w:tc>
          <w:tcPr>
            <w:tcW w:w="2200" w:type="dxa"/>
            <w:vAlign w:val="bottom"/>
          </w:tcPr>
          <w:p>
            <w:pPr>
              <w:jc w:val="center"/>
              <w:ind w:left="19"/>
              <w:spacing w:after="0"/>
              <w:rPr>
                <w:sz w:val="20"/>
                <w:szCs w:val="20"/>
                <w:color w:val="auto"/>
              </w:rPr>
            </w:pPr>
            <w:r>
              <w:rPr>
                <w:rFonts w:ascii="Arial" w:cs="Arial" w:eastAsia="Arial" w:hAnsi="Arial"/>
                <w:sz w:val="16"/>
                <w:szCs w:val="16"/>
                <w:color w:val="auto"/>
              </w:rPr>
              <w:t>21,000,000</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21,000,000</w:t>
            </w:r>
          </w:p>
        </w:tc>
        <w:tc>
          <w:tcPr>
            <w:tcW w:w="1120" w:type="dxa"/>
            <w:vAlign w:val="bottom"/>
            <w:tcBorders>
              <w:right w:val="single" w:sz="8" w:color="auto"/>
            </w:tcBorders>
          </w:tcPr>
          <w:p>
            <w:pPr>
              <w:jc w:val="center"/>
              <w:ind w:left="59"/>
              <w:spacing w:after="0"/>
              <w:rPr>
                <w:sz w:val="20"/>
                <w:szCs w:val="20"/>
                <w:color w:val="auto"/>
              </w:rPr>
            </w:pPr>
            <w:r>
              <w:rPr>
                <w:rFonts w:ascii="Arial" w:cs="Arial" w:eastAsia="Arial" w:hAnsi="Arial"/>
                <w:sz w:val="16"/>
                <w:szCs w:val="16"/>
                <w:color w:val="auto"/>
              </w:rPr>
              <w:t>2.81%</w:t>
            </w:r>
          </w:p>
        </w:tc>
      </w:tr>
      <w:tr>
        <w:trPr>
          <w:trHeight w:val="189"/>
        </w:trPr>
        <w:tc>
          <w:tcPr>
            <w:tcW w:w="324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6"/>
                <w:szCs w:val="16"/>
                <w:color w:val="auto"/>
              </w:rPr>
              <w:t>Rory L. Miller</w:t>
            </w:r>
          </w:p>
        </w:tc>
        <w:tc>
          <w:tcPr>
            <w:tcW w:w="2200" w:type="dxa"/>
            <w:vAlign w:val="bottom"/>
            <w:shd w:val="clear" w:color="auto" w:fill="DDE6F2"/>
          </w:tcPr>
          <w:p>
            <w:pPr>
              <w:jc w:val="center"/>
              <w:ind w:left="19"/>
              <w:spacing w:after="0"/>
              <w:rPr>
                <w:sz w:val="20"/>
                <w:szCs w:val="20"/>
                <w:color w:val="auto"/>
              </w:rPr>
            </w:pPr>
            <w:r>
              <w:rPr>
                <w:rFonts w:ascii="Arial" w:cs="Arial" w:eastAsia="Arial" w:hAnsi="Arial"/>
                <w:sz w:val="16"/>
                <w:szCs w:val="16"/>
                <w:color w:val="auto"/>
              </w:rPr>
              <w:t>98,361</w:t>
            </w:r>
          </w:p>
        </w:tc>
        <w:tc>
          <w:tcPr>
            <w:tcW w:w="2080" w:type="dxa"/>
            <w:vAlign w:val="bottom"/>
            <w:shd w:val="clear" w:color="auto" w:fill="DDE6F2"/>
          </w:tcPr>
          <w:p>
            <w:pPr>
              <w:jc w:val="center"/>
              <w:spacing w:after="0"/>
              <w:rPr>
                <w:sz w:val="20"/>
                <w:szCs w:val="20"/>
                <w:color w:val="auto"/>
              </w:rPr>
            </w:pPr>
            <w:r>
              <w:rPr>
                <w:rFonts w:ascii="Arial" w:cs="Arial" w:eastAsia="Arial" w:hAnsi="Arial"/>
                <w:sz w:val="16"/>
                <w:szCs w:val="16"/>
                <w:color w:val="auto"/>
              </w:rPr>
              <w:t>134,919</w:t>
            </w:r>
          </w:p>
        </w:tc>
        <w:tc>
          <w:tcPr>
            <w:tcW w:w="1520" w:type="dxa"/>
            <w:vAlign w:val="bottom"/>
            <w:shd w:val="clear" w:color="auto" w:fill="DDE6F2"/>
          </w:tcPr>
          <w:p>
            <w:pPr>
              <w:jc w:val="center"/>
              <w:spacing w:after="0"/>
              <w:rPr>
                <w:sz w:val="20"/>
                <w:szCs w:val="20"/>
                <w:color w:val="auto"/>
              </w:rPr>
            </w:pPr>
            <w:r>
              <w:rPr>
                <w:rFonts w:ascii="Arial" w:cs="Arial" w:eastAsia="Arial" w:hAnsi="Arial"/>
                <w:sz w:val="16"/>
                <w:szCs w:val="16"/>
                <w:color w:val="auto"/>
                <w:w w:val="89"/>
              </w:rPr>
              <w:t>0</w:t>
            </w:r>
          </w:p>
        </w:tc>
        <w:tc>
          <w:tcPr>
            <w:tcW w:w="1280" w:type="dxa"/>
            <w:vAlign w:val="bottom"/>
            <w:shd w:val="clear" w:color="auto" w:fill="DDE6F2"/>
          </w:tcPr>
          <w:p>
            <w:pPr>
              <w:jc w:val="center"/>
              <w:ind w:left="99"/>
              <w:spacing w:after="0"/>
              <w:rPr>
                <w:sz w:val="20"/>
                <w:szCs w:val="20"/>
                <w:color w:val="auto"/>
              </w:rPr>
            </w:pPr>
            <w:r>
              <w:rPr>
                <w:rFonts w:ascii="Arial" w:cs="Arial" w:eastAsia="Arial" w:hAnsi="Arial"/>
                <w:sz w:val="16"/>
                <w:szCs w:val="16"/>
                <w:color w:val="auto"/>
              </w:rPr>
              <w:t>233,280</w:t>
            </w:r>
          </w:p>
        </w:tc>
        <w:tc>
          <w:tcPr>
            <w:tcW w:w="1120" w:type="dxa"/>
            <w:vAlign w:val="bottom"/>
            <w:tcBorders>
              <w:right w:val="single" w:sz="8" w:color="auto"/>
            </w:tcBorders>
            <w:shd w:val="clear" w:color="auto" w:fill="DDE6F2"/>
          </w:tcPr>
          <w:p>
            <w:pPr>
              <w:jc w:val="center"/>
              <w:ind w:left="39"/>
              <w:spacing w:after="0"/>
              <w:rPr>
                <w:sz w:val="20"/>
                <w:szCs w:val="20"/>
                <w:color w:val="auto"/>
              </w:rPr>
            </w:pPr>
            <w:r>
              <w:rPr>
                <w:rFonts w:ascii="Arial" w:cs="Arial" w:eastAsia="Arial" w:hAnsi="Arial"/>
                <w:sz w:val="16"/>
                <w:szCs w:val="16"/>
                <w:color w:val="auto"/>
              </w:rPr>
              <w:t>*</w:t>
            </w:r>
          </w:p>
        </w:tc>
      </w:tr>
      <w:tr>
        <w:trPr>
          <w:trHeight w:val="189"/>
        </w:trPr>
        <w:tc>
          <w:tcPr>
            <w:tcW w:w="324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 xml:space="preserve">Keith A. Meister </w:t>
            </w:r>
            <w:r>
              <w:rPr>
                <w:rFonts w:ascii="Arial" w:cs="Arial" w:eastAsia="Arial" w:hAnsi="Arial"/>
                <w:sz w:val="10"/>
                <w:szCs w:val="10"/>
                <w:color w:val="auto"/>
              </w:rPr>
              <w:t>(5)</w:t>
            </w:r>
          </w:p>
        </w:tc>
        <w:tc>
          <w:tcPr>
            <w:tcW w:w="2200" w:type="dxa"/>
            <w:vAlign w:val="bottom"/>
          </w:tcPr>
          <w:p>
            <w:pPr>
              <w:jc w:val="center"/>
              <w:ind w:left="19"/>
              <w:spacing w:after="0"/>
              <w:rPr>
                <w:sz w:val="20"/>
                <w:szCs w:val="20"/>
                <w:color w:val="auto"/>
              </w:rPr>
            </w:pPr>
            <w:r>
              <w:rPr>
                <w:rFonts w:ascii="Arial" w:cs="Arial" w:eastAsia="Arial" w:hAnsi="Arial"/>
                <w:sz w:val="16"/>
                <w:szCs w:val="16"/>
                <w:color w:val="auto"/>
              </w:rPr>
              <w:t>41,682,960</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41,682,960</w:t>
            </w:r>
          </w:p>
        </w:tc>
        <w:tc>
          <w:tcPr>
            <w:tcW w:w="1120" w:type="dxa"/>
            <w:vAlign w:val="bottom"/>
            <w:tcBorders>
              <w:right w:val="single" w:sz="8" w:color="auto"/>
            </w:tcBorders>
          </w:tcPr>
          <w:p>
            <w:pPr>
              <w:jc w:val="center"/>
              <w:ind w:left="59"/>
              <w:spacing w:after="0"/>
              <w:rPr>
                <w:sz w:val="20"/>
                <w:szCs w:val="20"/>
                <w:color w:val="auto"/>
              </w:rPr>
            </w:pPr>
            <w:r>
              <w:rPr>
                <w:rFonts w:ascii="Arial" w:cs="Arial" w:eastAsia="Arial" w:hAnsi="Arial"/>
                <w:sz w:val="16"/>
                <w:szCs w:val="16"/>
                <w:color w:val="auto"/>
              </w:rPr>
              <w:t>5.57%</w:t>
            </w:r>
          </w:p>
        </w:tc>
      </w:tr>
      <w:tr>
        <w:trPr>
          <w:trHeight w:val="189"/>
        </w:trPr>
        <w:tc>
          <w:tcPr>
            <w:tcW w:w="324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6"/>
                <w:szCs w:val="16"/>
                <w:color w:val="auto"/>
              </w:rPr>
              <w:t>Steven W. Nance</w:t>
            </w:r>
          </w:p>
        </w:tc>
        <w:tc>
          <w:tcPr>
            <w:tcW w:w="2200" w:type="dxa"/>
            <w:vAlign w:val="bottom"/>
            <w:shd w:val="clear" w:color="auto" w:fill="DDE6F2"/>
          </w:tcPr>
          <w:p>
            <w:pPr>
              <w:jc w:val="center"/>
              <w:ind w:left="19"/>
              <w:spacing w:after="0"/>
              <w:rPr>
                <w:sz w:val="20"/>
                <w:szCs w:val="20"/>
                <w:color w:val="auto"/>
              </w:rPr>
            </w:pPr>
            <w:r>
              <w:rPr>
                <w:rFonts w:ascii="Arial" w:cs="Arial" w:eastAsia="Arial" w:hAnsi="Arial"/>
                <w:sz w:val="16"/>
                <w:szCs w:val="16"/>
                <w:color w:val="auto"/>
              </w:rPr>
              <w:t>4,700</w:t>
            </w:r>
          </w:p>
        </w:tc>
        <w:tc>
          <w:tcPr>
            <w:tcW w:w="2080" w:type="dxa"/>
            <w:vAlign w:val="bottom"/>
            <w:shd w:val="clear" w:color="auto" w:fill="DDE6F2"/>
          </w:tcPr>
          <w:p>
            <w:pPr>
              <w:jc w:val="center"/>
              <w:spacing w:after="0"/>
              <w:rPr>
                <w:sz w:val="20"/>
                <w:szCs w:val="20"/>
                <w:color w:val="auto"/>
              </w:rPr>
            </w:pPr>
            <w:r>
              <w:rPr>
                <w:rFonts w:ascii="Arial" w:cs="Arial" w:eastAsia="Arial" w:hAnsi="Arial"/>
                <w:sz w:val="16"/>
                <w:szCs w:val="16"/>
                <w:color w:val="auto"/>
                <w:w w:val="89"/>
              </w:rPr>
              <w:t>0</w:t>
            </w:r>
          </w:p>
        </w:tc>
        <w:tc>
          <w:tcPr>
            <w:tcW w:w="1520" w:type="dxa"/>
            <w:vAlign w:val="bottom"/>
            <w:shd w:val="clear" w:color="auto" w:fill="DDE6F2"/>
          </w:tcPr>
          <w:p>
            <w:pPr>
              <w:jc w:val="center"/>
              <w:spacing w:after="0"/>
              <w:rPr>
                <w:sz w:val="20"/>
                <w:szCs w:val="20"/>
                <w:color w:val="auto"/>
              </w:rPr>
            </w:pPr>
            <w:r>
              <w:rPr>
                <w:rFonts w:ascii="Arial" w:cs="Arial" w:eastAsia="Arial" w:hAnsi="Arial"/>
                <w:sz w:val="16"/>
                <w:szCs w:val="16"/>
                <w:color w:val="auto"/>
                <w:w w:val="99"/>
              </w:rPr>
              <w:t>8,662</w:t>
            </w:r>
          </w:p>
        </w:tc>
        <w:tc>
          <w:tcPr>
            <w:tcW w:w="1280" w:type="dxa"/>
            <w:vAlign w:val="bottom"/>
            <w:shd w:val="clear" w:color="auto" w:fill="DDE6F2"/>
          </w:tcPr>
          <w:p>
            <w:pPr>
              <w:jc w:val="center"/>
              <w:ind w:left="99"/>
              <w:spacing w:after="0"/>
              <w:rPr>
                <w:sz w:val="20"/>
                <w:szCs w:val="20"/>
                <w:color w:val="auto"/>
              </w:rPr>
            </w:pPr>
            <w:r>
              <w:rPr>
                <w:rFonts w:ascii="Arial" w:cs="Arial" w:eastAsia="Arial" w:hAnsi="Arial"/>
                <w:sz w:val="16"/>
                <w:szCs w:val="16"/>
                <w:color w:val="auto"/>
              </w:rPr>
              <w:t>13,362</w:t>
            </w:r>
          </w:p>
        </w:tc>
        <w:tc>
          <w:tcPr>
            <w:tcW w:w="1120" w:type="dxa"/>
            <w:vAlign w:val="bottom"/>
            <w:tcBorders>
              <w:right w:val="single" w:sz="8" w:color="auto"/>
            </w:tcBorders>
            <w:shd w:val="clear" w:color="auto" w:fill="DDE6F2"/>
          </w:tcPr>
          <w:p>
            <w:pPr>
              <w:jc w:val="center"/>
              <w:ind w:left="39"/>
              <w:spacing w:after="0"/>
              <w:rPr>
                <w:sz w:val="20"/>
                <w:szCs w:val="20"/>
                <w:color w:val="auto"/>
              </w:rPr>
            </w:pPr>
            <w:r>
              <w:rPr>
                <w:rFonts w:ascii="Arial" w:cs="Arial" w:eastAsia="Arial" w:hAnsi="Arial"/>
                <w:sz w:val="16"/>
                <w:szCs w:val="16"/>
                <w:color w:val="auto"/>
              </w:rPr>
              <w:t>*</w:t>
            </w:r>
          </w:p>
        </w:tc>
      </w:tr>
      <w:tr>
        <w:trPr>
          <w:trHeight w:val="189"/>
        </w:trPr>
        <w:tc>
          <w:tcPr>
            <w:tcW w:w="324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James E. Scheel</w:t>
            </w:r>
          </w:p>
        </w:tc>
        <w:tc>
          <w:tcPr>
            <w:tcW w:w="2200" w:type="dxa"/>
            <w:vAlign w:val="bottom"/>
          </w:tcPr>
          <w:p>
            <w:pPr>
              <w:jc w:val="center"/>
              <w:ind w:left="19"/>
              <w:spacing w:after="0"/>
              <w:rPr>
                <w:sz w:val="20"/>
                <w:szCs w:val="20"/>
                <w:color w:val="auto"/>
              </w:rPr>
            </w:pPr>
            <w:r>
              <w:rPr>
                <w:rFonts w:ascii="Arial" w:cs="Arial" w:eastAsia="Arial" w:hAnsi="Arial"/>
                <w:sz w:val="16"/>
                <w:szCs w:val="16"/>
                <w:color w:val="auto"/>
              </w:rPr>
              <w:t>40,657</w:t>
            </w:r>
          </w:p>
        </w:tc>
        <w:tc>
          <w:tcPr>
            <w:tcW w:w="2080" w:type="dxa"/>
            <w:vAlign w:val="bottom"/>
          </w:tcPr>
          <w:p>
            <w:pPr>
              <w:jc w:val="center"/>
              <w:spacing w:after="0"/>
              <w:rPr>
                <w:sz w:val="20"/>
                <w:szCs w:val="20"/>
                <w:color w:val="auto"/>
              </w:rPr>
            </w:pPr>
            <w:r>
              <w:rPr>
                <w:rFonts w:ascii="Arial" w:cs="Arial" w:eastAsia="Arial" w:hAnsi="Arial"/>
                <w:sz w:val="16"/>
                <w:szCs w:val="16"/>
                <w:color w:val="auto"/>
              </w:rPr>
              <w:t>99,010</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139,667</w:t>
            </w:r>
          </w:p>
        </w:tc>
        <w:tc>
          <w:tcPr>
            <w:tcW w:w="1120" w:type="dxa"/>
            <w:vAlign w:val="bottom"/>
            <w:tcBorders>
              <w:right w:val="single" w:sz="8" w:color="auto"/>
            </w:tcBorders>
          </w:tcPr>
          <w:p>
            <w:pPr>
              <w:jc w:val="center"/>
              <w:ind w:left="39"/>
              <w:spacing w:after="0"/>
              <w:rPr>
                <w:sz w:val="20"/>
                <w:szCs w:val="20"/>
                <w:color w:val="auto"/>
              </w:rPr>
            </w:pPr>
            <w:r>
              <w:rPr>
                <w:rFonts w:ascii="Arial" w:cs="Arial" w:eastAsia="Arial" w:hAnsi="Arial"/>
                <w:sz w:val="16"/>
                <w:szCs w:val="16"/>
                <w:color w:val="auto"/>
              </w:rPr>
              <w:t>*</w:t>
            </w:r>
          </w:p>
        </w:tc>
      </w:tr>
      <w:tr>
        <w:trPr>
          <w:trHeight w:val="189"/>
        </w:trPr>
        <w:tc>
          <w:tcPr>
            <w:tcW w:w="324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6"/>
                <w:szCs w:val="16"/>
                <w:color w:val="auto"/>
              </w:rPr>
              <w:t xml:space="preserve">Murray D. Smith </w:t>
            </w:r>
            <w:r>
              <w:rPr>
                <w:rFonts w:ascii="Arial" w:cs="Arial" w:eastAsia="Arial" w:hAnsi="Arial"/>
                <w:sz w:val="10"/>
                <w:szCs w:val="10"/>
                <w:color w:val="auto"/>
              </w:rPr>
              <w:t>(6)</w:t>
            </w:r>
          </w:p>
        </w:tc>
        <w:tc>
          <w:tcPr>
            <w:tcW w:w="2200" w:type="dxa"/>
            <w:vAlign w:val="bottom"/>
            <w:shd w:val="clear" w:color="auto" w:fill="DDE6F2"/>
          </w:tcPr>
          <w:p>
            <w:pPr>
              <w:jc w:val="center"/>
              <w:ind w:left="19"/>
              <w:spacing w:after="0"/>
              <w:rPr>
                <w:sz w:val="20"/>
                <w:szCs w:val="20"/>
                <w:color w:val="auto"/>
              </w:rPr>
            </w:pPr>
            <w:r>
              <w:rPr>
                <w:rFonts w:ascii="Arial" w:cs="Arial" w:eastAsia="Arial" w:hAnsi="Arial"/>
                <w:sz w:val="16"/>
                <w:szCs w:val="16"/>
                <w:color w:val="auto"/>
              </w:rPr>
              <w:t>19,017</w:t>
            </w:r>
          </w:p>
        </w:tc>
        <w:tc>
          <w:tcPr>
            <w:tcW w:w="2080" w:type="dxa"/>
            <w:vAlign w:val="bottom"/>
            <w:shd w:val="clear" w:color="auto" w:fill="DDE6F2"/>
          </w:tcPr>
          <w:p>
            <w:pPr>
              <w:jc w:val="center"/>
              <w:spacing w:after="0"/>
              <w:rPr>
                <w:sz w:val="20"/>
                <w:szCs w:val="20"/>
                <w:color w:val="auto"/>
              </w:rPr>
            </w:pPr>
            <w:r>
              <w:rPr>
                <w:rFonts w:ascii="Arial" w:cs="Arial" w:eastAsia="Arial" w:hAnsi="Arial"/>
                <w:sz w:val="16"/>
                <w:szCs w:val="16"/>
                <w:color w:val="auto"/>
                <w:w w:val="89"/>
              </w:rPr>
              <w:t>0</w:t>
            </w:r>
          </w:p>
        </w:tc>
        <w:tc>
          <w:tcPr>
            <w:tcW w:w="1520" w:type="dxa"/>
            <w:vAlign w:val="bottom"/>
            <w:shd w:val="clear" w:color="auto" w:fill="DDE6F2"/>
          </w:tcPr>
          <w:p>
            <w:pPr>
              <w:jc w:val="center"/>
              <w:spacing w:after="0"/>
              <w:rPr>
                <w:sz w:val="20"/>
                <w:szCs w:val="20"/>
                <w:color w:val="auto"/>
              </w:rPr>
            </w:pPr>
            <w:r>
              <w:rPr>
                <w:rFonts w:ascii="Arial" w:cs="Arial" w:eastAsia="Arial" w:hAnsi="Arial"/>
                <w:sz w:val="16"/>
                <w:szCs w:val="16"/>
                <w:color w:val="auto"/>
                <w:w w:val="99"/>
              </w:rPr>
              <w:t>8,662</w:t>
            </w:r>
          </w:p>
        </w:tc>
        <w:tc>
          <w:tcPr>
            <w:tcW w:w="1280" w:type="dxa"/>
            <w:vAlign w:val="bottom"/>
            <w:shd w:val="clear" w:color="auto" w:fill="DDE6F2"/>
          </w:tcPr>
          <w:p>
            <w:pPr>
              <w:jc w:val="center"/>
              <w:ind w:left="99"/>
              <w:spacing w:after="0"/>
              <w:rPr>
                <w:sz w:val="20"/>
                <w:szCs w:val="20"/>
                <w:color w:val="auto"/>
              </w:rPr>
            </w:pPr>
            <w:r>
              <w:rPr>
                <w:rFonts w:ascii="Arial" w:cs="Arial" w:eastAsia="Arial" w:hAnsi="Arial"/>
                <w:sz w:val="16"/>
                <w:szCs w:val="16"/>
                <w:color w:val="auto"/>
              </w:rPr>
              <w:t>27,679</w:t>
            </w:r>
          </w:p>
        </w:tc>
        <w:tc>
          <w:tcPr>
            <w:tcW w:w="1120" w:type="dxa"/>
            <w:vAlign w:val="bottom"/>
            <w:tcBorders>
              <w:right w:val="single" w:sz="8" w:color="auto"/>
            </w:tcBorders>
            <w:shd w:val="clear" w:color="auto" w:fill="DDE6F2"/>
          </w:tcPr>
          <w:p>
            <w:pPr>
              <w:jc w:val="center"/>
              <w:ind w:left="39"/>
              <w:spacing w:after="0"/>
              <w:rPr>
                <w:sz w:val="20"/>
                <w:szCs w:val="20"/>
                <w:color w:val="auto"/>
              </w:rPr>
            </w:pPr>
            <w:r>
              <w:rPr>
                <w:rFonts w:ascii="Arial" w:cs="Arial" w:eastAsia="Arial" w:hAnsi="Arial"/>
                <w:sz w:val="16"/>
                <w:szCs w:val="16"/>
                <w:color w:val="auto"/>
              </w:rPr>
              <w:t>*</w:t>
            </w:r>
          </w:p>
        </w:tc>
      </w:tr>
      <w:tr>
        <w:trPr>
          <w:trHeight w:val="189"/>
        </w:trPr>
        <w:tc>
          <w:tcPr>
            <w:tcW w:w="324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 xml:space="preserve">Janice D. Stoney </w:t>
            </w:r>
            <w:r>
              <w:rPr>
                <w:rFonts w:ascii="Arial" w:cs="Arial" w:eastAsia="Arial" w:hAnsi="Arial"/>
                <w:sz w:val="10"/>
                <w:szCs w:val="10"/>
                <w:color w:val="auto"/>
              </w:rPr>
              <w:t>(7)</w:t>
            </w:r>
          </w:p>
        </w:tc>
        <w:tc>
          <w:tcPr>
            <w:tcW w:w="2200" w:type="dxa"/>
            <w:vAlign w:val="bottom"/>
          </w:tcPr>
          <w:p>
            <w:pPr>
              <w:jc w:val="center"/>
              <w:ind w:left="19"/>
              <w:spacing w:after="0"/>
              <w:rPr>
                <w:sz w:val="20"/>
                <w:szCs w:val="20"/>
                <w:color w:val="auto"/>
              </w:rPr>
            </w:pPr>
            <w:r>
              <w:rPr>
                <w:rFonts w:ascii="Arial" w:cs="Arial" w:eastAsia="Arial" w:hAnsi="Arial"/>
                <w:sz w:val="16"/>
                <w:szCs w:val="16"/>
                <w:color w:val="auto"/>
              </w:rPr>
              <w:t>66,073</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30,384</w:t>
            </w: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96,457</w:t>
            </w:r>
          </w:p>
        </w:tc>
        <w:tc>
          <w:tcPr>
            <w:tcW w:w="1120" w:type="dxa"/>
            <w:vAlign w:val="bottom"/>
            <w:tcBorders>
              <w:right w:val="single" w:sz="8" w:color="auto"/>
            </w:tcBorders>
          </w:tcPr>
          <w:p>
            <w:pPr>
              <w:jc w:val="center"/>
              <w:ind w:left="39"/>
              <w:spacing w:after="0"/>
              <w:rPr>
                <w:sz w:val="20"/>
                <w:szCs w:val="20"/>
                <w:color w:val="auto"/>
              </w:rPr>
            </w:pPr>
            <w:r>
              <w:rPr>
                <w:rFonts w:ascii="Arial" w:cs="Arial" w:eastAsia="Arial" w:hAnsi="Arial"/>
                <w:sz w:val="16"/>
                <w:szCs w:val="16"/>
                <w:color w:val="auto"/>
              </w:rPr>
              <w:t>*</w:t>
            </w:r>
          </w:p>
        </w:tc>
      </w:tr>
      <w:tr>
        <w:trPr>
          <w:trHeight w:val="189"/>
        </w:trPr>
        <w:tc>
          <w:tcPr>
            <w:tcW w:w="324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6"/>
                <w:szCs w:val="16"/>
                <w:color w:val="auto"/>
              </w:rPr>
              <w:t>Laura A. Sugg</w:t>
            </w:r>
          </w:p>
        </w:tc>
        <w:tc>
          <w:tcPr>
            <w:tcW w:w="2200" w:type="dxa"/>
            <w:vAlign w:val="bottom"/>
            <w:shd w:val="clear" w:color="auto" w:fill="DDE6F2"/>
          </w:tcPr>
          <w:p>
            <w:pPr>
              <w:jc w:val="center"/>
              <w:ind w:left="19"/>
              <w:spacing w:after="0"/>
              <w:rPr>
                <w:sz w:val="20"/>
                <w:szCs w:val="20"/>
                <w:color w:val="auto"/>
              </w:rPr>
            </w:pPr>
            <w:r>
              <w:rPr>
                <w:rFonts w:ascii="Arial" w:cs="Arial" w:eastAsia="Arial" w:hAnsi="Arial"/>
                <w:sz w:val="16"/>
                <w:szCs w:val="16"/>
                <w:color w:val="auto"/>
              </w:rPr>
              <w:t>13,410</w:t>
            </w:r>
          </w:p>
        </w:tc>
        <w:tc>
          <w:tcPr>
            <w:tcW w:w="2080" w:type="dxa"/>
            <w:vAlign w:val="bottom"/>
            <w:shd w:val="clear" w:color="auto" w:fill="DDE6F2"/>
          </w:tcPr>
          <w:p>
            <w:pPr>
              <w:jc w:val="center"/>
              <w:spacing w:after="0"/>
              <w:rPr>
                <w:sz w:val="20"/>
                <w:szCs w:val="20"/>
                <w:color w:val="auto"/>
              </w:rPr>
            </w:pPr>
            <w:r>
              <w:rPr>
                <w:rFonts w:ascii="Arial" w:cs="Arial" w:eastAsia="Arial" w:hAnsi="Arial"/>
                <w:sz w:val="16"/>
                <w:szCs w:val="16"/>
                <w:color w:val="auto"/>
                <w:w w:val="89"/>
              </w:rPr>
              <w:t>0</w:t>
            </w:r>
          </w:p>
        </w:tc>
        <w:tc>
          <w:tcPr>
            <w:tcW w:w="1520" w:type="dxa"/>
            <w:vAlign w:val="bottom"/>
            <w:shd w:val="clear" w:color="auto" w:fill="DDE6F2"/>
          </w:tcPr>
          <w:p>
            <w:pPr>
              <w:jc w:val="center"/>
              <w:spacing w:after="0"/>
              <w:rPr>
                <w:sz w:val="20"/>
                <w:szCs w:val="20"/>
                <w:color w:val="auto"/>
              </w:rPr>
            </w:pPr>
            <w:r>
              <w:rPr>
                <w:rFonts w:ascii="Arial" w:cs="Arial" w:eastAsia="Arial" w:hAnsi="Arial"/>
                <w:sz w:val="16"/>
                <w:szCs w:val="16"/>
                <w:color w:val="auto"/>
                <w:w w:val="99"/>
              </w:rPr>
              <w:t>7,053</w:t>
            </w:r>
          </w:p>
        </w:tc>
        <w:tc>
          <w:tcPr>
            <w:tcW w:w="1280" w:type="dxa"/>
            <w:vAlign w:val="bottom"/>
            <w:shd w:val="clear" w:color="auto" w:fill="DDE6F2"/>
          </w:tcPr>
          <w:p>
            <w:pPr>
              <w:jc w:val="center"/>
              <w:ind w:left="99"/>
              <w:spacing w:after="0"/>
              <w:rPr>
                <w:sz w:val="20"/>
                <w:szCs w:val="20"/>
                <w:color w:val="auto"/>
              </w:rPr>
            </w:pPr>
            <w:r>
              <w:rPr>
                <w:rFonts w:ascii="Arial" w:cs="Arial" w:eastAsia="Arial" w:hAnsi="Arial"/>
                <w:sz w:val="16"/>
                <w:szCs w:val="16"/>
                <w:color w:val="auto"/>
              </w:rPr>
              <w:t>20,463</w:t>
            </w:r>
          </w:p>
        </w:tc>
        <w:tc>
          <w:tcPr>
            <w:tcW w:w="1120" w:type="dxa"/>
            <w:vAlign w:val="bottom"/>
            <w:tcBorders>
              <w:right w:val="single" w:sz="8" w:color="auto"/>
            </w:tcBorders>
            <w:shd w:val="clear" w:color="auto" w:fill="DDE6F2"/>
          </w:tcPr>
          <w:p>
            <w:pPr>
              <w:jc w:val="center"/>
              <w:ind w:left="39"/>
              <w:spacing w:after="0"/>
              <w:rPr>
                <w:sz w:val="20"/>
                <w:szCs w:val="20"/>
                <w:color w:val="auto"/>
              </w:rPr>
            </w:pPr>
            <w:r>
              <w:rPr>
                <w:rFonts w:ascii="Arial" w:cs="Arial" w:eastAsia="Arial" w:hAnsi="Arial"/>
                <w:sz w:val="16"/>
                <w:szCs w:val="16"/>
                <w:color w:val="auto"/>
              </w:rPr>
              <w:t>*</w:t>
            </w:r>
          </w:p>
        </w:tc>
      </w:tr>
      <w:tr>
        <w:trPr>
          <w:trHeight w:val="191"/>
        </w:trPr>
        <w:tc>
          <w:tcPr>
            <w:tcW w:w="324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All directors &amp; executive officers as a</w:t>
            </w:r>
          </w:p>
        </w:tc>
        <w:tc>
          <w:tcPr>
            <w:tcW w:w="2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r>
      <w:tr>
        <w:trPr>
          <w:trHeight w:val="187"/>
        </w:trPr>
        <w:tc>
          <w:tcPr>
            <w:tcW w:w="324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group (26 persons)</w:t>
            </w:r>
          </w:p>
        </w:tc>
        <w:tc>
          <w:tcPr>
            <w:tcW w:w="22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rPr>
              <w:t>64,050,289</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2,178,182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104,292</w:t>
            </w:r>
          </w:p>
        </w:tc>
        <w:tc>
          <w:tcPr>
            <w:tcW w:w="128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rPr>
              <w:t>66,332,763</w:t>
            </w:r>
          </w:p>
        </w:tc>
        <w:tc>
          <w:tcPr>
            <w:tcW w:w="1120" w:type="dxa"/>
            <w:vAlign w:val="bottom"/>
            <w:tcBorders>
              <w:bottom w:val="single" w:sz="8" w:color="auto"/>
              <w:right w:val="single" w:sz="8" w:color="auto"/>
            </w:tcBorders>
          </w:tcPr>
          <w:p>
            <w:pPr>
              <w:jc w:val="center"/>
              <w:ind w:left="59"/>
              <w:spacing w:after="0"/>
              <w:rPr>
                <w:sz w:val="20"/>
                <w:szCs w:val="20"/>
                <w:color w:val="auto"/>
              </w:rPr>
            </w:pPr>
            <w:r>
              <w:rPr>
                <w:rFonts w:ascii="Arial" w:cs="Arial" w:eastAsia="Arial" w:hAnsi="Arial"/>
                <w:sz w:val="16"/>
                <w:szCs w:val="16"/>
                <w:color w:val="auto"/>
              </w:rPr>
              <w:t>8.87%</w:t>
            </w:r>
          </w:p>
        </w:tc>
      </w:tr>
    </w:tbl>
    <w:p>
      <w:pPr>
        <w:spacing w:after="0" w:line="126" w:lineRule="exact"/>
        <w:rPr>
          <w:sz w:val="20"/>
          <w:szCs w:val="20"/>
          <w:color w:val="auto"/>
        </w:rPr>
      </w:pPr>
    </w:p>
    <w:p>
      <w:pPr>
        <w:ind w:left="800" w:hanging="346"/>
        <w:spacing w:after="0"/>
        <w:tabs>
          <w:tab w:leader="none" w:pos="8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jc w:val="both"/>
        <w:ind w:left="800" w:right="20" w:hanging="346"/>
        <w:spacing w:after="0" w:line="241" w:lineRule="auto"/>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SEC deems a person to have beneficial ownership of all shares that the person has the right to acquire within 60 days. Amounts reflect shares that may be acquired upon the exercise of stock options granted under Williams’ current or previous equity plans that are currently exercisable, will become exercisable, or would become exercisable upon the voluntary retirement of such person, within 60 days of February 27, 2015.</w:t>
      </w:r>
    </w:p>
    <w:p>
      <w:pPr>
        <w:spacing w:after="0" w:line="1" w:lineRule="exact"/>
        <w:rPr>
          <w:rFonts w:ascii="Arial" w:cs="Arial" w:eastAsia="Arial" w:hAnsi="Arial"/>
          <w:sz w:val="14"/>
          <w:szCs w:val="14"/>
          <w:color w:val="auto"/>
        </w:rPr>
      </w:pPr>
    </w:p>
    <w:p>
      <w:pPr>
        <w:jc w:val="both"/>
        <w:ind w:left="800" w:right="20" w:hanging="346"/>
        <w:spacing w:after="0" w:line="241" w:lineRule="auto"/>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SEC deems a person to have beneficial ownership of all shares that the person has the right to acquire within 60 days. Amounts reflect shares that would be acquired upon the vesting of restricted stock units (“RSUs”) granted under Williams current or previous equity plans that will vest or that would vest upon the voluntary retirement of such person, within 60 days of February 27, 2015. RSUs have no voting or investment power.</w:t>
      </w:r>
    </w:p>
    <w:p>
      <w:pPr>
        <w:spacing w:after="0" w:line="1" w:lineRule="exact"/>
        <w:rPr>
          <w:rFonts w:ascii="Arial" w:cs="Arial" w:eastAsia="Arial" w:hAnsi="Arial"/>
          <w:sz w:val="14"/>
          <w:szCs w:val="14"/>
          <w:color w:val="auto"/>
        </w:rPr>
      </w:pPr>
    </w:p>
    <w:p>
      <w:pPr>
        <w:jc w:val="both"/>
        <w:ind w:left="800" w:right="20" w:hanging="346"/>
        <w:spacing w:after="0" w:line="241" w:lineRule="auto"/>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Ownership percentage is reported based on 748,004,651 shares of common stock outstanding on February 27, 2015, plus, as to the holder thereof only and no other person, the number of shares (if any) that the person has the right to acquire as of February 27, 2015, or within 60 days from that date, through the exercise of all options and other rights.</w:t>
      </w:r>
    </w:p>
    <w:p>
      <w:pPr>
        <w:spacing w:after="0" w:line="1" w:lineRule="exact"/>
        <w:rPr>
          <w:rFonts w:ascii="Arial" w:cs="Arial" w:eastAsia="Arial" w:hAnsi="Arial"/>
          <w:sz w:val="14"/>
          <w:szCs w:val="14"/>
          <w:color w:val="auto"/>
        </w:rPr>
      </w:pPr>
    </w:p>
    <w:p>
      <w:pPr>
        <w:ind w:left="800" w:hanging="346"/>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3,047 shares held in the Joe R. Cleveland Family Trust dated November 21, 2008, Joe R. and Evelyn Cleveland, Trustees.</w:t>
      </w:r>
    </w:p>
    <w:p>
      <w:pPr>
        <w:spacing w:after="0" w:line="1" w:lineRule="exact"/>
        <w:rPr>
          <w:rFonts w:ascii="Arial" w:cs="Arial" w:eastAsia="Arial" w:hAnsi="Arial"/>
          <w:sz w:val="14"/>
          <w:szCs w:val="14"/>
          <w:color w:val="auto"/>
        </w:rPr>
      </w:pPr>
    </w:p>
    <w:p>
      <w:pPr>
        <w:ind w:left="800" w:right="20" w:hanging="346"/>
        <w:spacing w:after="0" w:line="241" w:lineRule="auto"/>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Please see the table above setting forth information concerning beneficial ownership by holders of five percent or more of our common stock for information about Messrs. Mandelblatt’s and Meister’s beneficial holdings of our shares.</w:t>
      </w:r>
    </w:p>
    <w:p>
      <w:pPr>
        <w:ind w:left="800" w:hanging="346"/>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10,150 shares held by Murray D. Smith and Associates Limited.</w:t>
      </w:r>
    </w:p>
    <w:p>
      <w:pPr>
        <w:spacing w:after="0" w:line="1" w:lineRule="exact"/>
        <w:rPr>
          <w:rFonts w:ascii="Arial" w:cs="Arial" w:eastAsia="Arial" w:hAnsi="Arial"/>
          <w:sz w:val="14"/>
          <w:szCs w:val="14"/>
          <w:color w:val="auto"/>
        </w:rPr>
      </w:pPr>
    </w:p>
    <w:p>
      <w:pPr>
        <w:ind w:left="800" w:hanging="346"/>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65,073 shares held in the Larry and Janice Stoney Family Trust dated March 25, 2008, Larry D. &amp; Janice D. Stoney, Trustees.</w:t>
      </w:r>
    </w:p>
    <w:p>
      <w:pPr>
        <w:spacing w:after="0" w:line="141"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29</w:t>
            </w:r>
          </w:p>
        </w:tc>
      </w:tr>
    </w:tbl>
    <w:p>
      <w:pPr>
        <w:sectPr>
          <w:pgSz w:w="11900" w:h="16838" w:orient="portrait"/>
          <w:cols w:equalWidth="0" w:num="1">
            <w:col w:w="11440"/>
          </w:cols>
          <w:pgMar w:left="240" w:top="459" w:right="2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205740</wp:posOffset>
            </wp:positionV>
            <wp:extent cx="3353435" cy="3689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534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following table sets forth, as of February 27, 2015, the number of common units of Williams Partners L.P. beneficially owned by each of our directors and nominees for directors, by the NEOs, and by all directors and executive officers as a group. None of the persons in the table below own any Class B Convertible Units of Williams Partners L.P.</w:t>
      </w:r>
    </w:p>
    <w:p>
      <w:pPr>
        <w:spacing w:after="0" w:line="207" w:lineRule="exact"/>
        <w:rPr>
          <w:sz w:val="20"/>
          <w:szCs w:val="20"/>
          <w:color w:val="auto"/>
        </w:rPr>
      </w:pPr>
    </w:p>
    <w:tbl>
      <w:tblPr>
        <w:tblLayout w:type="fixed"/>
        <w:tblInd w:w="470" w:type="dxa"/>
        <w:tblCellMar>
          <w:top w:w="0" w:type="dxa"/>
          <w:left w:w="0" w:type="dxa"/>
          <w:bottom w:w="0" w:type="dxa"/>
          <w:right w:w="0" w:type="dxa"/>
        </w:tblCellMar>
      </w:tblPr>
      <w:tr>
        <w:trPr>
          <w:trHeight w:val="184"/>
        </w:trPr>
        <w:tc>
          <w:tcPr>
            <w:tcW w:w="4500" w:type="dxa"/>
            <w:vAlign w:val="bottom"/>
            <w:tcBorders>
              <w:top w:val="single" w:sz="8" w:color="auto"/>
              <w:left w:val="single" w:sz="8" w:color="auto"/>
            </w:tcBorders>
          </w:tcPr>
          <w:p>
            <w:pPr>
              <w:spacing w:after="0"/>
              <w:rPr>
                <w:sz w:val="16"/>
                <w:szCs w:val="16"/>
                <w:color w:val="auto"/>
              </w:rPr>
            </w:pPr>
          </w:p>
        </w:tc>
        <w:tc>
          <w:tcPr>
            <w:tcW w:w="2920" w:type="dxa"/>
            <w:vAlign w:val="bottom"/>
            <w:tcBorders>
              <w:top w:val="single" w:sz="8" w:color="auto"/>
            </w:tcBorders>
          </w:tcPr>
          <w:p>
            <w:pPr>
              <w:jc w:val="center"/>
              <w:ind w:left="519"/>
              <w:spacing w:after="0"/>
              <w:rPr>
                <w:sz w:val="20"/>
                <w:szCs w:val="20"/>
                <w:color w:val="auto"/>
              </w:rPr>
            </w:pPr>
            <w:r>
              <w:rPr>
                <w:rFonts w:ascii="Arial" w:cs="Arial" w:eastAsia="Arial" w:hAnsi="Arial"/>
                <w:sz w:val="16"/>
                <w:szCs w:val="16"/>
                <w:b w:val="1"/>
                <w:bCs w:val="1"/>
                <w:color w:val="auto"/>
              </w:rPr>
              <w:t>Williams Partners</w:t>
            </w:r>
          </w:p>
        </w:tc>
        <w:tc>
          <w:tcPr>
            <w:tcW w:w="3100" w:type="dxa"/>
            <w:vAlign w:val="bottom"/>
            <w:tcBorders>
              <w:top w:val="single" w:sz="8" w:color="auto"/>
              <w:right w:val="single" w:sz="8" w:color="auto"/>
            </w:tcBorders>
          </w:tcPr>
          <w:p>
            <w:pPr>
              <w:spacing w:after="0"/>
              <w:rPr>
                <w:sz w:val="16"/>
                <w:szCs w:val="16"/>
                <w:color w:val="auto"/>
              </w:rPr>
            </w:pPr>
          </w:p>
        </w:tc>
      </w:tr>
      <w:tr>
        <w:trPr>
          <w:trHeight w:val="189"/>
        </w:trPr>
        <w:tc>
          <w:tcPr>
            <w:tcW w:w="4500" w:type="dxa"/>
            <w:vAlign w:val="bottom"/>
            <w:tcBorders>
              <w:left w:val="single" w:sz="8" w:color="auto"/>
            </w:tcBorders>
          </w:tcPr>
          <w:p>
            <w:pPr>
              <w:spacing w:after="0"/>
              <w:rPr>
                <w:sz w:val="16"/>
                <w:szCs w:val="16"/>
                <w:color w:val="auto"/>
              </w:rPr>
            </w:pPr>
          </w:p>
        </w:tc>
        <w:tc>
          <w:tcPr>
            <w:tcW w:w="2920" w:type="dxa"/>
            <w:vAlign w:val="bottom"/>
          </w:tcPr>
          <w:p>
            <w:pPr>
              <w:jc w:val="center"/>
              <w:ind w:left="519"/>
              <w:spacing w:after="0"/>
              <w:rPr>
                <w:sz w:val="20"/>
                <w:szCs w:val="20"/>
                <w:color w:val="auto"/>
              </w:rPr>
            </w:pPr>
            <w:r>
              <w:rPr>
                <w:rFonts w:ascii="Arial" w:cs="Arial" w:eastAsia="Arial" w:hAnsi="Arial"/>
                <w:sz w:val="16"/>
                <w:szCs w:val="16"/>
                <w:b w:val="1"/>
                <w:bCs w:val="1"/>
                <w:color w:val="auto"/>
              </w:rPr>
              <w:t>Common Units</w:t>
            </w:r>
          </w:p>
        </w:tc>
        <w:tc>
          <w:tcPr>
            <w:tcW w:w="3100" w:type="dxa"/>
            <w:vAlign w:val="bottom"/>
            <w:tcBorders>
              <w:right w:val="single" w:sz="8" w:color="auto"/>
            </w:tcBorders>
          </w:tcPr>
          <w:p>
            <w:pPr>
              <w:spacing w:after="0"/>
              <w:rPr>
                <w:sz w:val="16"/>
                <w:szCs w:val="16"/>
                <w:color w:val="auto"/>
              </w:rPr>
            </w:pPr>
          </w:p>
        </w:tc>
      </w:tr>
      <w:tr>
        <w:trPr>
          <w:trHeight w:val="189"/>
        </w:trPr>
        <w:tc>
          <w:tcPr>
            <w:tcW w:w="4500" w:type="dxa"/>
            <w:vAlign w:val="bottom"/>
            <w:tcBorders>
              <w:left w:val="single" w:sz="8" w:color="auto"/>
            </w:tcBorders>
          </w:tcPr>
          <w:p>
            <w:pPr>
              <w:spacing w:after="0"/>
              <w:rPr>
                <w:sz w:val="16"/>
                <w:szCs w:val="16"/>
                <w:color w:val="auto"/>
              </w:rPr>
            </w:pPr>
          </w:p>
        </w:tc>
        <w:tc>
          <w:tcPr>
            <w:tcW w:w="2920" w:type="dxa"/>
            <w:vAlign w:val="bottom"/>
          </w:tcPr>
          <w:p>
            <w:pPr>
              <w:jc w:val="center"/>
              <w:ind w:left="519"/>
              <w:spacing w:after="0"/>
              <w:rPr>
                <w:sz w:val="20"/>
                <w:szCs w:val="20"/>
                <w:color w:val="auto"/>
              </w:rPr>
            </w:pPr>
            <w:r>
              <w:rPr>
                <w:rFonts w:ascii="Arial" w:cs="Arial" w:eastAsia="Arial" w:hAnsi="Arial"/>
                <w:sz w:val="16"/>
                <w:szCs w:val="16"/>
                <w:b w:val="1"/>
                <w:bCs w:val="1"/>
                <w:color w:val="auto"/>
              </w:rPr>
              <w:t>Owned Directly or</w:t>
            </w:r>
          </w:p>
        </w:tc>
        <w:tc>
          <w:tcPr>
            <w:tcW w:w="3100" w:type="dxa"/>
            <w:vAlign w:val="bottom"/>
            <w:tcBorders>
              <w:right w:val="single" w:sz="8" w:color="auto"/>
            </w:tcBorders>
          </w:tcPr>
          <w:p>
            <w:pPr>
              <w:jc w:val="right"/>
              <w:ind w:right="1839"/>
              <w:spacing w:after="0"/>
              <w:rPr>
                <w:sz w:val="20"/>
                <w:szCs w:val="20"/>
                <w:color w:val="auto"/>
              </w:rPr>
            </w:pPr>
            <w:r>
              <w:rPr>
                <w:rFonts w:ascii="Arial" w:cs="Arial" w:eastAsia="Arial" w:hAnsi="Arial"/>
                <w:sz w:val="16"/>
                <w:szCs w:val="16"/>
                <w:b w:val="1"/>
                <w:bCs w:val="1"/>
                <w:color w:val="auto"/>
              </w:rPr>
              <w:t>Percent</w:t>
            </w:r>
          </w:p>
        </w:tc>
      </w:tr>
      <w:tr>
        <w:trPr>
          <w:trHeight w:val="207"/>
        </w:trPr>
        <w:tc>
          <w:tcPr>
            <w:tcW w:w="45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Name of Individual or Group</w:t>
            </w:r>
          </w:p>
        </w:tc>
        <w:tc>
          <w:tcPr>
            <w:tcW w:w="292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b w:val="1"/>
                <w:bCs w:val="1"/>
                <w:color w:val="auto"/>
              </w:rPr>
              <w:t>Indirectly</w:t>
            </w:r>
          </w:p>
        </w:tc>
        <w:tc>
          <w:tcPr>
            <w:tcW w:w="3100" w:type="dxa"/>
            <w:vAlign w:val="bottom"/>
            <w:tcBorders>
              <w:bottom w:val="single" w:sz="8" w:color="auto"/>
              <w:right w:val="single" w:sz="8" w:color="auto"/>
            </w:tcBorders>
          </w:tcPr>
          <w:p>
            <w:pPr>
              <w:jc w:val="right"/>
              <w:ind w:right="1719"/>
              <w:spacing w:after="0"/>
              <w:rPr>
                <w:sz w:val="20"/>
                <w:szCs w:val="20"/>
                <w:color w:val="auto"/>
              </w:rPr>
            </w:pPr>
            <w:r>
              <w:rPr>
                <w:rFonts w:ascii="Arial" w:cs="Arial" w:eastAsia="Arial" w:hAnsi="Arial"/>
                <w:sz w:val="16"/>
                <w:szCs w:val="16"/>
                <w:b w:val="1"/>
                <w:bCs w:val="1"/>
                <w:color w:val="auto"/>
              </w:rPr>
              <w:t xml:space="preserve">of Class </w:t>
            </w:r>
            <w:r>
              <w:rPr>
                <w:rFonts w:ascii="Arial" w:cs="Arial" w:eastAsia="Arial" w:hAnsi="Arial"/>
                <w:sz w:val="10"/>
                <w:szCs w:val="10"/>
                <w:b w:val="1"/>
                <w:bCs w:val="1"/>
                <w:color w:val="auto"/>
              </w:rPr>
              <w:t>(1)</w:t>
            </w:r>
          </w:p>
        </w:tc>
      </w:tr>
      <w:tr>
        <w:trPr>
          <w:trHeight w:val="183"/>
        </w:trPr>
        <w:tc>
          <w:tcPr>
            <w:tcW w:w="4500" w:type="dxa"/>
            <w:vAlign w:val="bottom"/>
            <w:tcBorders>
              <w:left w:val="single" w:sz="8" w:color="auto"/>
            </w:tcBorders>
            <w:shd w:val="clear" w:color="auto" w:fill="CCEEFF"/>
          </w:tcPr>
          <w:p>
            <w:pPr>
              <w:ind w:left="160"/>
              <w:spacing w:after="0" w:line="183" w:lineRule="exact"/>
              <w:rPr>
                <w:sz w:val="20"/>
                <w:szCs w:val="20"/>
                <w:color w:val="auto"/>
              </w:rPr>
            </w:pPr>
            <w:r>
              <w:rPr>
                <w:rFonts w:ascii="Arial" w:cs="Arial" w:eastAsia="Arial" w:hAnsi="Arial"/>
                <w:sz w:val="16"/>
                <w:szCs w:val="16"/>
                <w:color w:val="auto"/>
              </w:rPr>
              <w:t xml:space="preserve">Alan S. Armstrong </w:t>
            </w:r>
            <w:r>
              <w:rPr>
                <w:rFonts w:ascii="Arial" w:cs="Arial" w:eastAsia="Arial" w:hAnsi="Arial"/>
                <w:sz w:val="10"/>
                <w:szCs w:val="10"/>
                <w:color w:val="auto"/>
              </w:rPr>
              <w:t>(2)</w:t>
            </w:r>
          </w:p>
        </w:tc>
        <w:tc>
          <w:tcPr>
            <w:tcW w:w="2920" w:type="dxa"/>
            <w:vAlign w:val="bottom"/>
            <w:shd w:val="clear" w:color="auto" w:fill="CCEEFF"/>
          </w:tcPr>
          <w:p>
            <w:pPr>
              <w:jc w:val="center"/>
              <w:ind w:left="519"/>
              <w:spacing w:after="0" w:line="183" w:lineRule="exact"/>
              <w:rPr>
                <w:sz w:val="20"/>
                <w:szCs w:val="20"/>
                <w:color w:val="auto"/>
              </w:rPr>
            </w:pPr>
            <w:r>
              <w:rPr>
                <w:rFonts w:ascii="Arial" w:cs="Arial" w:eastAsia="Arial" w:hAnsi="Arial"/>
                <w:sz w:val="16"/>
                <w:szCs w:val="16"/>
                <w:color w:val="auto"/>
                <w:w w:val="98"/>
              </w:rPr>
              <w:t>17,334</w:t>
            </w:r>
          </w:p>
        </w:tc>
        <w:tc>
          <w:tcPr>
            <w:tcW w:w="3100" w:type="dxa"/>
            <w:vAlign w:val="bottom"/>
            <w:tcBorders>
              <w:right w:val="single" w:sz="8" w:color="auto"/>
            </w:tcBorders>
            <w:shd w:val="clear" w:color="auto" w:fill="CCEEFF"/>
          </w:tcPr>
          <w:p>
            <w:pPr>
              <w:jc w:val="right"/>
              <w:ind w:right="1719"/>
              <w:spacing w:after="0" w:line="183" w:lineRule="exact"/>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Donald R. Chappel</w:t>
            </w:r>
          </w:p>
        </w:tc>
        <w:tc>
          <w:tcPr>
            <w:tcW w:w="2920" w:type="dxa"/>
            <w:vAlign w:val="bottom"/>
          </w:tcPr>
          <w:p>
            <w:pPr>
              <w:jc w:val="center"/>
              <w:ind w:left="519"/>
              <w:spacing w:after="0"/>
              <w:rPr>
                <w:sz w:val="20"/>
                <w:szCs w:val="20"/>
                <w:color w:val="auto"/>
              </w:rPr>
            </w:pPr>
            <w:r>
              <w:rPr>
                <w:rFonts w:ascii="Arial" w:cs="Arial" w:eastAsia="Arial" w:hAnsi="Arial"/>
                <w:sz w:val="16"/>
                <w:szCs w:val="16"/>
                <w:color w:val="auto"/>
                <w:w w:val="98"/>
              </w:rPr>
              <w:t>19,574</w:t>
            </w:r>
          </w:p>
        </w:tc>
        <w:tc>
          <w:tcPr>
            <w:tcW w:w="3100" w:type="dxa"/>
            <w:vAlign w:val="bottom"/>
            <w:tcBorders>
              <w:right w:val="single" w:sz="8" w:color="auto"/>
            </w:tcBorders>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 xml:space="preserve">Joseph R. Cleveland </w:t>
            </w:r>
            <w:r>
              <w:rPr>
                <w:rFonts w:ascii="Arial" w:cs="Arial" w:eastAsia="Arial" w:hAnsi="Arial"/>
                <w:sz w:val="10"/>
                <w:szCs w:val="10"/>
                <w:color w:val="auto"/>
              </w:rPr>
              <w:t>(3)</w:t>
            </w:r>
          </w:p>
        </w:tc>
        <w:tc>
          <w:tcPr>
            <w:tcW w:w="292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99"/>
              </w:rPr>
              <w:t>1,733</w:t>
            </w:r>
          </w:p>
        </w:tc>
        <w:tc>
          <w:tcPr>
            <w:tcW w:w="3100" w:type="dxa"/>
            <w:vAlign w:val="bottom"/>
            <w:tcBorders>
              <w:right w:val="single" w:sz="8" w:color="auto"/>
            </w:tcBorders>
            <w:shd w:val="clear" w:color="auto" w:fill="CCEEFF"/>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Kathleen B. Cooper</w:t>
            </w:r>
          </w:p>
        </w:tc>
        <w:tc>
          <w:tcPr>
            <w:tcW w:w="2920" w:type="dxa"/>
            <w:vAlign w:val="bottom"/>
          </w:tcPr>
          <w:p>
            <w:pPr>
              <w:jc w:val="center"/>
              <w:ind w:left="519"/>
              <w:spacing w:after="0"/>
              <w:rPr>
                <w:sz w:val="20"/>
                <w:szCs w:val="20"/>
                <w:color w:val="auto"/>
              </w:rPr>
            </w:pPr>
            <w:r>
              <w:rPr>
                <w:rFonts w:ascii="Arial" w:cs="Arial" w:eastAsia="Arial" w:hAnsi="Arial"/>
                <w:sz w:val="16"/>
                <w:szCs w:val="16"/>
                <w:color w:val="auto"/>
                <w:w w:val="89"/>
              </w:rPr>
              <w:t>0</w:t>
            </w:r>
          </w:p>
        </w:tc>
        <w:tc>
          <w:tcPr>
            <w:tcW w:w="3100" w:type="dxa"/>
            <w:vAlign w:val="bottom"/>
            <w:tcBorders>
              <w:right w:val="single" w:sz="8" w:color="auto"/>
            </w:tcBorders>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John R. Dearborn</w:t>
            </w:r>
          </w:p>
        </w:tc>
        <w:tc>
          <w:tcPr>
            <w:tcW w:w="292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89"/>
              </w:rPr>
              <w:t>0</w:t>
            </w:r>
          </w:p>
        </w:tc>
        <w:tc>
          <w:tcPr>
            <w:tcW w:w="3100" w:type="dxa"/>
            <w:vAlign w:val="bottom"/>
            <w:tcBorders>
              <w:right w:val="single" w:sz="8" w:color="auto"/>
            </w:tcBorders>
            <w:shd w:val="clear" w:color="auto" w:fill="CCEEFF"/>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John A. Hagg</w:t>
            </w:r>
          </w:p>
        </w:tc>
        <w:tc>
          <w:tcPr>
            <w:tcW w:w="2920" w:type="dxa"/>
            <w:vAlign w:val="bottom"/>
          </w:tcPr>
          <w:p>
            <w:pPr>
              <w:jc w:val="center"/>
              <w:ind w:left="519"/>
              <w:spacing w:after="0"/>
              <w:rPr>
                <w:sz w:val="20"/>
                <w:szCs w:val="20"/>
                <w:color w:val="auto"/>
              </w:rPr>
            </w:pPr>
            <w:r>
              <w:rPr>
                <w:rFonts w:ascii="Arial" w:cs="Arial" w:eastAsia="Arial" w:hAnsi="Arial"/>
                <w:sz w:val="16"/>
                <w:szCs w:val="16"/>
                <w:color w:val="auto"/>
                <w:w w:val="89"/>
              </w:rPr>
              <w:t>0</w:t>
            </w:r>
          </w:p>
        </w:tc>
        <w:tc>
          <w:tcPr>
            <w:tcW w:w="3100" w:type="dxa"/>
            <w:vAlign w:val="bottom"/>
            <w:tcBorders>
              <w:right w:val="single" w:sz="8" w:color="auto"/>
            </w:tcBorders>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Juanita H. Hinshaw</w:t>
            </w:r>
          </w:p>
        </w:tc>
        <w:tc>
          <w:tcPr>
            <w:tcW w:w="292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99"/>
              </w:rPr>
              <w:t>2,159</w:t>
            </w:r>
          </w:p>
        </w:tc>
        <w:tc>
          <w:tcPr>
            <w:tcW w:w="3100" w:type="dxa"/>
            <w:vAlign w:val="bottom"/>
            <w:tcBorders>
              <w:right w:val="single" w:sz="8" w:color="auto"/>
            </w:tcBorders>
            <w:shd w:val="clear" w:color="auto" w:fill="CCEEFF"/>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Ralph Izzo</w:t>
            </w:r>
          </w:p>
        </w:tc>
        <w:tc>
          <w:tcPr>
            <w:tcW w:w="2920" w:type="dxa"/>
            <w:vAlign w:val="bottom"/>
          </w:tcPr>
          <w:p>
            <w:pPr>
              <w:jc w:val="center"/>
              <w:ind w:left="519"/>
              <w:spacing w:after="0"/>
              <w:rPr>
                <w:sz w:val="20"/>
                <w:szCs w:val="20"/>
                <w:color w:val="auto"/>
              </w:rPr>
            </w:pPr>
            <w:r>
              <w:rPr>
                <w:rFonts w:ascii="Arial" w:cs="Arial" w:eastAsia="Arial" w:hAnsi="Arial"/>
                <w:sz w:val="16"/>
                <w:szCs w:val="16"/>
                <w:color w:val="auto"/>
                <w:w w:val="89"/>
              </w:rPr>
              <w:t>0</w:t>
            </w:r>
          </w:p>
        </w:tc>
        <w:tc>
          <w:tcPr>
            <w:tcW w:w="3100" w:type="dxa"/>
            <w:vAlign w:val="bottom"/>
            <w:tcBorders>
              <w:right w:val="single" w:sz="8" w:color="auto"/>
            </w:tcBorders>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Frank T. MacInnis</w:t>
            </w:r>
          </w:p>
        </w:tc>
        <w:tc>
          <w:tcPr>
            <w:tcW w:w="292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99"/>
              </w:rPr>
              <w:t>7,620</w:t>
            </w:r>
          </w:p>
        </w:tc>
        <w:tc>
          <w:tcPr>
            <w:tcW w:w="3100" w:type="dxa"/>
            <w:vAlign w:val="bottom"/>
            <w:tcBorders>
              <w:right w:val="single" w:sz="8" w:color="auto"/>
            </w:tcBorders>
            <w:shd w:val="clear" w:color="auto" w:fill="CCEEFF"/>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Eric W. Mandelblatt</w:t>
            </w:r>
          </w:p>
        </w:tc>
        <w:tc>
          <w:tcPr>
            <w:tcW w:w="2920" w:type="dxa"/>
            <w:vAlign w:val="bottom"/>
          </w:tcPr>
          <w:p>
            <w:pPr>
              <w:jc w:val="center"/>
              <w:ind w:left="519"/>
              <w:spacing w:after="0"/>
              <w:rPr>
                <w:sz w:val="20"/>
                <w:szCs w:val="20"/>
                <w:color w:val="auto"/>
              </w:rPr>
            </w:pPr>
            <w:r>
              <w:rPr>
                <w:rFonts w:ascii="Arial" w:cs="Arial" w:eastAsia="Arial" w:hAnsi="Arial"/>
                <w:sz w:val="16"/>
                <w:szCs w:val="16"/>
                <w:color w:val="auto"/>
                <w:w w:val="89"/>
              </w:rPr>
              <w:t>0</w:t>
            </w:r>
          </w:p>
        </w:tc>
        <w:tc>
          <w:tcPr>
            <w:tcW w:w="3100" w:type="dxa"/>
            <w:vAlign w:val="bottom"/>
            <w:tcBorders>
              <w:right w:val="single" w:sz="8" w:color="auto"/>
            </w:tcBorders>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Keith A. Meister</w:t>
            </w:r>
          </w:p>
        </w:tc>
        <w:tc>
          <w:tcPr>
            <w:tcW w:w="292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89"/>
              </w:rPr>
              <w:t>0</w:t>
            </w:r>
          </w:p>
        </w:tc>
        <w:tc>
          <w:tcPr>
            <w:tcW w:w="3100" w:type="dxa"/>
            <w:vAlign w:val="bottom"/>
            <w:tcBorders>
              <w:right w:val="single" w:sz="8" w:color="auto"/>
            </w:tcBorders>
            <w:shd w:val="clear" w:color="auto" w:fill="CCEEFF"/>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Rory L. Miller</w:t>
            </w:r>
          </w:p>
        </w:tc>
        <w:tc>
          <w:tcPr>
            <w:tcW w:w="2920" w:type="dxa"/>
            <w:vAlign w:val="bottom"/>
          </w:tcPr>
          <w:p>
            <w:pPr>
              <w:jc w:val="center"/>
              <w:ind w:left="519"/>
              <w:spacing w:after="0"/>
              <w:rPr>
                <w:sz w:val="20"/>
                <w:szCs w:val="20"/>
                <w:color w:val="auto"/>
              </w:rPr>
            </w:pPr>
            <w:r>
              <w:rPr>
                <w:rFonts w:ascii="Arial" w:cs="Arial" w:eastAsia="Arial" w:hAnsi="Arial"/>
                <w:sz w:val="16"/>
                <w:szCs w:val="16"/>
                <w:color w:val="auto"/>
                <w:w w:val="99"/>
              </w:rPr>
              <w:t>1,752</w:t>
            </w:r>
          </w:p>
        </w:tc>
        <w:tc>
          <w:tcPr>
            <w:tcW w:w="3100" w:type="dxa"/>
            <w:vAlign w:val="bottom"/>
            <w:tcBorders>
              <w:right w:val="single" w:sz="8" w:color="auto"/>
            </w:tcBorders>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Steven W. Nance</w:t>
            </w:r>
          </w:p>
        </w:tc>
        <w:tc>
          <w:tcPr>
            <w:tcW w:w="292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89"/>
              </w:rPr>
              <w:t>0</w:t>
            </w:r>
          </w:p>
        </w:tc>
        <w:tc>
          <w:tcPr>
            <w:tcW w:w="3100" w:type="dxa"/>
            <w:vAlign w:val="bottom"/>
            <w:tcBorders>
              <w:right w:val="single" w:sz="8" w:color="auto"/>
            </w:tcBorders>
            <w:shd w:val="clear" w:color="auto" w:fill="CCEEFF"/>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James E. Scheel</w:t>
            </w:r>
          </w:p>
        </w:tc>
        <w:tc>
          <w:tcPr>
            <w:tcW w:w="2920" w:type="dxa"/>
            <w:vAlign w:val="bottom"/>
          </w:tcPr>
          <w:p>
            <w:pPr>
              <w:jc w:val="center"/>
              <w:ind w:left="519"/>
              <w:spacing w:after="0"/>
              <w:rPr>
                <w:sz w:val="20"/>
                <w:szCs w:val="20"/>
                <w:color w:val="auto"/>
              </w:rPr>
            </w:pPr>
            <w:r>
              <w:rPr>
                <w:rFonts w:ascii="Arial" w:cs="Arial" w:eastAsia="Arial" w:hAnsi="Arial"/>
                <w:sz w:val="16"/>
                <w:szCs w:val="16"/>
                <w:color w:val="auto"/>
                <w:w w:val="89"/>
              </w:rPr>
              <w:t>0</w:t>
            </w:r>
          </w:p>
        </w:tc>
        <w:tc>
          <w:tcPr>
            <w:tcW w:w="3100" w:type="dxa"/>
            <w:vAlign w:val="bottom"/>
            <w:tcBorders>
              <w:right w:val="single" w:sz="8" w:color="auto"/>
            </w:tcBorders>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Murray D. Smith</w:t>
            </w:r>
          </w:p>
        </w:tc>
        <w:tc>
          <w:tcPr>
            <w:tcW w:w="292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89"/>
              </w:rPr>
              <w:t>0</w:t>
            </w:r>
          </w:p>
        </w:tc>
        <w:tc>
          <w:tcPr>
            <w:tcW w:w="3100" w:type="dxa"/>
            <w:vAlign w:val="bottom"/>
            <w:tcBorders>
              <w:right w:val="single" w:sz="8" w:color="auto"/>
            </w:tcBorders>
            <w:shd w:val="clear" w:color="auto" w:fill="CCEEFF"/>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 xml:space="preserve">Janice D. Stoney </w:t>
            </w:r>
            <w:r>
              <w:rPr>
                <w:rFonts w:ascii="Arial" w:cs="Arial" w:eastAsia="Arial" w:hAnsi="Arial"/>
                <w:sz w:val="10"/>
                <w:szCs w:val="10"/>
                <w:color w:val="auto"/>
              </w:rPr>
              <w:t>(4)</w:t>
            </w:r>
          </w:p>
        </w:tc>
        <w:tc>
          <w:tcPr>
            <w:tcW w:w="2920" w:type="dxa"/>
            <w:vAlign w:val="bottom"/>
          </w:tcPr>
          <w:p>
            <w:pPr>
              <w:jc w:val="center"/>
              <w:ind w:left="519"/>
              <w:spacing w:after="0"/>
              <w:rPr>
                <w:sz w:val="20"/>
                <w:szCs w:val="20"/>
                <w:color w:val="auto"/>
              </w:rPr>
            </w:pPr>
            <w:r>
              <w:rPr>
                <w:rFonts w:ascii="Arial" w:cs="Arial" w:eastAsia="Arial" w:hAnsi="Arial"/>
                <w:sz w:val="16"/>
                <w:szCs w:val="16"/>
                <w:color w:val="auto"/>
                <w:w w:val="99"/>
              </w:rPr>
              <w:t>7,620</w:t>
            </w:r>
          </w:p>
        </w:tc>
        <w:tc>
          <w:tcPr>
            <w:tcW w:w="3100" w:type="dxa"/>
            <w:vAlign w:val="bottom"/>
            <w:tcBorders>
              <w:right w:val="single" w:sz="8" w:color="auto"/>
            </w:tcBorders>
          </w:tcPr>
          <w:p>
            <w:pPr>
              <w:jc w:val="right"/>
              <w:ind w:right="1719"/>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Laura A. Sugg</w:t>
            </w:r>
          </w:p>
        </w:tc>
        <w:tc>
          <w:tcPr>
            <w:tcW w:w="292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89"/>
              </w:rPr>
              <w:t>0</w:t>
            </w:r>
          </w:p>
        </w:tc>
        <w:tc>
          <w:tcPr>
            <w:tcW w:w="3100" w:type="dxa"/>
            <w:vAlign w:val="bottom"/>
            <w:tcBorders>
              <w:right w:val="single" w:sz="8" w:color="auto"/>
            </w:tcBorders>
            <w:shd w:val="clear" w:color="auto" w:fill="CCEEFF"/>
          </w:tcPr>
          <w:p>
            <w:pPr>
              <w:jc w:val="right"/>
              <w:ind w:right="1719"/>
              <w:spacing w:after="0"/>
              <w:rPr>
                <w:sz w:val="20"/>
                <w:szCs w:val="20"/>
                <w:color w:val="auto"/>
              </w:rPr>
            </w:pPr>
            <w:r>
              <w:rPr>
                <w:rFonts w:ascii="Arial" w:cs="Arial" w:eastAsia="Arial" w:hAnsi="Arial"/>
                <w:sz w:val="16"/>
                <w:szCs w:val="16"/>
                <w:color w:val="auto"/>
              </w:rPr>
              <w:t>*</w:t>
            </w:r>
          </w:p>
        </w:tc>
      </w:tr>
      <w:tr>
        <w:trPr>
          <w:trHeight w:val="191"/>
        </w:trPr>
        <w:tc>
          <w:tcPr>
            <w:tcW w:w="4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All directors and executive officers as a group</w:t>
            </w:r>
          </w:p>
        </w:tc>
        <w:tc>
          <w:tcPr>
            <w:tcW w:w="2920" w:type="dxa"/>
            <w:vAlign w:val="bottom"/>
          </w:tcPr>
          <w:p>
            <w:pPr>
              <w:spacing w:after="0"/>
              <w:rPr>
                <w:sz w:val="16"/>
                <w:szCs w:val="16"/>
                <w:color w:val="auto"/>
              </w:rPr>
            </w:pPr>
          </w:p>
        </w:tc>
        <w:tc>
          <w:tcPr>
            <w:tcW w:w="3100" w:type="dxa"/>
            <w:vAlign w:val="bottom"/>
            <w:tcBorders>
              <w:right w:val="single" w:sz="8" w:color="auto"/>
            </w:tcBorders>
          </w:tcPr>
          <w:p>
            <w:pPr>
              <w:spacing w:after="0"/>
              <w:rPr>
                <w:sz w:val="16"/>
                <w:szCs w:val="16"/>
                <w:color w:val="auto"/>
              </w:rPr>
            </w:pPr>
          </w:p>
        </w:tc>
      </w:tr>
      <w:tr>
        <w:trPr>
          <w:trHeight w:val="187"/>
        </w:trPr>
        <w:tc>
          <w:tcPr>
            <w:tcW w:w="4500" w:type="dxa"/>
            <w:vAlign w:val="bottom"/>
            <w:tcBorders>
              <w:left w:val="single" w:sz="8" w:color="auto"/>
              <w:bottom w:val="single" w:sz="8" w:color="auto"/>
            </w:tcBorders>
          </w:tcPr>
          <w:p>
            <w:pPr>
              <w:ind w:left="320"/>
              <w:spacing w:after="0"/>
              <w:rPr>
                <w:sz w:val="20"/>
                <w:szCs w:val="20"/>
                <w:color w:val="auto"/>
              </w:rPr>
            </w:pPr>
            <w:r>
              <w:rPr>
                <w:rFonts w:ascii="Arial" w:cs="Arial" w:eastAsia="Arial" w:hAnsi="Arial"/>
                <w:sz w:val="16"/>
                <w:szCs w:val="16"/>
                <w:color w:val="auto"/>
              </w:rPr>
              <w:t>(26 persons)</w:t>
            </w:r>
          </w:p>
        </w:tc>
        <w:tc>
          <w:tcPr>
            <w:tcW w:w="292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color w:val="auto"/>
              </w:rPr>
              <w:t>104,063</w:t>
            </w:r>
          </w:p>
        </w:tc>
        <w:tc>
          <w:tcPr>
            <w:tcW w:w="3100" w:type="dxa"/>
            <w:vAlign w:val="bottom"/>
            <w:tcBorders>
              <w:bottom w:val="single" w:sz="8" w:color="auto"/>
              <w:right w:val="single" w:sz="8" w:color="auto"/>
            </w:tcBorders>
          </w:tcPr>
          <w:p>
            <w:pPr>
              <w:jc w:val="right"/>
              <w:ind w:right="1719"/>
              <w:spacing w:after="0"/>
              <w:rPr>
                <w:sz w:val="20"/>
                <w:szCs w:val="20"/>
                <w:color w:val="auto"/>
              </w:rPr>
            </w:pPr>
            <w:r>
              <w:rPr>
                <w:rFonts w:ascii="Arial" w:cs="Arial" w:eastAsia="Arial" w:hAnsi="Arial"/>
                <w:sz w:val="16"/>
                <w:szCs w:val="16"/>
                <w:color w:val="auto"/>
              </w:rPr>
              <w:t>*</w:t>
            </w:r>
          </w:p>
        </w:tc>
      </w:tr>
    </w:tbl>
    <w:p>
      <w:pPr>
        <w:spacing w:after="0" w:line="248" w:lineRule="exact"/>
        <w:rPr>
          <w:sz w:val="20"/>
          <w:szCs w:val="20"/>
          <w:color w:val="auto"/>
        </w:rPr>
      </w:pPr>
    </w:p>
    <w:p>
      <w:pPr>
        <w:ind w:left="800" w:hanging="346"/>
        <w:spacing w:after="0"/>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800" w:hanging="346"/>
        <w:spacing w:after="0" w:line="241" w:lineRule="auto"/>
        <w:tabs>
          <w:tab w:leader="none" w:pos="8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Ownership percentage is reported based on 247,030,595 common units, which is the number of common units outstanding on February 27, 2015 (586,694,683) less the number of common units owned by a subsidiary of the Company on such date (339,664,088).</w:t>
      </w:r>
    </w:p>
    <w:p>
      <w:pPr>
        <w:ind w:left="800" w:hanging="346"/>
        <w:spacing w:after="0" w:line="241" w:lineRule="auto"/>
        <w:tabs>
          <w:tab w:leader="none" w:pos="8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8,667 units are held in the Alan Stuart Armstrong Trust dated June 16, 2010, with Alan Armstrong as trustee, and 8,667 units are held in the Shelly Stone Armstrong Trust dated June 16, 2010, with Shelly Armstrong as trustee.</w:t>
      </w:r>
    </w:p>
    <w:p>
      <w:pPr>
        <w:ind w:left="800" w:hanging="346"/>
        <w:spacing w:after="0"/>
        <w:tabs>
          <w:tab w:leader="none" w:pos="8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Units are held in the Joe R. Cleveland Family Trust dated November 21, 2008, Joe R. and Evelyn Cleveland, Trustees.</w:t>
      </w:r>
    </w:p>
    <w:p>
      <w:pPr>
        <w:spacing w:after="0" w:line="1" w:lineRule="exact"/>
        <w:rPr>
          <w:rFonts w:ascii="Arial" w:cs="Arial" w:eastAsia="Arial" w:hAnsi="Arial"/>
          <w:sz w:val="14"/>
          <w:szCs w:val="14"/>
          <w:color w:val="auto"/>
        </w:rPr>
      </w:pPr>
    </w:p>
    <w:p>
      <w:pPr>
        <w:ind w:left="800" w:hanging="346"/>
        <w:spacing w:after="0"/>
        <w:tabs>
          <w:tab w:leader="none" w:pos="8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Units are held in the Larry and Janice Stoney Family Trust dated March 25, 2008, Larry D. &amp; Janice D. Stoney, Trustees.</w:t>
      </w:r>
    </w:p>
    <w:p>
      <w:pPr>
        <w:spacing w:after="0" w:line="39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Section 16(a) Beneficial Ownership Reporting Compliance</w:t>
      </w:r>
    </w:p>
    <w:p>
      <w:pPr>
        <w:spacing w:after="0" w:line="26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Section 16(a) of the Exchange Act requires the Company’s directors and certain of its officers to file reports of their ownership of Williams common stock and of changes in such ownership with the SEC and the NYSE. Regulations also require Williams to identify in this proxy statement any person subject to this requirement who failed to file any such report on a timely basis. Based solely on a review of the copies of such reports furnished to the Company and written representations from certain reporting persons, we believe that all of our officers, directors, and greater than 10% stockholders complied with all Section 16(a) filing requirements applicable to them during the fiscal year ended December 31, 2014.</w:t>
      </w:r>
    </w:p>
    <w:p>
      <w:pPr>
        <w:spacing w:after="0" w:line="130"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30</w:t>
            </w: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205740</wp:posOffset>
            </wp:positionV>
            <wp:extent cx="171513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Named Executive Officer Profiles</w:t>
      </w:r>
    </w:p>
    <w:p>
      <w:pPr>
        <w:spacing w:after="0" w:line="26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profiles provide biographical information and summarize total targeted compensation for 2014 for our NEOs. These profiles are provided in addition to the detailed compensation tables required by the SEC.</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680" w:type="dxa"/>
            <w:vAlign w:val="bottom"/>
            <w:tcBorders>
              <w:top w:val="single" w:sz="8" w:color="225CAB"/>
              <w:left w:val="single" w:sz="8" w:color="225CAB"/>
            </w:tcBorders>
          </w:tcPr>
          <w:p>
            <w:pPr>
              <w:spacing w:after="0"/>
              <w:rPr>
                <w:sz w:val="22"/>
                <w:szCs w:val="22"/>
                <w:color w:val="auto"/>
              </w:rPr>
            </w:pPr>
          </w:p>
        </w:tc>
        <w:tc>
          <w:tcPr>
            <w:tcW w:w="100" w:type="dxa"/>
            <w:vAlign w:val="bottom"/>
            <w:tcBorders>
              <w:top w:val="single" w:sz="8" w:color="225CAB"/>
            </w:tcBorders>
          </w:tcPr>
          <w:p>
            <w:pPr>
              <w:spacing w:after="0"/>
              <w:rPr>
                <w:sz w:val="22"/>
                <w:szCs w:val="22"/>
                <w:color w:val="auto"/>
              </w:rPr>
            </w:pPr>
          </w:p>
        </w:tc>
        <w:tc>
          <w:tcPr>
            <w:tcW w:w="1960" w:type="dxa"/>
            <w:vAlign w:val="bottom"/>
            <w:tcBorders>
              <w:top w:val="single" w:sz="8" w:color="225CAB"/>
              <w:right w:val="single" w:sz="8" w:color="225CAB"/>
            </w:tcBorders>
            <w:gridSpan w:val="3"/>
          </w:tcPr>
          <w:p>
            <w:pPr>
              <w:jc w:val="center"/>
              <w:ind w:right="660"/>
              <w:spacing w:after="0"/>
              <w:rPr>
                <w:sz w:val="20"/>
                <w:szCs w:val="20"/>
                <w:color w:val="auto"/>
              </w:rPr>
            </w:pPr>
            <w:r>
              <w:rPr>
                <w:rFonts w:ascii="Arial" w:cs="Arial" w:eastAsia="Arial" w:hAnsi="Arial"/>
                <w:sz w:val="20"/>
                <w:szCs w:val="20"/>
                <w:b w:val="1"/>
                <w:bCs w:val="1"/>
                <w:color w:val="225CAB"/>
                <w:w w:val="97"/>
              </w:rPr>
              <w:t>ALAN S.</w:t>
            </w:r>
          </w:p>
        </w:tc>
        <w:tc>
          <w:tcPr>
            <w:tcW w:w="60" w:type="dxa"/>
            <w:vAlign w:val="bottom"/>
          </w:tcPr>
          <w:p>
            <w:pPr>
              <w:spacing w:after="0"/>
              <w:rPr>
                <w:sz w:val="22"/>
                <w:szCs w:val="22"/>
                <w:color w:val="auto"/>
              </w:rPr>
            </w:pPr>
          </w:p>
        </w:tc>
        <w:tc>
          <w:tcPr>
            <w:tcW w:w="8600" w:type="dxa"/>
            <w:vAlign w:val="bottom"/>
            <w:gridSpan w:val="4"/>
          </w:tcPr>
          <w:p>
            <w:pPr>
              <w:ind w:left="60"/>
              <w:spacing w:after="0"/>
              <w:rPr>
                <w:sz w:val="20"/>
                <w:szCs w:val="20"/>
                <w:color w:val="auto"/>
              </w:rPr>
            </w:pPr>
            <w:r>
              <w:rPr>
                <w:rFonts w:ascii="Arial" w:cs="Arial" w:eastAsia="Arial" w:hAnsi="Arial"/>
                <w:sz w:val="16"/>
                <w:szCs w:val="16"/>
                <w:color w:val="auto"/>
              </w:rPr>
              <w:t>Mr. Armstrong, 52, became one of our directors and our Chief Executive Officer and President in 2011. From 2002 until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60" w:type="dxa"/>
            <w:vAlign w:val="bottom"/>
          </w:tcPr>
          <w:p>
            <w:pPr>
              <w:spacing w:after="0"/>
              <w:rPr>
                <w:sz w:val="16"/>
                <w:szCs w:val="16"/>
                <w:color w:val="auto"/>
              </w:rPr>
            </w:pPr>
          </w:p>
        </w:tc>
        <w:tc>
          <w:tcPr>
            <w:tcW w:w="8600" w:type="dxa"/>
            <w:vAlign w:val="bottom"/>
            <w:gridSpan w:val="4"/>
          </w:tcPr>
          <w:p>
            <w:pPr>
              <w:ind w:left="60"/>
              <w:spacing w:after="0"/>
              <w:rPr>
                <w:sz w:val="20"/>
                <w:szCs w:val="20"/>
                <w:color w:val="auto"/>
              </w:rPr>
            </w:pPr>
            <w:r>
              <w:rPr>
                <w:rFonts w:ascii="Arial" w:cs="Arial" w:eastAsia="Arial" w:hAnsi="Arial"/>
                <w:sz w:val="16"/>
                <w:szCs w:val="16"/>
                <w:color w:val="auto"/>
              </w:rPr>
              <w:t>January 2011, he was Senior Vice President-Midstream and acted as President of our midstream business. From 1999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60" w:type="dxa"/>
            <w:vAlign w:val="bottom"/>
          </w:tcPr>
          <w:p>
            <w:pPr>
              <w:spacing w:after="0"/>
              <w:rPr>
                <w:sz w:val="16"/>
                <w:szCs w:val="16"/>
                <w:color w:val="auto"/>
              </w:rPr>
            </w:pPr>
          </w:p>
        </w:tc>
        <w:tc>
          <w:tcPr>
            <w:tcW w:w="8600" w:type="dxa"/>
            <w:vAlign w:val="bottom"/>
            <w:gridSpan w:val="4"/>
          </w:tcPr>
          <w:p>
            <w:pPr>
              <w:ind w:left="60"/>
              <w:spacing w:after="0"/>
              <w:rPr>
                <w:sz w:val="20"/>
                <w:szCs w:val="20"/>
                <w:color w:val="auto"/>
              </w:rPr>
            </w:pPr>
            <w:r>
              <w:rPr>
                <w:rFonts w:ascii="Arial" w:cs="Arial" w:eastAsia="Arial" w:hAnsi="Arial"/>
                <w:sz w:val="16"/>
                <w:szCs w:val="16"/>
                <w:color w:val="auto"/>
              </w:rPr>
              <w:t>to 2002, Mr. Armstrong was Vice President, Gathering and Processing for Midstream. From 1998 to 1999 he was Vice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60" w:type="dxa"/>
            <w:vAlign w:val="bottom"/>
          </w:tcPr>
          <w:p>
            <w:pPr>
              <w:spacing w:after="0"/>
              <w:rPr>
                <w:sz w:val="16"/>
                <w:szCs w:val="16"/>
                <w:color w:val="auto"/>
              </w:rPr>
            </w:pPr>
          </w:p>
        </w:tc>
        <w:tc>
          <w:tcPr>
            <w:tcW w:w="8600" w:type="dxa"/>
            <w:vAlign w:val="bottom"/>
            <w:gridSpan w:val="4"/>
          </w:tcPr>
          <w:p>
            <w:pPr>
              <w:ind w:left="60"/>
              <w:spacing w:after="0"/>
              <w:rPr>
                <w:sz w:val="20"/>
                <w:szCs w:val="20"/>
                <w:color w:val="auto"/>
              </w:rPr>
            </w:pPr>
            <w:r>
              <w:rPr>
                <w:rFonts w:ascii="Arial" w:cs="Arial" w:eastAsia="Arial" w:hAnsi="Arial"/>
                <w:sz w:val="16"/>
                <w:szCs w:val="16"/>
                <w:color w:val="auto"/>
              </w:rPr>
              <w:t>President, Commercial Development for our midstream business. Since the Merger, Mr. Armstrong has served as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60" w:type="dxa"/>
            <w:vAlign w:val="bottom"/>
          </w:tcPr>
          <w:p>
            <w:pPr>
              <w:spacing w:after="0"/>
              <w:rPr>
                <w:sz w:val="16"/>
                <w:szCs w:val="16"/>
                <w:color w:val="auto"/>
              </w:rPr>
            </w:pPr>
          </w:p>
        </w:tc>
        <w:tc>
          <w:tcPr>
            <w:tcW w:w="8600" w:type="dxa"/>
            <w:vAlign w:val="bottom"/>
            <w:gridSpan w:val="4"/>
          </w:tcPr>
          <w:p>
            <w:pPr>
              <w:ind w:left="60"/>
              <w:spacing w:after="0"/>
              <w:rPr>
                <w:sz w:val="20"/>
                <w:szCs w:val="20"/>
                <w:color w:val="auto"/>
              </w:rPr>
            </w:pPr>
            <w:r>
              <w:rPr>
                <w:rFonts w:ascii="Arial" w:cs="Arial" w:eastAsia="Arial" w:hAnsi="Arial"/>
                <w:sz w:val="16"/>
                <w:szCs w:val="16"/>
                <w:color w:val="auto"/>
              </w:rPr>
              <w:t>Chairman of the Board and Chief Executive Officer of the general partner of Williams Partners. Prior to the Merger, Mr.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60" w:type="dxa"/>
            <w:vAlign w:val="bottom"/>
          </w:tcPr>
          <w:p>
            <w:pPr>
              <w:spacing w:after="0"/>
              <w:rPr>
                <w:sz w:val="16"/>
                <w:szCs w:val="16"/>
                <w:color w:val="auto"/>
              </w:rPr>
            </w:pPr>
          </w:p>
        </w:tc>
        <w:tc>
          <w:tcPr>
            <w:tcW w:w="8600" w:type="dxa"/>
            <w:vAlign w:val="bottom"/>
            <w:gridSpan w:val="4"/>
          </w:tcPr>
          <w:p>
            <w:pPr>
              <w:ind w:left="60"/>
              <w:spacing w:after="0"/>
              <w:rPr>
                <w:sz w:val="20"/>
                <w:szCs w:val="20"/>
                <w:color w:val="auto"/>
              </w:rPr>
            </w:pPr>
            <w:r>
              <w:rPr>
                <w:rFonts w:ascii="Arial" w:cs="Arial" w:eastAsia="Arial" w:hAnsi="Arial"/>
                <w:sz w:val="16"/>
                <w:szCs w:val="16"/>
                <w:color w:val="auto"/>
              </w:rPr>
              <w:t>Armstrong served the general partner of Williams Partners as a director (since 2012) and its Chief Executive Officer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60" w:type="dxa"/>
            <w:vAlign w:val="bottom"/>
          </w:tcPr>
          <w:p>
            <w:pPr>
              <w:spacing w:after="0"/>
              <w:rPr>
                <w:sz w:val="16"/>
                <w:szCs w:val="16"/>
                <w:color w:val="auto"/>
              </w:rPr>
            </w:pPr>
          </w:p>
        </w:tc>
        <w:tc>
          <w:tcPr>
            <w:tcW w:w="8600" w:type="dxa"/>
            <w:vAlign w:val="bottom"/>
            <w:gridSpan w:val="4"/>
          </w:tcPr>
          <w:p>
            <w:pPr>
              <w:ind w:left="60"/>
              <w:spacing w:after="0"/>
              <w:rPr>
                <w:sz w:val="20"/>
                <w:szCs w:val="20"/>
                <w:color w:val="auto"/>
              </w:rPr>
            </w:pPr>
            <w:r>
              <w:rPr>
                <w:rFonts w:ascii="Arial" w:cs="Arial" w:eastAsia="Arial" w:hAnsi="Arial"/>
                <w:sz w:val="16"/>
                <w:szCs w:val="16"/>
                <w:color w:val="auto"/>
              </w:rPr>
              <w:t>(since December 31, 2014). Mr. Armstrong previously served the general partner of Pre-merger Williams Partners as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60" w:type="dxa"/>
            <w:vAlign w:val="bottom"/>
          </w:tcPr>
          <w:p>
            <w:pPr>
              <w:spacing w:after="0"/>
              <w:rPr>
                <w:sz w:val="16"/>
                <w:szCs w:val="16"/>
                <w:color w:val="auto"/>
              </w:rPr>
            </w:pPr>
          </w:p>
        </w:tc>
        <w:tc>
          <w:tcPr>
            <w:tcW w:w="8600" w:type="dxa"/>
            <w:vAlign w:val="bottom"/>
            <w:gridSpan w:val="4"/>
          </w:tcPr>
          <w:p>
            <w:pPr>
              <w:ind w:left="60"/>
              <w:spacing w:after="0"/>
              <w:rPr>
                <w:sz w:val="20"/>
                <w:szCs w:val="20"/>
                <w:color w:val="auto"/>
              </w:rPr>
            </w:pPr>
            <w:r>
              <w:rPr>
                <w:rFonts w:ascii="Arial" w:cs="Arial" w:eastAsia="Arial" w:hAnsi="Arial"/>
                <w:sz w:val="16"/>
                <w:szCs w:val="16"/>
                <w:color w:val="auto"/>
              </w:rPr>
              <w:t>Chairman of the Board and Chief Executive Officer (2011 until the Merger), director (2005 until the Merger), Senior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60" w:type="dxa"/>
            <w:vAlign w:val="bottom"/>
          </w:tcPr>
          <w:p>
            <w:pPr>
              <w:spacing w:after="0"/>
              <w:rPr>
                <w:sz w:val="16"/>
                <w:szCs w:val="16"/>
                <w:color w:val="auto"/>
              </w:rPr>
            </w:pPr>
          </w:p>
        </w:tc>
        <w:tc>
          <w:tcPr>
            <w:tcW w:w="8600" w:type="dxa"/>
            <w:vAlign w:val="bottom"/>
            <w:gridSpan w:val="4"/>
          </w:tcPr>
          <w:p>
            <w:pPr>
              <w:ind w:left="60"/>
              <w:spacing w:after="0"/>
              <w:rPr>
                <w:sz w:val="20"/>
                <w:szCs w:val="20"/>
                <w:color w:val="auto"/>
              </w:rPr>
            </w:pPr>
            <w:r>
              <w:rPr>
                <w:rFonts w:ascii="Arial" w:cs="Arial" w:eastAsia="Arial" w:hAnsi="Arial"/>
                <w:sz w:val="16"/>
                <w:szCs w:val="16"/>
                <w:color w:val="auto"/>
              </w:rPr>
              <w:t>Vice President – Midstream (2010-2011), and Chief Operating Officer (2005-2010). Mr. Armstrong has served as 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60" w:type="dxa"/>
            <w:vAlign w:val="bottom"/>
          </w:tcPr>
          <w:p>
            <w:pPr>
              <w:spacing w:after="0"/>
              <w:rPr>
                <w:sz w:val="16"/>
                <w:szCs w:val="16"/>
                <w:color w:val="auto"/>
              </w:rPr>
            </w:pPr>
          </w:p>
        </w:tc>
        <w:tc>
          <w:tcPr>
            <w:tcW w:w="8600" w:type="dxa"/>
            <w:vAlign w:val="bottom"/>
            <w:gridSpan w:val="4"/>
          </w:tcPr>
          <w:p>
            <w:pPr>
              <w:ind w:left="60"/>
              <w:spacing w:after="0"/>
              <w:rPr>
                <w:sz w:val="20"/>
                <w:szCs w:val="20"/>
                <w:color w:val="auto"/>
              </w:rPr>
            </w:pPr>
            <w:r>
              <w:rPr>
                <w:rFonts w:ascii="Arial" w:cs="Arial" w:eastAsia="Arial" w:hAnsi="Arial"/>
                <w:sz w:val="16"/>
                <w:szCs w:val="16"/>
                <w:color w:val="auto"/>
              </w:rPr>
              <w:t>director of BOK Financial Corporation since 2013. Mr. Armstrong also serves on the National Petroleum Council and as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right w:val="single" w:sz="8" w:color="225CAB"/>
            </w:tcBorders>
            <w:gridSpan w:val="3"/>
            <w:vMerge w:val="restart"/>
          </w:tcPr>
          <w:p>
            <w:pPr>
              <w:jc w:val="center"/>
              <w:ind w:right="660"/>
              <w:spacing w:after="0"/>
              <w:rPr>
                <w:sz w:val="20"/>
                <w:szCs w:val="20"/>
                <w:color w:val="auto"/>
              </w:rPr>
            </w:pPr>
            <w:r>
              <w:rPr>
                <w:rFonts w:ascii="Arial" w:cs="Arial" w:eastAsia="Arial" w:hAnsi="Arial"/>
                <w:sz w:val="20"/>
                <w:szCs w:val="20"/>
                <w:b w:val="1"/>
                <w:bCs w:val="1"/>
                <w:color w:val="225CAB"/>
                <w:w w:val="99"/>
              </w:rPr>
              <w:t>ARMSTRONG</w:t>
            </w:r>
          </w:p>
        </w:tc>
        <w:tc>
          <w:tcPr>
            <w:tcW w:w="60" w:type="dxa"/>
            <w:vAlign w:val="bottom"/>
          </w:tcPr>
          <w:p>
            <w:pPr>
              <w:spacing w:after="0"/>
              <w:rPr>
                <w:sz w:val="16"/>
                <w:szCs w:val="16"/>
                <w:color w:val="auto"/>
              </w:rPr>
            </w:pPr>
          </w:p>
        </w:tc>
        <w:tc>
          <w:tcPr>
            <w:tcW w:w="8600" w:type="dxa"/>
            <w:vAlign w:val="bottom"/>
            <w:gridSpan w:val="4"/>
          </w:tcPr>
          <w:p>
            <w:pPr>
              <w:ind w:left="60"/>
              <w:spacing w:after="0"/>
              <w:rPr>
                <w:sz w:val="20"/>
                <w:szCs w:val="20"/>
                <w:color w:val="auto"/>
              </w:rPr>
            </w:pPr>
            <w:r>
              <w:rPr>
                <w:rFonts w:ascii="Arial" w:cs="Arial" w:eastAsia="Arial" w:hAnsi="Arial"/>
                <w:sz w:val="16"/>
                <w:szCs w:val="16"/>
                <w:color w:val="auto"/>
              </w:rPr>
              <w:t>a director for the American Petroleum Institute. Mr. Armstrong serves as 2015 Chair of the Tulsa Regional Chamber’s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 w:type="dxa"/>
            <w:vAlign w:val="bottom"/>
            <w:tcBorders>
              <w:left w:val="single" w:sz="8" w:color="225CAB"/>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225CAB"/>
            </w:tcBorders>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8600" w:type="dxa"/>
            <w:vAlign w:val="bottom"/>
            <w:gridSpan w:val="4"/>
          </w:tcPr>
          <w:p>
            <w:pPr>
              <w:ind w:left="60"/>
              <w:spacing w:after="0"/>
              <w:rPr>
                <w:sz w:val="20"/>
                <w:szCs w:val="20"/>
                <w:color w:val="auto"/>
              </w:rPr>
            </w:pPr>
            <w:r>
              <w:rPr>
                <w:rFonts w:ascii="Arial" w:cs="Arial" w:eastAsia="Arial" w:hAnsi="Arial"/>
                <w:sz w:val="16"/>
                <w:szCs w:val="16"/>
                <w:color w:val="auto"/>
              </w:rPr>
              <w:t>Board of Directors. He is the past Chairman and a current board member of the University of Oklahoma College of</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40" w:type="dxa"/>
            <w:vAlign w:val="bottom"/>
            <w:tcBorders>
              <w:left w:val="single" w:sz="8" w:color="225CAB"/>
              <w:right w:val="single" w:sz="8" w:color="225CAB"/>
            </w:tcBorders>
            <w:gridSpan w:val="5"/>
            <w:vMerge w:val="restart"/>
          </w:tcPr>
          <w:p>
            <w:pPr>
              <w:jc w:val="center"/>
              <w:ind w:left="52"/>
              <w:spacing w:after="0"/>
              <w:rPr>
                <w:sz w:val="20"/>
                <w:szCs w:val="20"/>
                <w:color w:val="auto"/>
              </w:rPr>
            </w:pPr>
            <w:r>
              <w:rPr>
                <w:rFonts w:ascii="Arial" w:cs="Arial" w:eastAsia="Arial" w:hAnsi="Arial"/>
                <w:sz w:val="16"/>
                <w:szCs w:val="16"/>
                <w:b w:val="1"/>
                <w:bCs w:val="1"/>
                <w:color w:val="auto"/>
              </w:rPr>
              <w:t>Chief Executive Officer</w:t>
            </w:r>
          </w:p>
        </w:tc>
        <w:tc>
          <w:tcPr>
            <w:tcW w:w="60" w:type="dxa"/>
            <w:vAlign w:val="bottom"/>
          </w:tcPr>
          <w:p>
            <w:pPr>
              <w:spacing w:after="0"/>
              <w:rPr>
                <w:sz w:val="16"/>
                <w:szCs w:val="16"/>
                <w:color w:val="auto"/>
              </w:rPr>
            </w:pPr>
          </w:p>
        </w:tc>
        <w:tc>
          <w:tcPr>
            <w:tcW w:w="8600" w:type="dxa"/>
            <w:vAlign w:val="bottom"/>
            <w:gridSpan w:val="4"/>
          </w:tcPr>
          <w:p>
            <w:pPr>
              <w:ind w:left="60"/>
              <w:spacing w:after="0"/>
              <w:rPr>
                <w:sz w:val="20"/>
                <w:szCs w:val="20"/>
                <w:color w:val="auto"/>
              </w:rPr>
            </w:pPr>
            <w:r>
              <w:rPr>
                <w:rFonts w:ascii="Arial" w:cs="Arial" w:eastAsia="Arial" w:hAnsi="Arial"/>
                <w:sz w:val="16"/>
                <w:szCs w:val="16"/>
                <w:color w:val="auto"/>
              </w:rPr>
              <w:t>Engineering Board of Visitors.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740" w:type="dxa"/>
            <w:vAlign w:val="bottom"/>
            <w:tcBorders>
              <w:left w:val="single" w:sz="8" w:color="225CAB"/>
              <w:right w:val="single" w:sz="8" w:color="225CAB"/>
            </w:tcBorders>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Borders>
              <w:left w:val="single" w:sz="8" w:color="225CAB"/>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right w:val="single" w:sz="8" w:color="225CAB"/>
            </w:tcBorders>
            <w:gridSpan w:val="3"/>
          </w:tcPr>
          <w:p>
            <w:pPr>
              <w:jc w:val="center"/>
              <w:ind w:right="660"/>
              <w:spacing w:after="0"/>
              <w:rPr>
                <w:sz w:val="20"/>
                <w:szCs w:val="20"/>
                <w:color w:val="auto"/>
              </w:rPr>
            </w:pPr>
            <w:r>
              <w:rPr>
                <w:rFonts w:ascii="Arial" w:cs="Arial" w:eastAsia="Arial" w:hAnsi="Arial"/>
                <w:sz w:val="16"/>
                <w:szCs w:val="16"/>
                <w:b w:val="1"/>
                <w:bCs w:val="1"/>
                <w:color w:val="auto"/>
              </w:rPr>
              <w:t>and President</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20" w:type="dxa"/>
            <w:vAlign w:val="bottom"/>
            <w:vMerge w:val="restart"/>
          </w:tcPr>
          <w:p>
            <w:pPr>
              <w:ind w:left="2140"/>
              <w:spacing w:after="0"/>
              <w:rPr>
                <w:sz w:val="20"/>
                <w:szCs w:val="20"/>
                <w:color w:val="auto"/>
              </w:rPr>
            </w:pPr>
            <w:r>
              <w:rPr>
                <w:rFonts w:ascii="Arial" w:cs="Arial" w:eastAsia="Arial" w:hAnsi="Arial"/>
                <w:sz w:val="20"/>
                <w:szCs w:val="20"/>
                <w:b w:val="1"/>
                <w:bCs w:val="1"/>
                <w:color w:val="auto"/>
              </w:rPr>
              <w:t xml:space="preserve">2014 Target Compensation </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40" w:type="dxa"/>
            <w:vAlign w:val="bottom"/>
            <w:tcBorders>
              <w:left w:val="single" w:sz="8" w:color="225CAB"/>
              <w:right w:val="single" w:sz="8" w:color="225CAB"/>
            </w:tcBorders>
            <w:gridSpan w:val="5"/>
            <w:vMerge w:val="restart"/>
          </w:tcPr>
          <w:p>
            <w:pPr>
              <w:jc w:val="center"/>
              <w:ind w:left="52"/>
              <w:spacing w:after="0"/>
              <w:rPr>
                <w:sz w:val="20"/>
                <w:szCs w:val="20"/>
                <w:color w:val="auto"/>
              </w:rPr>
            </w:pPr>
            <w:r>
              <w:rPr>
                <w:rFonts w:ascii="Arial" w:cs="Arial" w:eastAsia="Arial" w:hAnsi="Arial"/>
                <w:sz w:val="16"/>
                <w:szCs w:val="16"/>
                <w:b w:val="1"/>
                <w:bCs w:val="1"/>
                <w:color w:val="auto"/>
              </w:rPr>
              <w:t xml:space="preserve">Position held since </w:t>
            </w:r>
            <w:r>
              <w:rPr>
                <w:rFonts w:ascii="Arial" w:cs="Arial" w:eastAsia="Arial" w:hAnsi="Arial"/>
                <w:sz w:val="16"/>
                <w:szCs w:val="16"/>
                <w:color w:val="auto"/>
              </w:rPr>
              <w:t>2011</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40" w:type="dxa"/>
            <w:vAlign w:val="bottom"/>
            <w:tcBorders>
              <w:left w:val="single" w:sz="8" w:color="225CAB"/>
              <w:right w:val="single" w:sz="8" w:color="225CAB"/>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80" w:type="dxa"/>
            <w:vAlign w:val="bottom"/>
            <w:tcBorders>
              <w:left w:val="single" w:sz="8" w:color="225CAB"/>
            </w:tcBorders>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 xml:space="preserve">Stock ownership </w:t>
            </w:r>
            <w:r>
              <w:rPr>
                <w:rFonts w:ascii="Arial" w:cs="Arial" w:eastAsia="Arial" w:hAnsi="Arial"/>
                <w:sz w:val="12"/>
                <w:szCs w:val="12"/>
                <w:color w:val="auto"/>
              </w:rPr>
              <w:t>(1)</w:t>
            </w:r>
          </w:p>
        </w:tc>
        <w:tc>
          <w:tcPr>
            <w:tcW w:w="560" w:type="dxa"/>
            <w:vAlign w:val="bottom"/>
            <w:tcBorders>
              <w:right w:val="single" w:sz="8" w:color="225CAB"/>
            </w:tcBorders>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Borders>
              <w:left w:val="single" w:sz="8" w:color="225CAB"/>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225CAB"/>
            </w:tcBorders>
            <w:gridSpan w:val="3"/>
          </w:tcPr>
          <w:p>
            <w:pPr>
              <w:jc w:val="center"/>
              <w:ind w:right="660"/>
              <w:spacing w:after="0"/>
              <w:rPr>
                <w:sz w:val="20"/>
                <w:szCs w:val="20"/>
                <w:color w:val="auto"/>
              </w:rPr>
            </w:pPr>
            <w:r>
              <w:rPr>
                <w:rFonts w:ascii="Arial" w:cs="Arial" w:eastAsia="Arial" w:hAnsi="Arial"/>
                <w:sz w:val="16"/>
                <w:szCs w:val="16"/>
                <w:color w:val="auto"/>
              </w:rPr>
              <w:t>&gt;6x base salary</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740" w:type="dxa"/>
            <w:vAlign w:val="bottom"/>
            <w:tcBorders>
              <w:left w:val="single" w:sz="8" w:color="225CAB"/>
              <w:right w:val="single" w:sz="8" w:color="225CAB"/>
            </w:tcBorders>
            <w:gridSpan w:val="5"/>
          </w:tcPr>
          <w:p>
            <w:pPr>
              <w:jc w:val="center"/>
              <w:ind w:left="52"/>
              <w:spacing w:after="0"/>
              <w:rPr>
                <w:sz w:val="20"/>
                <w:szCs w:val="20"/>
                <w:color w:val="auto"/>
              </w:rPr>
            </w:pPr>
            <w:r>
              <w:rPr>
                <w:rFonts w:ascii="Arial" w:cs="Arial" w:eastAsia="Arial" w:hAnsi="Arial"/>
                <w:sz w:val="16"/>
                <w:szCs w:val="16"/>
                <w:b w:val="1"/>
                <w:bCs w:val="1"/>
                <w:color w:val="auto"/>
              </w:rPr>
              <w:t>Performance-based</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Borders>
              <w:left w:val="single" w:sz="8" w:color="225CAB"/>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rPr>
              <w:t xml:space="preserve">compensation </w:t>
            </w:r>
            <w:r>
              <w:rPr>
                <w:rFonts w:ascii="Arial" w:cs="Arial" w:eastAsia="Arial" w:hAnsi="Arial"/>
                <w:sz w:val="12"/>
                <w:szCs w:val="12"/>
                <w:color w:val="auto"/>
              </w:rPr>
              <w:t>(2)</w:t>
            </w:r>
          </w:p>
        </w:tc>
        <w:tc>
          <w:tcPr>
            <w:tcW w:w="660" w:type="dxa"/>
            <w:vAlign w:val="bottom"/>
            <w:tcBorders>
              <w:right w:val="single" w:sz="8" w:color="225CAB"/>
            </w:tcBorders>
            <w:gridSpan w:val="2"/>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tcBorders>
              <w:left w:val="single" w:sz="8" w:color="225CAB"/>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225CAB"/>
            </w:tcBorders>
            <w:gridSpan w:val="3"/>
          </w:tcPr>
          <w:p>
            <w:pPr>
              <w:jc w:val="center"/>
              <w:ind w:right="660"/>
              <w:spacing w:after="0"/>
              <w:rPr>
                <w:sz w:val="20"/>
                <w:szCs w:val="20"/>
                <w:color w:val="auto"/>
              </w:rPr>
            </w:pPr>
            <w:r>
              <w:rPr>
                <w:rFonts w:ascii="Arial" w:cs="Arial" w:eastAsia="Arial" w:hAnsi="Arial"/>
                <w:sz w:val="16"/>
                <w:szCs w:val="16"/>
                <w:color w:val="auto"/>
              </w:rPr>
              <w:t>69% of total</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right w:val="single" w:sz="8" w:color="225CAB"/>
            </w:tcBorders>
            <w:gridSpan w:val="3"/>
          </w:tcPr>
          <w:p>
            <w:pPr>
              <w:jc w:val="center"/>
              <w:ind w:right="660"/>
              <w:spacing w:after="0"/>
              <w:rPr>
                <w:sz w:val="20"/>
                <w:szCs w:val="20"/>
                <w:color w:val="auto"/>
              </w:rPr>
            </w:pPr>
            <w:r>
              <w:rPr>
                <w:rFonts w:ascii="Arial" w:cs="Arial" w:eastAsia="Arial" w:hAnsi="Arial"/>
                <w:sz w:val="16"/>
                <w:szCs w:val="16"/>
                <w:color w:val="auto"/>
              </w:rPr>
              <w:t>compensation</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80" w:type="dxa"/>
            <w:vAlign w:val="bottom"/>
            <w:tcBorders>
              <w:left w:val="single" w:sz="8" w:color="225CAB"/>
              <w:bottom w:val="single" w:sz="8" w:color="225CAB"/>
            </w:tcBorders>
          </w:tcPr>
          <w:p>
            <w:pPr>
              <w:spacing w:after="0"/>
              <w:rPr>
                <w:sz w:val="11"/>
                <w:szCs w:val="11"/>
                <w:color w:val="auto"/>
              </w:rPr>
            </w:pPr>
          </w:p>
        </w:tc>
        <w:tc>
          <w:tcPr>
            <w:tcW w:w="100" w:type="dxa"/>
            <w:vAlign w:val="bottom"/>
            <w:tcBorders>
              <w:bottom w:val="single" w:sz="8" w:color="225CAB"/>
            </w:tcBorders>
          </w:tcPr>
          <w:p>
            <w:pPr>
              <w:spacing w:after="0"/>
              <w:rPr>
                <w:sz w:val="11"/>
                <w:szCs w:val="11"/>
                <w:color w:val="auto"/>
              </w:rPr>
            </w:pPr>
          </w:p>
        </w:tc>
        <w:tc>
          <w:tcPr>
            <w:tcW w:w="1300" w:type="dxa"/>
            <w:vAlign w:val="bottom"/>
            <w:tcBorders>
              <w:bottom w:val="single" w:sz="8" w:color="225CAB"/>
            </w:tcBorders>
          </w:tcPr>
          <w:p>
            <w:pPr>
              <w:spacing w:after="0"/>
              <w:rPr>
                <w:sz w:val="11"/>
                <w:szCs w:val="11"/>
                <w:color w:val="auto"/>
              </w:rPr>
            </w:pPr>
          </w:p>
        </w:tc>
        <w:tc>
          <w:tcPr>
            <w:tcW w:w="100" w:type="dxa"/>
            <w:vAlign w:val="bottom"/>
            <w:tcBorders>
              <w:bottom w:val="single" w:sz="8" w:color="225CAB"/>
            </w:tcBorders>
          </w:tcPr>
          <w:p>
            <w:pPr>
              <w:spacing w:after="0"/>
              <w:rPr>
                <w:sz w:val="11"/>
                <w:szCs w:val="11"/>
                <w:color w:val="auto"/>
              </w:rPr>
            </w:pPr>
          </w:p>
        </w:tc>
        <w:tc>
          <w:tcPr>
            <w:tcW w:w="560" w:type="dxa"/>
            <w:vAlign w:val="bottom"/>
            <w:tcBorders>
              <w:bottom w:val="single" w:sz="8" w:color="225CAB"/>
              <w:right w:val="single" w:sz="8" w:color="225CAB"/>
            </w:tcBorders>
          </w:tcPr>
          <w:p>
            <w:pPr>
              <w:spacing w:after="0"/>
              <w:rPr>
                <w:sz w:val="11"/>
                <w:szCs w:val="11"/>
                <w:color w:val="auto"/>
              </w:rPr>
            </w:pPr>
          </w:p>
        </w:tc>
        <w:tc>
          <w:tcPr>
            <w:tcW w:w="60" w:type="dxa"/>
            <w:vAlign w:val="bottom"/>
            <w:tcBorders>
              <w:bottom w:val="single" w:sz="8" w:color="225CAB"/>
            </w:tcBorders>
          </w:tcPr>
          <w:p>
            <w:pPr>
              <w:spacing w:after="0"/>
              <w:rPr>
                <w:sz w:val="11"/>
                <w:szCs w:val="11"/>
                <w:color w:val="auto"/>
              </w:rPr>
            </w:pPr>
          </w:p>
        </w:tc>
        <w:tc>
          <w:tcPr>
            <w:tcW w:w="1020" w:type="dxa"/>
            <w:vAlign w:val="bottom"/>
            <w:tcBorders>
              <w:bottom w:val="single" w:sz="8" w:color="225CAB"/>
            </w:tcBorders>
          </w:tcPr>
          <w:p>
            <w:pPr>
              <w:spacing w:after="0"/>
              <w:rPr>
                <w:sz w:val="11"/>
                <w:szCs w:val="11"/>
                <w:color w:val="auto"/>
              </w:rPr>
            </w:pPr>
          </w:p>
        </w:tc>
        <w:tc>
          <w:tcPr>
            <w:tcW w:w="620" w:type="dxa"/>
            <w:vAlign w:val="bottom"/>
            <w:tcBorders>
              <w:bottom w:val="single" w:sz="8" w:color="225CAB"/>
            </w:tcBorders>
          </w:tcPr>
          <w:p>
            <w:pPr>
              <w:spacing w:after="0"/>
              <w:rPr>
                <w:sz w:val="11"/>
                <w:szCs w:val="11"/>
                <w:color w:val="auto"/>
              </w:rPr>
            </w:pPr>
          </w:p>
        </w:tc>
        <w:tc>
          <w:tcPr>
            <w:tcW w:w="14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800" w:type="dxa"/>
            <w:vAlign w:val="bottom"/>
            <w:gridSpan w:val="6"/>
          </w:tcPr>
          <w:p>
            <w:pPr>
              <w:spacing w:after="0"/>
              <w:rPr>
                <w:sz w:val="20"/>
                <w:szCs w:val="20"/>
                <w:color w:val="auto"/>
              </w:rPr>
            </w:pPr>
            <w:r>
              <w:rPr>
                <w:rFonts w:ascii="Arial" w:cs="Arial" w:eastAsia="Arial" w:hAnsi="Arial"/>
                <w:sz w:val="20"/>
                <w:szCs w:val="20"/>
                <w:b w:val="1"/>
                <w:bCs w:val="1"/>
                <w:color w:val="225CAB"/>
                <w:w w:val="99"/>
              </w:rPr>
              <w:t xml:space="preserve">2014 Target Compensation </w:t>
            </w:r>
            <w:r>
              <w:rPr>
                <w:rFonts w:ascii="Arial" w:cs="Arial" w:eastAsia="Arial" w:hAnsi="Arial"/>
                <w:sz w:val="14"/>
                <w:szCs w:val="14"/>
                <w:color w:val="225CAB"/>
                <w:w w:val="99"/>
              </w:rPr>
              <w:t>(3)</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000000"/>
          </w:tcPr>
          <w:p>
            <w:pPr>
              <w:spacing w:after="0"/>
              <w:rPr>
                <w:sz w:val="11"/>
                <w:szCs w:val="11"/>
                <w:color w:val="auto"/>
              </w:rPr>
            </w:pPr>
          </w:p>
        </w:tc>
        <w:tc>
          <w:tcPr>
            <w:tcW w:w="2800" w:type="dxa"/>
            <w:vAlign w:val="bottom"/>
            <w:tcBorders>
              <w:left w:val="single" w:sz="8" w:color="auto"/>
            </w:tcBorders>
            <w:gridSpan w:val="6"/>
          </w:tcPr>
          <w:p>
            <w:pPr>
              <w:ind w:left="280"/>
              <w:spacing w:after="0" w:line="129" w:lineRule="exact"/>
              <w:rPr>
                <w:sz w:val="20"/>
                <w:szCs w:val="20"/>
                <w:color w:val="auto"/>
              </w:rPr>
            </w:pPr>
            <w:r>
              <w:rPr>
                <w:rFonts w:ascii="Arial" w:cs="Arial" w:eastAsia="Arial" w:hAnsi="Arial"/>
                <w:sz w:val="13"/>
                <w:szCs w:val="13"/>
                <w:color w:val="auto"/>
              </w:rPr>
              <w:t>Long-Term Incentives (LTI)</w:t>
            </w:r>
          </w:p>
        </w:tc>
        <w:tc>
          <w:tcPr>
            <w:tcW w:w="1780" w:type="dxa"/>
            <w:vAlign w:val="bottom"/>
            <w:tcBorders>
              <w:right w:val="single" w:sz="8" w:color="auto"/>
            </w:tcBorders>
            <w:gridSpan w:val="3"/>
          </w:tcPr>
          <w:p>
            <w:pPr>
              <w:jc w:val="right"/>
              <w:ind w:right="140"/>
              <w:spacing w:after="0" w:line="129" w:lineRule="exact"/>
              <w:rPr>
                <w:sz w:val="20"/>
                <w:szCs w:val="20"/>
                <w:color w:val="auto"/>
              </w:rPr>
            </w:pPr>
            <w:r>
              <w:rPr>
                <w:rFonts w:ascii="Arial" w:cs="Arial" w:eastAsia="Arial" w:hAnsi="Arial"/>
                <w:sz w:val="13"/>
                <w:szCs w:val="13"/>
                <w:color w:val="auto"/>
              </w:rPr>
              <w:t>$5,250,000</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0000"/>
          </w:tcPr>
          <w:p>
            <w:pPr>
              <w:spacing w:after="0"/>
              <w:rPr>
                <w:sz w:val="11"/>
                <w:szCs w:val="11"/>
                <w:color w:val="auto"/>
              </w:rPr>
            </w:pPr>
          </w:p>
        </w:tc>
        <w:tc>
          <w:tcPr>
            <w:tcW w:w="2800" w:type="dxa"/>
            <w:vAlign w:val="bottom"/>
            <w:tcBorders>
              <w:left w:val="single" w:sz="8" w:color="auto"/>
            </w:tcBorders>
            <w:gridSpan w:val="6"/>
            <w:shd w:val="clear" w:color="auto" w:fill="DDE6F2"/>
          </w:tcPr>
          <w:p>
            <w:pPr>
              <w:ind w:left="400"/>
              <w:spacing w:after="0" w:line="135" w:lineRule="exact"/>
              <w:rPr>
                <w:sz w:val="20"/>
                <w:szCs w:val="20"/>
                <w:color w:val="auto"/>
              </w:rPr>
            </w:pPr>
            <w:r>
              <w:rPr>
                <w:rFonts w:ascii="Arial" w:cs="Arial" w:eastAsia="Arial" w:hAnsi="Arial"/>
                <w:sz w:val="13"/>
                <w:szCs w:val="13"/>
                <w:color w:val="auto"/>
              </w:rPr>
              <w:t>Performance-based RSUs</w:t>
            </w:r>
          </w:p>
        </w:tc>
        <w:tc>
          <w:tcPr>
            <w:tcW w:w="178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$2,887,500</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0000"/>
          </w:tcPr>
          <w:p>
            <w:pPr>
              <w:spacing w:after="0"/>
              <w:rPr>
                <w:sz w:val="11"/>
                <w:szCs w:val="11"/>
                <w:color w:val="auto"/>
              </w:rPr>
            </w:pPr>
          </w:p>
        </w:tc>
        <w:tc>
          <w:tcPr>
            <w:tcW w:w="2800" w:type="dxa"/>
            <w:vAlign w:val="bottom"/>
            <w:tcBorders>
              <w:left w:val="single" w:sz="8" w:color="auto"/>
            </w:tcBorders>
            <w:gridSpan w:val="6"/>
          </w:tcPr>
          <w:p>
            <w:pPr>
              <w:ind w:left="400"/>
              <w:spacing w:after="0" w:line="135" w:lineRule="exact"/>
              <w:rPr>
                <w:sz w:val="20"/>
                <w:szCs w:val="20"/>
                <w:color w:val="auto"/>
              </w:rPr>
            </w:pPr>
            <w:r>
              <w:rPr>
                <w:rFonts w:ascii="Arial" w:cs="Arial" w:eastAsia="Arial" w:hAnsi="Arial"/>
                <w:sz w:val="13"/>
                <w:szCs w:val="13"/>
                <w:color w:val="auto"/>
              </w:rPr>
              <w:t>Time-based RSUs</w:t>
            </w:r>
          </w:p>
        </w:tc>
        <w:tc>
          <w:tcPr>
            <w:tcW w:w="1780" w:type="dxa"/>
            <w:vAlign w:val="bottom"/>
            <w:tcBorders>
              <w:right w:val="single" w:sz="8" w:color="auto"/>
            </w:tcBorders>
            <w:gridSpan w:val="3"/>
          </w:tcPr>
          <w:p>
            <w:pPr>
              <w:jc w:val="right"/>
              <w:ind w:right="140"/>
              <w:spacing w:after="0" w:line="135" w:lineRule="exact"/>
              <w:rPr>
                <w:sz w:val="20"/>
                <w:szCs w:val="20"/>
                <w:color w:val="auto"/>
              </w:rPr>
            </w:pPr>
            <w:r>
              <w:rPr>
                <w:rFonts w:ascii="Arial" w:cs="Arial" w:eastAsia="Arial" w:hAnsi="Arial"/>
                <w:sz w:val="13"/>
                <w:szCs w:val="13"/>
                <w:color w:val="auto"/>
              </w:rPr>
              <w:t>$1,312,500</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0000"/>
          </w:tcPr>
          <w:p>
            <w:pPr>
              <w:spacing w:after="0"/>
              <w:rPr>
                <w:sz w:val="11"/>
                <w:szCs w:val="11"/>
                <w:color w:val="auto"/>
              </w:rPr>
            </w:pPr>
          </w:p>
        </w:tc>
        <w:tc>
          <w:tcPr>
            <w:tcW w:w="2800" w:type="dxa"/>
            <w:vAlign w:val="bottom"/>
            <w:tcBorders>
              <w:left w:val="single" w:sz="8" w:color="auto"/>
            </w:tcBorders>
            <w:gridSpan w:val="6"/>
            <w:shd w:val="clear" w:color="auto" w:fill="DDE6F2"/>
          </w:tcPr>
          <w:p>
            <w:pPr>
              <w:ind w:left="400"/>
              <w:spacing w:after="0" w:line="135" w:lineRule="exact"/>
              <w:rPr>
                <w:sz w:val="20"/>
                <w:szCs w:val="20"/>
                <w:color w:val="auto"/>
              </w:rPr>
            </w:pPr>
            <w:r>
              <w:rPr>
                <w:rFonts w:ascii="Arial" w:cs="Arial" w:eastAsia="Arial" w:hAnsi="Arial"/>
                <w:sz w:val="13"/>
                <w:szCs w:val="13"/>
                <w:color w:val="auto"/>
              </w:rPr>
              <w:t>Stock Options</w:t>
            </w:r>
          </w:p>
        </w:tc>
        <w:tc>
          <w:tcPr>
            <w:tcW w:w="178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$1,050,000</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000000"/>
          </w:tcPr>
          <w:p>
            <w:pPr>
              <w:spacing w:after="0"/>
              <w:rPr>
                <w:sz w:val="12"/>
                <w:szCs w:val="12"/>
                <w:color w:val="auto"/>
              </w:rPr>
            </w:pPr>
          </w:p>
        </w:tc>
        <w:tc>
          <w:tcPr>
            <w:tcW w:w="2800" w:type="dxa"/>
            <w:vAlign w:val="bottom"/>
            <w:tcBorders>
              <w:left w:val="single" w:sz="8" w:color="auto"/>
            </w:tcBorders>
            <w:gridSpan w:val="6"/>
          </w:tcPr>
          <w:p>
            <w:pPr>
              <w:ind w:left="280"/>
              <w:spacing w:after="0"/>
              <w:rPr>
                <w:sz w:val="20"/>
                <w:szCs w:val="20"/>
                <w:color w:val="auto"/>
              </w:rPr>
            </w:pPr>
            <w:r>
              <w:rPr>
                <w:rFonts w:ascii="Arial" w:cs="Arial" w:eastAsia="Arial" w:hAnsi="Arial"/>
                <w:sz w:val="13"/>
                <w:szCs w:val="13"/>
                <w:color w:val="auto"/>
              </w:rPr>
              <w:t>Short-Term Incentive at Target</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0000"/>
          </w:tcPr>
          <w:p>
            <w:pPr>
              <w:spacing w:after="0"/>
              <w:rPr>
                <w:sz w:val="11"/>
                <w:szCs w:val="11"/>
                <w:color w:val="auto"/>
              </w:rPr>
            </w:pPr>
          </w:p>
        </w:tc>
        <w:tc>
          <w:tcPr>
            <w:tcW w:w="2800" w:type="dxa"/>
            <w:vAlign w:val="bottom"/>
            <w:tcBorders>
              <w:left w:val="single" w:sz="8" w:color="auto"/>
            </w:tcBorders>
            <w:gridSpan w:val="6"/>
            <w:shd w:val="clear" w:color="auto" w:fill="DDE6F2"/>
          </w:tcPr>
          <w:p>
            <w:pPr>
              <w:ind w:left="400"/>
              <w:spacing w:after="0" w:line="135" w:lineRule="exact"/>
              <w:rPr>
                <w:sz w:val="20"/>
                <w:szCs w:val="20"/>
                <w:color w:val="auto"/>
              </w:rPr>
            </w:pPr>
            <w:r>
              <w:rPr>
                <w:rFonts w:ascii="Arial" w:cs="Arial" w:eastAsia="Arial" w:hAnsi="Arial"/>
                <w:sz w:val="13"/>
                <w:szCs w:val="13"/>
                <w:color w:val="auto"/>
              </w:rPr>
              <w:t>Annual Incentive Program (“AIP”)</w:t>
            </w:r>
          </w:p>
        </w:tc>
        <w:tc>
          <w:tcPr>
            <w:tcW w:w="178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$1,350,000</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2800" w:type="dxa"/>
            <w:vAlign w:val="bottom"/>
            <w:tcBorders>
              <w:left w:val="single" w:sz="8" w:color="auto"/>
            </w:tcBorders>
            <w:gridSpan w:val="6"/>
          </w:tcPr>
          <w:p>
            <w:pPr>
              <w:ind w:left="280"/>
              <w:spacing w:after="0" w:line="122" w:lineRule="exact"/>
              <w:rPr>
                <w:sz w:val="20"/>
                <w:szCs w:val="20"/>
                <w:color w:val="auto"/>
              </w:rPr>
            </w:pPr>
            <w:r>
              <w:rPr>
                <w:rFonts w:ascii="Arial" w:cs="Arial" w:eastAsia="Arial" w:hAnsi="Arial"/>
                <w:sz w:val="13"/>
                <w:szCs w:val="13"/>
                <w:color w:val="auto"/>
              </w:rPr>
              <w:t>Base Pay</w:t>
            </w:r>
          </w:p>
        </w:tc>
        <w:tc>
          <w:tcPr>
            <w:tcW w:w="1780" w:type="dxa"/>
            <w:vAlign w:val="bottom"/>
            <w:tcBorders>
              <w:right w:val="single" w:sz="8" w:color="auto"/>
            </w:tcBorders>
            <w:gridSpan w:val="3"/>
          </w:tcPr>
          <w:p>
            <w:pPr>
              <w:jc w:val="right"/>
              <w:ind w:right="140"/>
              <w:spacing w:after="0" w:line="122"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1,080,000</w:t>
            </w:r>
          </w:p>
        </w:tc>
        <w:tc>
          <w:tcPr>
            <w:tcW w:w="6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auto"/>
            </w:tcBorders>
            <w:shd w:val="clear" w:color="auto" w:fill="000000"/>
          </w:tcPr>
          <w:p>
            <w:pPr>
              <w:spacing w:after="0"/>
              <w:rPr>
                <w:sz w:val="11"/>
                <w:szCs w:val="11"/>
                <w:color w:val="auto"/>
              </w:rPr>
            </w:pPr>
          </w:p>
        </w:tc>
        <w:tc>
          <w:tcPr>
            <w:tcW w:w="2800" w:type="dxa"/>
            <w:vAlign w:val="bottom"/>
            <w:tcBorders>
              <w:left w:val="single" w:sz="8" w:color="auto"/>
              <w:bottom w:val="single" w:sz="8" w:color="auto"/>
            </w:tcBorders>
            <w:gridSpan w:val="6"/>
            <w:shd w:val="clear" w:color="auto" w:fill="DDE6F2"/>
          </w:tcPr>
          <w:p>
            <w:pPr>
              <w:ind w:left="280"/>
              <w:spacing w:after="0" w:line="129" w:lineRule="exact"/>
              <w:rPr>
                <w:sz w:val="20"/>
                <w:szCs w:val="20"/>
                <w:color w:val="auto"/>
              </w:rPr>
            </w:pPr>
            <w:r>
              <w:rPr>
                <w:rFonts w:ascii="Arial" w:cs="Arial" w:eastAsia="Arial" w:hAnsi="Arial"/>
                <w:sz w:val="13"/>
                <w:szCs w:val="13"/>
                <w:color w:val="auto"/>
              </w:rPr>
              <w:t>Total Target Compensation</w:t>
            </w:r>
          </w:p>
        </w:tc>
        <w:tc>
          <w:tcPr>
            <w:tcW w:w="1780" w:type="dxa"/>
            <w:vAlign w:val="bottom"/>
            <w:tcBorders>
              <w:bottom w:val="single" w:sz="8" w:color="auto"/>
              <w:right w:val="single" w:sz="8" w:color="auto"/>
            </w:tcBorders>
            <w:gridSpan w:val="3"/>
            <w:shd w:val="clear" w:color="auto" w:fill="DDE6F2"/>
          </w:tcPr>
          <w:p>
            <w:pPr>
              <w:jc w:val="right"/>
              <w:ind w:right="140"/>
              <w:spacing w:after="0" w:line="129" w:lineRule="exact"/>
              <w:rPr>
                <w:sz w:val="20"/>
                <w:szCs w:val="20"/>
                <w:color w:val="auto"/>
              </w:rPr>
            </w:pPr>
            <w:r>
              <w:rPr>
                <w:rFonts w:ascii="Arial" w:cs="Arial" w:eastAsia="Arial" w:hAnsi="Arial"/>
                <w:sz w:val="13"/>
                <w:szCs w:val="13"/>
                <w:color w:val="auto"/>
              </w:rPr>
              <w:t>$7,680,000</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000000"/>
          </w:tcPr>
          <w:p>
            <w:pPr>
              <w:spacing w:after="0"/>
              <w:rPr>
                <w:sz w:val="12"/>
                <w:szCs w:val="12"/>
                <w:color w:val="auto"/>
              </w:rPr>
            </w:pPr>
          </w:p>
        </w:tc>
        <w:tc>
          <w:tcPr>
            <w:tcW w:w="2800" w:type="dxa"/>
            <w:vAlign w:val="bottom"/>
            <w:tcBorders>
              <w:left w:val="single" w:sz="8" w:color="auto"/>
            </w:tcBorders>
            <w:gridSpan w:val="6"/>
          </w:tcPr>
          <w:p>
            <w:pPr>
              <w:ind w:left="280"/>
              <w:spacing w:after="0" w:line="143" w:lineRule="exact"/>
              <w:rPr>
                <w:sz w:val="20"/>
                <w:szCs w:val="20"/>
                <w:color w:val="auto"/>
              </w:rPr>
            </w:pPr>
            <w:r>
              <w:rPr>
                <w:rFonts w:ascii="Arial" w:cs="Arial" w:eastAsia="Arial" w:hAnsi="Arial"/>
                <w:sz w:val="13"/>
                <w:szCs w:val="13"/>
                <w:color w:val="auto"/>
              </w:rPr>
              <w:t>Retirement Benefits</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0000"/>
          </w:tcPr>
          <w:p>
            <w:pPr>
              <w:spacing w:after="0"/>
              <w:rPr>
                <w:sz w:val="11"/>
                <w:szCs w:val="11"/>
                <w:color w:val="auto"/>
              </w:rPr>
            </w:pPr>
          </w:p>
        </w:tc>
        <w:tc>
          <w:tcPr>
            <w:tcW w:w="2800" w:type="dxa"/>
            <w:vAlign w:val="bottom"/>
            <w:tcBorders>
              <w:left w:val="single" w:sz="8" w:color="auto"/>
            </w:tcBorders>
            <w:gridSpan w:val="6"/>
            <w:shd w:val="clear" w:color="auto" w:fill="DDE6F2"/>
          </w:tcPr>
          <w:p>
            <w:pPr>
              <w:ind w:left="400"/>
              <w:spacing w:after="0" w:line="135" w:lineRule="exact"/>
              <w:rPr>
                <w:sz w:val="20"/>
                <w:szCs w:val="20"/>
                <w:color w:val="auto"/>
              </w:rPr>
            </w:pPr>
            <w:r>
              <w:rPr>
                <w:rFonts w:ascii="Arial" w:cs="Arial" w:eastAsia="Arial" w:hAnsi="Arial"/>
                <w:sz w:val="13"/>
                <w:szCs w:val="13"/>
                <w:color w:val="auto"/>
              </w:rPr>
              <w:t>Pension (year-over-year change)</w:t>
            </w:r>
          </w:p>
        </w:tc>
        <w:tc>
          <w:tcPr>
            <w:tcW w:w="178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$285,437</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0000"/>
          </w:tcPr>
          <w:p>
            <w:pPr>
              <w:spacing w:after="0"/>
              <w:rPr>
                <w:sz w:val="11"/>
                <w:szCs w:val="11"/>
                <w:color w:val="auto"/>
              </w:rPr>
            </w:pPr>
          </w:p>
        </w:tc>
        <w:tc>
          <w:tcPr>
            <w:tcW w:w="2800" w:type="dxa"/>
            <w:vAlign w:val="bottom"/>
            <w:tcBorders>
              <w:left w:val="single" w:sz="8" w:color="auto"/>
            </w:tcBorders>
            <w:gridSpan w:val="6"/>
          </w:tcPr>
          <w:p>
            <w:pPr>
              <w:ind w:left="400"/>
              <w:spacing w:after="0" w:line="135" w:lineRule="exact"/>
              <w:rPr>
                <w:sz w:val="20"/>
                <w:szCs w:val="20"/>
                <w:color w:val="auto"/>
              </w:rPr>
            </w:pPr>
            <w:r>
              <w:rPr>
                <w:rFonts w:ascii="Arial" w:cs="Arial" w:eastAsia="Arial" w:hAnsi="Arial"/>
                <w:sz w:val="13"/>
                <w:szCs w:val="13"/>
                <w:color w:val="auto"/>
                <w:w w:val="99"/>
              </w:rPr>
              <w:t>Restoration Plan (year-over-year change)</w:t>
            </w:r>
          </w:p>
        </w:tc>
        <w:tc>
          <w:tcPr>
            <w:tcW w:w="1780" w:type="dxa"/>
            <w:vAlign w:val="bottom"/>
            <w:tcBorders>
              <w:right w:val="single" w:sz="8" w:color="auto"/>
            </w:tcBorders>
            <w:gridSpan w:val="3"/>
          </w:tcPr>
          <w:p>
            <w:pPr>
              <w:jc w:val="right"/>
              <w:ind w:right="140"/>
              <w:spacing w:after="0" w:line="135" w:lineRule="exact"/>
              <w:rPr>
                <w:sz w:val="20"/>
                <w:szCs w:val="20"/>
                <w:color w:val="auto"/>
              </w:rPr>
            </w:pPr>
            <w:r>
              <w:rPr>
                <w:rFonts w:ascii="Arial" w:cs="Arial" w:eastAsia="Arial" w:hAnsi="Arial"/>
                <w:sz w:val="13"/>
                <w:szCs w:val="13"/>
                <w:color w:val="auto"/>
              </w:rPr>
              <w:t>$1,311,856</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auto"/>
            </w:tcBorders>
            <w:shd w:val="clear" w:color="auto" w:fill="000000"/>
          </w:tcPr>
          <w:p>
            <w:pPr>
              <w:spacing w:after="0"/>
              <w:rPr>
                <w:sz w:val="11"/>
                <w:szCs w:val="11"/>
                <w:color w:val="auto"/>
              </w:rPr>
            </w:pPr>
          </w:p>
        </w:tc>
        <w:tc>
          <w:tcPr>
            <w:tcW w:w="2800" w:type="dxa"/>
            <w:vAlign w:val="bottom"/>
            <w:tcBorders>
              <w:left w:val="single" w:sz="8" w:color="auto"/>
              <w:bottom w:val="single" w:sz="8" w:color="auto"/>
            </w:tcBorders>
            <w:gridSpan w:val="6"/>
            <w:shd w:val="clear" w:color="auto" w:fill="DDE6F2"/>
          </w:tcPr>
          <w:p>
            <w:pPr>
              <w:ind w:left="400"/>
              <w:spacing w:after="0" w:line="135" w:lineRule="exact"/>
              <w:rPr>
                <w:sz w:val="20"/>
                <w:szCs w:val="20"/>
                <w:color w:val="auto"/>
              </w:rPr>
            </w:pPr>
            <w:r>
              <w:rPr>
                <w:rFonts w:ascii="Arial" w:cs="Arial" w:eastAsia="Arial" w:hAnsi="Arial"/>
                <w:sz w:val="13"/>
                <w:szCs w:val="13"/>
                <w:color w:val="auto"/>
              </w:rPr>
              <w:t>401(k) Company Match</w:t>
            </w:r>
          </w:p>
        </w:tc>
        <w:tc>
          <w:tcPr>
            <w:tcW w:w="1780" w:type="dxa"/>
            <w:vAlign w:val="bottom"/>
            <w:tcBorders>
              <w:bottom w:val="single" w:sz="8" w:color="auto"/>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$15,600</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580" w:type="dxa"/>
            <w:vAlign w:val="bottom"/>
            <w:gridSpan w:val="9"/>
          </w:tcPr>
          <w:p>
            <w:pPr>
              <w:spacing w:after="0"/>
              <w:rPr>
                <w:sz w:val="20"/>
                <w:szCs w:val="20"/>
                <w:color w:val="auto"/>
              </w:rPr>
            </w:pPr>
            <w:r>
              <w:rPr>
                <w:rFonts w:ascii="Arial" w:cs="Arial" w:eastAsia="Arial" w:hAnsi="Arial"/>
                <w:sz w:val="20"/>
                <w:szCs w:val="20"/>
                <w:b w:val="1"/>
                <w:bCs w:val="1"/>
                <w:color w:val="225CAB"/>
              </w:rPr>
              <w:t xml:space="preserve">Payment Upon Termination </w:t>
            </w:r>
            <w:r>
              <w:rPr>
                <w:rFonts w:ascii="Arial" w:cs="Arial" w:eastAsia="Arial" w:hAnsi="Arial"/>
                <w:sz w:val="20"/>
                <w:szCs w:val="20"/>
                <w:color w:val="225CAB"/>
              </w:rPr>
              <w:t>(as of Dec 31, 2014)</w:t>
            </w:r>
          </w:p>
        </w:tc>
        <w:tc>
          <w:tcPr>
            <w:tcW w:w="6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Borders>
              <w:left w:val="single" w:sz="8" w:color="auto"/>
            </w:tcBorders>
            <w:gridSpan w:val="6"/>
          </w:tcPr>
          <w:p>
            <w:pPr>
              <w:ind w:left="280"/>
              <w:spacing w:after="0" w:line="129" w:lineRule="exact"/>
              <w:rPr>
                <w:sz w:val="20"/>
                <w:szCs w:val="20"/>
                <w:color w:val="auto"/>
              </w:rPr>
            </w:pPr>
            <w:r>
              <w:rPr>
                <w:rFonts w:ascii="Arial" w:cs="Arial" w:eastAsia="Arial" w:hAnsi="Arial"/>
                <w:sz w:val="13"/>
                <w:szCs w:val="13"/>
                <w:color w:val="auto"/>
              </w:rPr>
              <w:t>Voluntary Termination</w:t>
            </w:r>
          </w:p>
        </w:tc>
        <w:tc>
          <w:tcPr>
            <w:tcW w:w="1780" w:type="dxa"/>
            <w:vAlign w:val="bottom"/>
            <w:tcBorders>
              <w:right w:val="single" w:sz="8" w:color="auto"/>
            </w:tcBorders>
            <w:gridSpan w:val="3"/>
          </w:tcPr>
          <w:p>
            <w:pPr>
              <w:jc w:val="right"/>
              <w:ind w:right="140"/>
              <w:spacing w:after="0" w:line="129" w:lineRule="exact"/>
              <w:rPr>
                <w:sz w:val="20"/>
                <w:szCs w:val="20"/>
                <w:color w:val="auto"/>
              </w:rPr>
            </w:pPr>
            <w:r>
              <w:rPr>
                <w:rFonts w:ascii="Arial" w:cs="Arial" w:eastAsia="Arial" w:hAnsi="Arial"/>
                <w:sz w:val="13"/>
                <w:szCs w:val="13"/>
                <w:color w:val="auto"/>
              </w:rPr>
              <w:t>$0</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Borders>
              <w:left w:val="single" w:sz="8" w:color="auto"/>
            </w:tcBorders>
            <w:gridSpan w:val="6"/>
            <w:shd w:val="clear" w:color="auto" w:fill="DDE6F2"/>
          </w:tcPr>
          <w:p>
            <w:pPr>
              <w:ind w:left="280"/>
              <w:spacing w:after="0" w:line="135" w:lineRule="exact"/>
              <w:rPr>
                <w:sz w:val="20"/>
                <w:szCs w:val="20"/>
                <w:color w:val="auto"/>
              </w:rPr>
            </w:pPr>
            <w:r>
              <w:rPr>
                <w:rFonts w:ascii="Arial" w:cs="Arial" w:eastAsia="Arial" w:hAnsi="Arial"/>
                <w:sz w:val="13"/>
                <w:szCs w:val="13"/>
                <w:color w:val="auto"/>
              </w:rPr>
              <w:t>Termination with Cause</w:t>
            </w:r>
          </w:p>
        </w:tc>
        <w:tc>
          <w:tcPr>
            <w:tcW w:w="178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$0</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Borders>
              <w:left w:val="single" w:sz="8" w:color="auto"/>
            </w:tcBorders>
            <w:gridSpan w:val="6"/>
          </w:tcPr>
          <w:p>
            <w:pPr>
              <w:ind w:left="280"/>
              <w:spacing w:after="0" w:line="135" w:lineRule="exact"/>
              <w:rPr>
                <w:sz w:val="20"/>
                <w:szCs w:val="20"/>
                <w:color w:val="auto"/>
              </w:rPr>
            </w:pPr>
            <w:r>
              <w:rPr>
                <w:rFonts w:ascii="Arial" w:cs="Arial" w:eastAsia="Arial" w:hAnsi="Arial"/>
                <w:sz w:val="13"/>
                <w:szCs w:val="13"/>
                <w:color w:val="auto"/>
              </w:rPr>
              <w:t>Involuntary Termination without Cause</w:t>
            </w:r>
          </w:p>
        </w:tc>
        <w:tc>
          <w:tcPr>
            <w:tcW w:w="1780" w:type="dxa"/>
            <w:vAlign w:val="bottom"/>
            <w:tcBorders>
              <w:right w:val="single" w:sz="8" w:color="auto"/>
            </w:tcBorders>
            <w:gridSpan w:val="3"/>
          </w:tcPr>
          <w:p>
            <w:pPr>
              <w:jc w:val="right"/>
              <w:ind w:right="140"/>
              <w:spacing w:after="0" w:line="135" w:lineRule="exact"/>
              <w:rPr>
                <w:sz w:val="20"/>
                <w:szCs w:val="20"/>
                <w:color w:val="auto"/>
              </w:rPr>
            </w:pPr>
            <w:r>
              <w:rPr>
                <w:rFonts w:ascii="Arial" w:cs="Arial" w:eastAsia="Arial" w:hAnsi="Arial"/>
                <w:sz w:val="13"/>
                <w:szCs w:val="13"/>
                <w:color w:val="auto"/>
              </w:rPr>
              <w:t>$13,400,212</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Borders>
              <w:left w:val="single" w:sz="8" w:color="auto"/>
            </w:tcBorders>
            <w:gridSpan w:val="6"/>
            <w:shd w:val="clear" w:color="auto" w:fill="DDE6F2"/>
          </w:tcPr>
          <w:p>
            <w:pPr>
              <w:ind w:left="280"/>
              <w:spacing w:after="0" w:line="135" w:lineRule="exact"/>
              <w:rPr>
                <w:sz w:val="20"/>
                <w:szCs w:val="20"/>
                <w:color w:val="auto"/>
              </w:rPr>
            </w:pPr>
            <w:r>
              <w:rPr>
                <w:rFonts w:ascii="Arial" w:cs="Arial" w:eastAsia="Arial" w:hAnsi="Arial"/>
                <w:sz w:val="13"/>
                <w:szCs w:val="13"/>
                <w:color w:val="auto"/>
              </w:rPr>
              <w:t>Retirement</w:t>
            </w:r>
          </w:p>
        </w:tc>
        <w:tc>
          <w:tcPr>
            <w:tcW w:w="178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$0</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Borders>
              <w:left w:val="single" w:sz="8" w:color="auto"/>
            </w:tcBorders>
            <w:gridSpan w:val="6"/>
          </w:tcPr>
          <w:p>
            <w:pPr>
              <w:ind w:left="280"/>
              <w:spacing w:after="0" w:line="135" w:lineRule="exact"/>
              <w:rPr>
                <w:sz w:val="20"/>
                <w:szCs w:val="20"/>
                <w:color w:val="auto"/>
              </w:rPr>
            </w:pPr>
            <w:r>
              <w:rPr>
                <w:rFonts w:ascii="Arial" w:cs="Arial" w:eastAsia="Arial" w:hAnsi="Arial"/>
                <w:sz w:val="13"/>
                <w:szCs w:val="13"/>
                <w:color w:val="auto"/>
              </w:rPr>
              <w:t>Death or Disability</w:t>
            </w:r>
          </w:p>
        </w:tc>
        <w:tc>
          <w:tcPr>
            <w:tcW w:w="1780" w:type="dxa"/>
            <w:vAlign w:val="bottom"/>
            <w:tcBorders>
              <w:right w:val="single" w:sz="8" w:color="auto"/>
            </w:tcBorders>
            <w:gridSpan w:val="3"/>
          </w:tcPr>
          <w:p>
            <w:pPr>
              <w:jc w:val="right"/>
              <w:ind w:right="140"/>
              <w:spacing w:after="0" w:line="135" w:lineRule="exact"/>
              <w:rPr>
                <w:sz w:val="20"/>
                <w:szCs w:val="20"/>
                <w:color w:val="auto"/>
              </w:rPr>
            </w:pPr>
            <w:r>
              <w:rPr>
                <w:rFonts w:ascii="Arial" w:cs="Arial" w:eastAsia="Arial" w:hAnsi="Arial"/>
                <w:sz w:val="13"/>
                <w:szCs w:val="13"/>
                <w:color w:val="auto"/>
              </w:rPr>
              <w:t>$15,783,058</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Borders>
              <w:left w:val="single" w:sz="8" w:color="auto"/>
              <w:bottom w:val="single" w:sz="8" w:color="auto"/>
            </w:tcBorders>
            <w:gridSpan w:val="6"/>
            <w:shd w:val="clear" w:color="auto" w:fill="DDE6F2"/>
          </w:tcPr>
          <w:p>
            <w:pPr>
              <w:ind w:left="280"/>
              <w:spacing w:after="0" w:line="135" w:lineRule="exact"/>
              <w:rPr>
                <w:sz w:val="20"/>
                <w:szCs w:val="20"/>
                <w:color w:val="auto"/>
              </w:rPr>
            </w:pPr>
            <w:r>
              <w:rPr>
                <w:rFonts w:ascii="Arial" w:cs="Arial" w:eastAsia="Arial" w:hAnsi="Arial"/>
                <w:sz w:val="13"/>
                <w:szCs w:val="13"/>
                <w:color w:val="auto"/>
              </w:rPr>
              <w:t>Change in Control</w:t>
            </w:r>
          </w:p>
        </w:tc>
        <w:tc>
          <w:tcPr>
            <w:tcW w:w="1780" w:type="dxa"/>
            <w:vAlign w:val="bottom"/>
            <w:tcBorders>
              <w:bottom w:val="single" w:sz="8" w:color="auto"/>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$30,855,437</w:t>
            </w:r>
          </w:p>
        </w:tc>
        <w:tc>
          <w:tcPr>
            <w:tcW w:w="6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-4836160</wp:posOffset>
            </wp:positionV>
            <wp:extent cx="823595" cy="1157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3595" cy="115760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-2563495</wp:posOffset>
            </wp:positionV>
            <wp:extent cx="2169795" cy="254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69795" cy="2546985"/>
                    </a:xfrm>
                    <a:prstGeom prst="rect">
                      <a:avLst/>
                    </a:prstGeom>
                    <a:noFill/>
                  </pic:spPr>
                </pic:pic>
              </a:graphicData>
            </a:graphic>
          </wp:anchor>
        </w:drawing>
      </w:r>
    </w:p>
    <w:p>
      <w:pPr>
        <w:spacing w:after="0" w:line="106" w:lineRule="exact"/>
        <w:rPr>
          <w:sz w:val="20"/>
          <w:szCs w:val="20"/>
          <w:color w:val="auto"/>
        </w:rPr>
      </w:pPr>
    </w:p>
    <w:p>
      <w:pPr>
        <w:ind w:left="340" w:hanging="332"/>
        <w:spacing w:after="0" w:line="24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Armstrong’s ownership in our common stock exceeded the required CEO ownership threshold of six times base salary. Only shares owned outright and time-based RSUs count as owned for purposes of the program.</w:t>
      </w: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Performance-based compensation includes performance-based RSUs, stock options, and AIP.</w:t>
      </w:r>
    </w:p>
    <w:p>
      <w:pPr>
        <w:spacing w:after="0" w:line="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2014 Compensation reflects target pay and consists of annual base pay, Annual Incentive Program (“AIP”) at target, and the targeted long-term incentive grant. These amounts will differ from the Summary Compensation Table. The retirement benefits are valued in the same manner shown in the Summary Compensation Table.</w:t>
      </w:r>
    </w:p>
    <w:p>
      <w:pPr>
        <w:spacing w:after="0" w:line="11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31</w:t>
            </w: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205740</wp:posOffset>
            </wp:positionV>
            <wp:extent cx="171513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680" w:type="dxa"/>
            <w:vAlign w:val="bottom"/>
            <w:tcBorders>
              <w:top w:val="single" w:sz="8" w:color="225CAB"/>
              <w:left w:val="single" w:sz="8" w:color="225CAB"/>
            </w:tcBorders>
          </w:tcPr>
          <w:p>
            <w:pPr>
              <w:spacing w:after="0"/>
              <w:rPr>
                <w:sz w:val="22"/>
                <w:szCs w:val="22"/>
                <w:color w:val="auto"/>
              </w:rPr>
            </w:pPr>
          </w:p>
        </w:tc>
        <w:tc>
          <w:tcPr>
            <w:tcW w:w="100" w:type="dxa"/>
            <w:vAlign w:val="bottom"/>
            <w:tcBorders>
              <w:top w:val="single" w:sz="8" w:color="225CAB"/>
            </w:tcBorders>
          </w:tcPr>
          <w:p>
            <w:pPr>
              <w:spacing w:after="0"/>
              <w:rPr>
                <w:sz w:val="22"/>
                <w:szCs w:val="22"/>
                <w:color w:val="auto"/>
              </w:rPr>
            </w:pPr>
          </w:p>
        </w:tc>
        <w:tc>
          <w:tcPr>
            <w:tcW w:w="1300" w:type="dxa"/>
            <w:vAlign w:val="bottom"/>
            <w:tcBorders>
              <w:top w:val="single" w:sz="8" w:color="225CAB"/>
            </w:tcBorders>
          </w:tcPr>
          <w:p>
            <w:pPr>
              <w:spacing w:after="0"/>
              <w:rPr>
                <w:sz w:val="22"/>
                <w:szCs w:val="22"/>
                <w:color w:val="auto"/>
              </w:rPr>
            </w:pPr>
          </w:p>
        </w:tc>
        <w:tc>
          <w:tcPr>
            <w:tcW w:w="100" w:type="dxa"/>
            <w:vAlign w:val="bottom"/>
            <w:tcBorders>
              <w:top w:val="single" w:sz="8" w:color="225CAB"/>
            </w:tcBorders>
          </w:tcPr>
          <w:p>
            <w:pPr>
              <w:spacing w:after="0"/>
              <w:rPr>
                <w:sz w:val="22"/>
                <w:szCs w:val="22"/>
                <w:color w:val="auto"/>
              </w:rPr>
            </w:pPr>
          </w:p>
        </w:tc>
        <w:tc>
          <w:tcPr>
            <w:tcW w:w="560" w:type="dxa"/>
            <w:vAlign w:val="bottom"/>
            <w:tcBorders>
              <w:top w:val="single" w:sz="8" w:color="225CAB"/>
              <w:right w:val="single" w:sz="8" w:color="225CAB"/>
            </w:tcBorders>
          </w:tcPr>
          <w:p>
            <w:pPr>
              <w:spacing w:after="0"/>
              <w:rPr>
                <w:sz w:val="22"/>
                <w:szCs w:val="22"/>
                <w:color w:val="auto"/>
              </w:rPr>
            </w:pPr>
          </w:p>
        </w:tc>
        <w:tc>
          <w:tcPr>
            <w:tcW w:w="100" w:type="dxa"/>
            <w:vAlign w:val="bottom"/>
          </w:tcPr>
          <w:p>
            <w:pPr>
              <w:spacing w:after="0"/>
              <w:rPr>
                <w:sz w:val="22"/>
                <w:szCs w:val="22"/>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Prior to joining Williams, Mr. Chappel, 63, held various financial, administrative, and operational leadership positions.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Mr. Chappel is included in Institutional Investor magazine’s Best CFOs listing for 2014, 2013, 2012, 2011, 2010, 2008,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2007, and 2006. Mr. Chappel has served as a director of the general partner of Williams Partners since 2012 and as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its Chief Financial Officer since December 31, 2014. Mr. Chappel served as Chief Financial Officer and a director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the general partner of Pre-merger Williams Partners from 2005 until the Merger. Mr. Chappel was Chief Financial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Officer, from 2007, and a director, from 2008, of the general partner of Williams Pipeline Partners L.P., until its merger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with Pre-merger Williams Partners in 2010. Mr. Chappel is also a director of SUPERVALU Inc. (a grocery 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pharmacy company), serving as a member of its audit committee and leadership development and compensation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committee. Mr. Chappel serves as a director of two not-for-profit organizations — The Children’s Hospital Foundation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right w:val="single" w:sz="8" w:color="225CAB"/>
            </w:tcBorders>
            <w:gridSpan w:val="3"/>
            <w:vMerge w:val="restart"/>
          </w:tcPr>
          <w:p>
            <w:pPr>
              <w:jc w:val="center"/>
              <w:ind w:right="660"/>
              <w:spacing w:after="0"/>
              <w:rPr>
                <w:sz w:val="20"/>
                <w:szCs w:val="20"/>
                <w:color w:val="auto"/>
              </w:rPr>
            </w:pPr>
            <w:r>
              <w:rPr>
                <w:rFonts w:ascii="Arial" w:cs="Arial" w:eastAsia="Arial" w:hAnsi="Arial"/>
                <w:sz w:val="20"/>
                <w:szCs w:val="20"/>
                <w:b w:val="1"/>
                <w:bCs w:val="1"/>
                <w:color w:val="225CAB"/>
                <w:w w:val="98"/>
              </w:rPr>
              <w:t>DONALD R.</w:t>
            </w:r>
          </w:p>
        </w:tc>
        <w:tc>
          <w:tcPr>
            <w:tcW w:w="100" w:type="dxa"/>
            <w:vAlign w:val="bottom"/>
          </w:tcPr>
          <w:p>
            <w:pPr>
              <w:spacing w:after="0"/>
              <w:rPr>
                <w:sz w:val="16"/>
                <w:szCs w:val="16"/>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at St. Francis and Family &amp; Children’s Services of Oklahoma.</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Borders>
              <w:left w:val="single" w:sz="8" w:color="225CAB"/>
            </w:tcBorders>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right w:val="single" w:sz="8" w:color="225CAB"/>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80" w:type="dxa"/>
            <w:vAlign w:val="bottom"/>
            <w:tcBorders>
              <w:left w:val="single" w:sz="8" w:color="225CAB"/>
            </w:tcBorders>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Borders>
              <w:right w:val="single" w:sz="8" w:color="225CAB"/>
            </w:tcBorders>
            <w:gridSpan w:val="3"/>
          </w:tcPr>
          <w:p>
            <w:pPr>
              <w:jc w:val="center"/>
              <w:ind w:right="660"/>
              <w:spacing w:after="0"/>
              <w:rPr>
                <w:sz w:val="20"/>
                <w:szCs w:val="20"/>
                <w:color w:val="auto"/>
              </w:rPr>
            </w:pPr>
            <w:r>
              <w:rPr>
                <w:rFonts w:ascii="Arial" w:cs="Arial" w:eastAsia="Arial" w:hAnsi="Arial"/>
                <w:sz w:val="20"/>
                <w:szCs w:val="20"/>
                <w:b w:val="1"/>
                <w:bCs w:val="1"/>
                <w:color w:val="225CAB"/>
                <w:w w:val="98"/>
              </w:rPr>
              <w:t>CHAPPEL</w:t>
            </w:r>
          </w:p>
        </w:tc>
        <w:tc>
          <w:tcPr>
            <w:tcW w:w="1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40" w:type="dxa"/>
            <w:vAlign w:val="bottom"/>
            <w:tcBorders>
              <w:left w:val="single" w:sz="8" w:color="225CAB"/>
              <w:right w:val="single" w:sz="8" w:color="225CAB"/>
            </w:tcBorders>
            <w:gridSpan w:val="5"/>
          </w:tcPr>
          <w:p>
            <w:pPr>
              <w:jc w:val="center"/>
              <w:ind w:left="35"/>
              <w:spacing w:after="0"/>
              <w:rPr>
                <w:sz w:val="20"/>
                <w:szCs w:val="20"/>
                <w:color w:val="auto"/>
              </w:rPr>
            </w:pPr>
            <w:r>
              <w:rPr>
                <w:rFonts w:ascii="Arial" w:cs="Arial" w:eastAsia="Arial" w:hAnsi="Arial"/>
                <w:sz w:val="16"/>
                <w:szCs w:val="16"/>
                <w:b w:val="1"/>
                <w:bCs w:val="1"/>
                <w:color w:val="auto"/>
              </w:rPr>
              <w:t>Senior Vice President &amp;</w:t>
            </w:r>
          </w:p>
        </w:tc>
        <w:tc>
          <w:tcPr>
            <w:tcW w:w="1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6260" w:type="dxa"/>
            <w:vAlign w:val="bottom"/>
            <w:vMerge w:val="restart"/>
          </w:tcPr>
          <w:p>
            <w:pPr>
              <w:ind w:left="2080"/>
              <w:spacing w:after="0"/>
              <w:rPr>
                <w:sz w:val="20"/>
                <w:szCs w:val="20"/>
                <w:color w:val="auto"/>
              </w:rPr>
            </w:pPr>
            <w:r>
              <w:rPr>
                <w:rFonts w:ascii="Arial" w:cs="Arial" w:eastAsia="Arial" w:hAnsi="Arial"/>
                <w:sz w:val="18"/>
                <w:szCs w:val="18"/>
                <w:b w:val="1"/>
                <w:bCs w:val="1"/>
                <w:color w:val="auto"/>
              </w:rPr>
              <w:t xml:space="preserve">2014 Target Compensation </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40" w:type="dxa"/>
            <w:vAlign w:val="bottom"/>
            <w:tcBorders>
              <w:left w:val="single" w:sz="8" w:color="225CAB"/>
              <w:right w:val="single" w:sz="8" w:color="225CAB"/>
            </w:tcBorders>
            <w:gridSpan w:val="5"/>
            <w:vMerge w:val="restart"/>
          </w:tcPr>
          <w:p>
            <w:pPr>
              <w:jc w:val="center"/>
              <w:ind w:left="55"/>
              <w:spacing w:after="0"/>
              <w:rPr>
                <w:sz w:val="20"/>
                <w:szCs w:val="20"/>
                <w:color w:val="auto"/>
              </w:rPr>
            </w:pPr>
            <w:r>
              <w:rPr>
                <w:rFonts w:ascii="Arial" w:cs="Arial" w:eastAsia="Arial" w:hAnsi="Arial"/>
                <w:sz w:val="16"/>
                <w:szCs w:val="16"/>
                <w:b w:val="1"/>
                <w:bCs w:val="1"/>
                <w:color w:val="auto"/>
              </w:rPr>
              <w:t>Chief Financial Officer</w:t>
            </w:r>
          </w:p>
        </w:tc>
        <w:tc>
          <w:tcPr>
            <w:tcW w:w="1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40" w:type="dxa"/>
            <w:vAlign w:val="bottom"/>
            <w:tcBorders>
              <w:left w:val="single" w:sz="8" w:color="225CAB"/>
              <w:right w:val="single" w:sz="8" w:color="225CAB"/>
            </w:tcBorders>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6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740" w:type="dxa"/>
            <w:vAlign w:val="bottom"/>
            <w:tcBorders>
              <w:left w:val="single" w:sz="8" w:color="225CAB"/>
              <w:right w:val="single" w:sz="8" w:color="225CAB"/>
            </w:tcBorders>
            <w:gridSpan w:val="5"/>
          </w:tcPr>
          <w:p>
            <w:pPr>
              <w:jc w:val="center"/>
              <w:ind w:left="35"/>
              <w:spacing w:after="0"/>
              <w:rPr>
                <w:sz w:val="20"/>
                <w:szCs w:val="20"/>
                <w:color w:val="auto"/>
              </w:rPr>
            </w:pPr>
            <w:r>
              <w:rPr>
                <w:rFonts w:ascii="Arial" w:cs="Arial" w:eastAsia="Arial" w:hAnsi="Arial"/>
                <w:sz w:val="16"/>
                <w:szCs w:val="16"/>
                <w:b w:val="1"/>
                <w:bCs w:val="1"/>
                <w:color w:val="auto"/>
              </w:rPr>
              <w:t xml:space="preserve">Position held since </w:t>
            </w:r>
            <w:r>
              <w:rPr>
                <w:rFonts w:ascii="Arial" w:cs="Arial" w:eastAsia="Arial" w:hAnsi="Arial"/>
                <w:sz w:val="16"/>
                <w:szCs w:val="16"/>
                <w:color w:val="auto"/>
              </w:rPr>
              <w:t>2003</w:t>
            </w: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80" w:type="dxa"/>
            <w:vAlign w:val="bottom"/>
            <w:tcBorders>
              <w:left w:val="single" w:sz="8" w:color="225CAB"/>
            </w:tcBorders>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 xml:space="preserve">Stock ownership </w:t>
            </w:r>
            <w:r>
              <w:rPr>
                <w:rFonts w:ascii="Arial" w:cs="Arial" w:eastAsia="Arial" w:hAnsi="Arial"/>
                <w:sz w:val="12"/>
                <w:szCs w:val="12"/>
                <w:color w:val="auto"/>
              </w:rPr>
              <w:t>(1)</w:t>
            </w:r>
          </w:p>
        </w:tc>
        <w:tc>
          <w:tcPr>
            <w:tcW w:w="560" w:type="dxa"/>
            <w:vAlign w:val="bottom"/>
            <w:tcBorders>
              <w:right w:val="single" w:sz="8" w:color="225CAB"/>
            </w:tcBorders>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Borders>
              <w:left w:val="single" w:sz="8" w:color="225CAB"/>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225CAB"/>
            </w:tcBorders>
            <w:gridSpan w:val="3"/>
          </w:tcPr>
          <w:p>
            <w:pPr>
              <w:jc w:val="center"/>
              <w:ind w:right="660"/>
              <w:spacing w:after="0"/>
              <w:rPr>
                <w:sz w:val="20"/>
                <w:szCs w:val="20"/>
                <w:color w:val="auto"/>
              </w:rPr>
            </w:pPr>
            <w:r>
              <w:rPr>
                <w:rFonts w:ascii="Arial" w:cs="Arial" w:eastAsia="Arial" w:hAnsi="Arial"/>
                <w:sz w:val="16"/>
                <w:szCs w:val="16"/>
                <w:color w:val="auto"/>
              </w:rPr>
              <w:t>&gt;3x base salary</w:t>
            </w: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740" w:type="dxa"/>
            <w:vAlign w:val="bottom"/>
            <w:tcBorders>
              <w:left w:val="single" w:sz="8" w:color="225CAB"/>
              <w:right w:val="single" w:sz="8" w:color="225CAB"/>
            </w:tcBorders>
            <w:gridSpan w:val="5"/>
          </w:tcPr>
          <w:p>
            <w:pPr>
              <w:jc w:val="center"/>
              <w:ind w:left="35"/>
              <w:spacing w:after="0"/>
              <w:rPr>
                <w:sz w:val="20"/>
                <w:szCs w:val="20"/>
                <w:color w:val="auto"/>
              </w:rPr>
            </w:pPr>
            <w:r>
              <w:rPr>
                <w:rFonts w:ascii="Arial" w:cs="Arial" w:eastAsia="Arial" w:hAnsi="Arial"/>
                <w:sz w:val="16"/>
                <w:szCs w:val="16"/>
                <w:b w:val="1"/>
                <w:bCs w:val="1"/>
                <w:color w:val="auto"/>
              </w:rPr>
              <w:t>Performance-based</w:t>
            </w: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Borders>
              <w:left w:val="single" w:sz="8" w:color="225CAB"/>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rPr>
              <w:t xml:space="preserve">compensation </w:t>
            </w:r>
            <w:r>
              <w:rPr>
                <w:rFonts w:ascii="Arial" w:cs="Arial" w:eastAsia="Arial" w:hAnsi="Arial"/>
                <w:sz w:val="12"/>
                <w:szCs w:val="12"/>
                <w:color w:val="auto"/>
              </w:rPr>
              <w:t>(2)</w:t>
            </w:r>
          </w:p>
        </w:tc>
        <w:tc>
          <w:tcPr>
            <w:tcW w:w="660" w:type="dxa"/>
            <w:vAlign w:val="bottom"/>
            <w:tcBorders>
              <w:right w:val="single" w:sz="8" w:color="225CAB"/>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tcBorders>
              <w:left w:val="single" w:sz="8" w:color="225CAB"/>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225CAB"/>
            </w:tcBorders>
            <w:gridSpan w:val="3"/>
          </w:tcPr>
          <w:p>
            <w:pPr>
              <w:jc w:val="center"/>
              <w:ind w:right="660"/>
              <w:spacing w:after="0"/>
              <w:rPr>
                <w:sz w:val="20"/>
                <w:szCs w:val="20"/>
                <w:color w:val="auto"/>
              </w:rPr>
            </w:pPr>
            <w:r>
              <w:rPr>
                <w:rFonts w:ascii="Arial" w:cs="Arial" w:eastAsia="Arial" w:hAnsi="Arial"/>
                <w:sz w:val="16"/>
                <w:szCs w:val="16"/>
                <w:color w:val="auto"/>
              </w:rPr>
              <w:t>57% of total</w:t>
            </w: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right w:val="single" w:sz="8" w:color="225CAB"/>
            </w:tcBorders>
            <w:gridSpan w:val="3"/>
          </w:tcPr>
          <w:p>
            <w:pPr>
              <w:jc w:val="center"/>
              <w:ind w:right="660"/>
              <w:spacing w:after="0"/>
              <w:rPr>
                <w:sz w:val="20"/>
                <w:szCs w:val="20"/>
                <w:color w:val="auto"/>
              </w:rPr>
            </w:pPr>
            <w:r>
              <w:rPr>
                <w:rFonts w:ascii="Arial" w:cs="Arial" w:eastAsia="Arial" w:hAnsi="Arial"/>
                <w:sz w:val="16"/>
                <w:szCs w:val="16"/>
                <w:color w:val="auto"/>
              </w:rPr>
              <w:t>compensation</w:t>
            </w: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80" w:type="dxa"/>
            <w:vAlign w:val="bottom"/>
            <w:tcBorders>
              <w:left w:val="single" w:sz="8" w:color="225CAB"/>
              <w:bottom w:val="single" w:sz="8" w:color="225CAB"/>
            </w:tcBorders>
          </w:tcPr>
          <w:p>
            <w:pPr>
              <w:spacing w:after="0"/>
              <w:rPr>
                <w:sz w:val="11"/>
                <w:szCs w:val="11"/>
                <w:color w:val="auto"/>
              </w:rPr>
            </w:pPr>
          </w:p>
        </w:tc>
        <w:tc>
          <w:tcPr>
            <w:tcW w:w="100" w:type="dxa"/>
            <w:vAlign w:val="bottom"/>
            <w:tcBorders>
              <w:bottom w:val="single" w:sz="8" w:color="225CAB"/>
            </w:tcBorders>
          </w:tcPr>
          <w:p>
            <w:pPr>
              <w:spacing w:after="0"/>
              <w:rPr>
                <w:sz w:val="11"/>
                <w:szCs w:val="11"/>
                <w:color w:val="auto"/>
              </w:rPr>
            </w:pPr>
          </w:p>
        </w:tc>
        <w:tc>
          <w:tcPr>
            <w:tcW w:w="1300" w:type="dxa"/>
            <w:vAlign w:val="bottom"/>
            <w:tcBorders>
              <w:bottom w:val="single" w:sz="8" w:color="225CAB"/>
            </w:tcBorders>
          </w:tcPr>
          <w:p>
            <w:pPr>
              <w:spacing w:after="0"/>
              <w:rPr>
                <w:sz w:val="11"/>
                <w:szCs w:val="11"/>
                <w:color w:val="auto"/>
              </w:rPr>
            </w:pPr>
          </w:p>
        </w:tc>
        <w:tc>
          <w:tcPr>
            <w:tcW w:w="100" w:type="dxa"/>
            <w:vAlign w:val="bottom"/>
            <w:tcBorders>
              <w:bottom w:val="single" w:sz="8" w:color="225CAB"/>
            </w:tcBorders>
          </w:tcPr>
          <w:p>
            <w:pPr>
              <w:spacing w:after="0"/>
              <w:rPr>
                <w:sz w:val="11"/>
                <w:szCs w:val="11"/>
                <w:color w:val="auto"/>
              </w:rPr>
            </w:pPr>
          </w:p>
        </w:tc>
        <w:tc>
          <w:tcPr>
            <w:tcW w:w="560" w:type="dxa"/>
            <w:vAlign w:val="bottom"/>
            <w:tcBorders>
              <w:bottom w:val="single" w:sz="8" w:color="225CAB"/>
              <w:right w:val="single" w:sz="8" w:color="225CAB"/>
            </w:tcBorders>
          </w:tcPr>
          <w:p>
            <w:pPr>
              <w:spacing w:after="0"/>
              <w:rPr>
                <w:sz w:val="11"/>
                <w:szCs w:val="11"/>
                <w:color w:val="auto"/>
              </w:rPr>
            </w:pPr>
          </w:p>
        </w:tc>
        <w:tc>
          <w:tcPr>
            <w:tcW w:w="100" w:type="dxa"/>
            <w:vAlign w:val="bottom"/>
            <w:tcBorders>
              <w:bottom w:val="single" w:sz="8" w:color="225CAB"/>
            </w:tcBorders>
          </w:tcPr>
          <w:p>
            <w:pPr>
              <w:spacing w:after="0"/>
              <w:rPr>
                <w:sz w:val="11"/>
                <w:szCs w:val="11"/>
                <w:color w:val="auto"/>
              </w:rPr>
            </w:pPr>
          </w:p>
        </w:tc>
        <w:tc>
          <w:tcPr>
            <w:tcW w:w="2300" w:type="dxa"/>
            <w:vAlign w:val="bottom"/>
            <w:tcBorders>
              <w:bottom w:val="single" w:sz="8" w:color="225CAB"/>
            </w:tcBorders>
          </w:tcPr>
          <w:p>
            <w:pPr>
              <w:spacing w:after="0"/>
              <w:rPr>
                <w:sz w:val="11"/>
                <w:szCs w:val="11"/>
                <w:color w:val="auto"/>
              </w:rPr>
            </w:pPr>
          </w:p>
        </w:tc>
        <w:tc>
          <w:tcPr>
            <w:tcW w:w="6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840" w:type="dxa"/>
            <w:vAlign w:val="bottom"/>
            <w:gridSpan w:val="6"/>
          </w:tcPr>
          <w:p>
            <w:pPr>
              <w:spacing w:after="0"/>
              <w:rPr>
                <w:sz w:val="20"/>
                <w:szCs w:val="20"/>
                <w:color w:val="auto"/>
              </w:rPr>
            </w:pPr>
            <w:r>
              <w:rPr>
                <w:rFonts w:ascii="Arial" w:cs="Arial" w:eastAsia="Arial" w:hAnsi="Arial"/>
                <w:sz w:val="20"/>
                <w:szCs w:val="20"/>
                <w:b w:val="1"/>
                <w:bCs w:val="1"/>
                <w:color w:val="225CAB"/>
              </w:rPr>
              <w:t xml:space="preserve">2014 Target Compensation </w:t>
            </w:r>
            <w:r>
              <w:rPr>
                <w:rFonts w:ascii="Arial" w:cs="Arial" w:eastAsia="Arial" w:hAnsi="Arial"/>
                <w:sz w:val="14"/>
                <w:szCs w:val="14"/>
                <w:color w:val="225CAB"/>
              </w:rPr>
              <w:t>(3)</w:t>
            </w:r>
          </w:p>
        </w:tc>
        <w:tc>
          <w:tcPr>
            <w:tcW w:w="230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-3081020</wp:posOffset>
            </wp:positionV>
            <wp:extent cx="823595" cy="1157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3595" cy="115760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-1014095</wp:posOffset>
            </wp:positionV>
            <wp:extent cx="2152650" cy="2804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2650" cy="280416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49"/>
        </w:trPr>
        <w:tc>
          <w:tcPr>
            <w:tcW w:w="3620" w:type="dxa"/>
            <w:vAlign w:val="bottom"/>
            <w:tcBorders>
              <w:top w:val="single" w:sz="8" w:color="auto"/>
              <w:left w:val="single" w:sz="8" w:color="auto"/>
            </w:tcBorders>
          </w:tcPr>
          <w:p>
            <w:pPr>
              <w:ind w:left="300"/>
              <w:spacing w:after="0"/>
              <w:rPr>
                <w:sz w:val="20"/>
                <w:szCs w:val="20"/>
                <w:color w:val="auto"/>
              </w:rPr>
            </w:pPr>
            <w:r>
              <w:rPr>
                <w:rFonts w:ascii="Arial" w:cs="Arial" w:eastAsia="Arial" w:hAnsi="Arial"/>
                <w:sz w:val="13"/>
                <w:szCs w:val="13"/>
                <w:color w:val="auto"/>
              </w:rPr>
              <w:t>Long-Term Incentives (LTI)</w:t>
            </w:r>
          </w:p>
        </w:tc>
        <w:tc>
          <w:tcPr>
            <w:tcW w:w="1680" w:type="dxa"/>
            <w:vAlign w:val="bottom"/>
            <w:tcBorders>
              <w:top w:val="single" w:sz="8" w:color="auto"/>
              <w:right w:val="single" w:sz="8" w:color="auto"/>
            </w:tcBorders>
            <w:gridSpan w:val="3"/>
          </w:tcPr>
          <w:p>
            <w:pPr>
              <w:jc w:val="right"/>
              <w:ind w:right="140"/>
              <w:spacing w:after="0"/>
              <w:rPr>
                <w:sz w:val="20"/>
                <w:szCs w:val="20"/>
                <w:color w:val="auto"/>
              </w:rPr>
            </w:pPr>
            <w:r>
              <w:rPr>
                <w:rFonts w:ascii="Arial" w:cs="Arial" w:eastAsia="Arial" w:hAnsi="Arial"/>
                <w:sz w:val="13"/>
                <w:szCs w:val="13"/>
                <w:color w:val="auto"/>
              </w:rPr>
              <w:t>$2,400,000</w:t>
            </w:r>
          </w:p>
        </w:tc>
      </w:tr>
      <w:tr>
        <w:trPr>
          <w:trHeight w:val="135"/>
        </w:trPr>
        <w:tc>
          <w:tcPr>
            <w:tcW w:w="3620" w:type="dxa"/>
            <w:vAlign w:val="bottom"/>
            <w:tcBorders>
              <w:left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Performance-based RSUs</w:t>
            </w:r>
          </w:p>
        </w:tc>
        <w:tc>
          <w:tcPr>
            <w:tcW w:w="168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$1,080,000</w:t>
            </w:r>
          </w:p>
        </w:tc>
      </w:tr>
      <w:tr>
        <w:trPr>
          <w:trHeight w:val="135"/>
        </w:trPr>
        <w:tc>
          <w:tcPr>
            <w:tcW w:w="3620" w:type="dxa"/>
            <w:vAlign w:val="bottom"/>
            <w:tcBorders>
              <w:left w:val="single" w:sz="8" w:color="auto"/>
            </w:tcBorders>
          </w:tcPr>
          <w:p>
            <w:pPr>
              <w:ind w:left="420"/>
              <w:spacing w:after="0" w:line="135" w:lineRule="exact"/>
              <w:rPr>
                <w:sz w:val="20"/>
                <w:szCs w:val="20"/>
                <w:color w:val="auto"/>
              </w:rPr>
            </w:pPr>
            <w:r>
              <w:rPr>
                <w:rFonts w:ascii="Arial" w:cs="Arial" w:eastAsia="Arial" w:hAnsi="Arial"/>
                <w:sz w:val="13"/>
                <w:szCs w:val="13"/>
                <w:color w:val="auto"/>
              </w:rPr>
              <w:t>Time-based RSUs</w:t>
            </w:r>
          </w:p>
        </w:tc>
        <w:tc>
          <w:tcPr>
            <w:tcW w:w="1680" w:type="dxa"/>
            <w:vAlign w:val="bottom"/>
            <w:tcBorders>
              <w:right w:val="single" w:sz="8" w:color="auto"/>
            </w:tcBorders>
            <w:gridSpan w:val="3"/>
          </w:tcPr>
          <w:p>
            <w:pPr>
              <w:jc w:val="right"/>
              <w:ind w:right="140"/>
              <w:spacing w:after="0" w:line="135" w:lineRule="exact"/>
              <w:rPr>
                <w:sz w:val="20"/>
                <w:szCs w:val="20"/>
                <w:color w:val="auto"/>
              </w:rPr>
            </w:pPr>
            <w:r>
              <w:rPr>
                <w:rFonts w:ascii="Arial" w:cs="Arial" w:eastAsia="Arial" w:hAnsi="Arial"/>
                <w:sz w:val="13"/>
                <w:szCs w:val="13"/>
                <w:color w:val="auto"/>
              </w:rPr>
              <w:t>$840,000</w:t>
            </w:r>
          </w:p>
        </w:tc>
      </w:tr>
      <w:tr>
        <w:trPr>
          <w:trHeight w:val="135"/>
        </w:trPr>
        <w:tc>
          <w:tcPr>
            <w:tcW w:w="3620" w:type="dxa"/>
            <w:vAlign w:val="bottom"/>
            <w:tcBorders>
              <w:left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Stock Options</w:t>
            </w:r>
          </w:p>
        </w:tc>
        <w:tc>
          <w:tcPr>
            <w:tcW w:w="168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$480,000</w:t>
            </w:r>
          </w:p>
        </w:tc>
      </w:tr>
      <w:tr>
        <w:trPr>
          <w:trHeight w:val="149"/>
        </w:trPr>
        <w:tc>
          <w:tcPr>
            <w:tcW w:w="3620" w:type="dxa"/>
            <w:vAlign w:val="bottom"/>
            <w:tcBorders>
              <w:left w:val="single" w:sz="8" w:color="auto"/>
            </w:tcBorders>
          </w:tcPr>
          <w:p>
            <w:pPr>
              <w:ind w:left="300"/>
              <w:spacing w:after="0"/>
              <w:rPr>
                <w:sz w:val="20"/>
                <w:szCs w:val="20"/>
                <w:color w:val="auto"/>
              </w:rPr>
            </w:pPr>
            <w:r>
              <w:rPr>
                <w:rFonts w:ascii="Arial" w:cs="Arial" w:eastAsia="Arial" w:hAnsi="Arial"/>
                <w:sz w:val="13"/>
                <w:szCs w:val="13"/>
                <w:color w:val="auto"/>
              </w:rPr>
              <w:t>Short-Term Incentive at Target</w:t>
            </w: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r>
      <w:tr>
        <w:trPr>
          <w:trHeight w:val="135"/>
        </w:trPr>
        <w:tc>
          <w:tcPr>
            <w:tcW w:w="3620" w:type="dxa"/>
            <w:vAlign w:val="bottom"/>
            <w:tcBorders>
              <w:left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Annual Incentive Program (“AIP”)</w:t>
            </w:r>
          </w:p>
        </w:tc>
        <w:tc>
          <w:tcPr>
            <w:tcW w:w="168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$493,500</w:t>
            </w:r>
          </w:p>
        </w:tc>
      </w:tr>
      <w:tr>
        <w:trPr>
          <w:trHeight w:val="122"/>
        </w:trPr>
        <w:tc>
          <w:tcPr>
            <w:tcW w:w="3620" w:type="dxa"/>
            <w:vAlign w:val="bottom"/>
            <w:tcBorders>
              <w:left w:val="single" w:sz="8" w:color="auto"/>
            </w:tcBorders>
          </w:tcPr>
          <w:p>
            <w:pPr>
              <w:ind w:left="300"/>
              <w:spacing w:after="0" w:line="122" w:lineRule="exact"/>
              <w:rPr>
                <w:sz w:val="20"/>
                <w:szCs w:val="20"/>
                <w:color w:val="auto"/>
              </w:rPr>
            </w:pPr>
            <w:r>
              <w:rPr>
                <w:rFonts w:ascii="Arial" w:cs="Arial" w:eastAsia="Arial" w:hAnsi="Arial"/>
                <w:sz w:val="13"/>
                <w:szCs w:val="13"/>
                <w:color w:val="auto"/>
              </w:rPr>
              <w:t>Base Pay</w:t>
            </w:r>
          </w:p>
        </w:tc>
        <w:tc>
          <w:tcPr>
            <w:tcW w:w="100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u w:val="single" w:color="auto"/>
                <w:color w:val="auto"/>
                <w:w w:val="95"/>
              </w:rPr>
              <w:t>$</w:t>
            </w:r>
            <w:r>
              <w:rPr>
                <w:rFonts w:ascii="Arial" w:cs="Arial" w:eastAsia="Arial" w:hAnsi="Arial"/>
                <w:sz w:val="13"/>
                <w:szCs w:val="13"/>
                <w:color w:val="auto"/>
                <w:w w:val="95"/>
              </w:rPr>
              <w:t>658,000</w:t>
            </w:r>
          </w:p>
        </w:tc>
        <w:tc>
          <w:tcPr>
            <w:tcW w:w="140" w:type="dxa"/>
            <w:vAlign w:val="bottom"/>
            <w:tcBorders>
              <w:right w:val="single" w:sz="8" w:color="auto"/>
            </w:tcBorders>
          </w:tcPr>
          <w:p>
            <w:pPr>
              <w:spacing w:after="0"/>
              <w:rPr>
                <w:sz w:val="10"/>
                <w:szCs w:val="10"/>
                <w:color w:val="auto"/>
              </w:rPr>
            </w:pPr>
          </w:p>
        </w:tc>
      </w:tr>
      <w:tr>
        <w:trPr>
          <w:trHeight w:val="129"/>
        </w:trPr>
        <w:tc>
          <w:tcPr>
            <w:tcW w:w="3620" w:type="dxa"/>
            <w:vAlign w:val="bottom"/>
            <w:tcBorders>
              <w:left w:val="single" w:sz="8" w:color="auto"/>
              <w:bottom w:val="single" w:sz="8" w:color="auto"/>
            </w:tcBorders>
            <w:shd w:val="clear" w:color="auto" w:fill="DDE6F2"/>
          </w:tcPr>
          <w:p>
            <w:pPr>
              <w:ind w:left="300"/>
              <w:spacing w:after="0" w:line="129" w:lineRule="exact"/>
              <w:rPr>
                <w:sz w:val="20"/>
                <w:szCs w:val="20"/>
                <w:color w:val="auto"/>
              </w:rPr>
            </w:pPr>
            <w:r>
              <w:rPr>
                <w:rFonts w:ascii="Arial" w:cs="Arial" w:eastAsia="Arial" w:hAnsi="Arial"/>
                <w:sz w:val="13"/>
                <w:szCs w:val="13"/>
                <w:color w:val="auto"/>
              </w:rPr>
              <w:t>Total Target Compensation</w:t>
            </w:r>
          </w:p>
        </w:tc>
        <w:tc>
          <w:tcPr>
            <w:tcW w:w="1680" w:type="dxa"/>
            <w:vAlign w:val="bottom"/>
            <w:tcBorders>
              <w:bottom w:val="single" w:sz="8" w:color="auto"/>
              <w:right w:val="single" w:sz="8" w:color="auto"/>
            </w:tcBorders>
            <w:gridSpan w:val="3"/>
            <w:shd w:val="clear" w:color="auto" w:fill="DDE6F2"/>
          </w:tcPr>
          <w:p>
            <w:pPr>
              <w:jc w:val="right"/>
              <w:ind w:right="140"/>
              <w:spacing w:after="0" w:line="129" w:lineRule="exact"/>
              <w:rPr>
                <w:sz w:val="20"/>
                <w:szCs w:val="20"/>
                <w:color w:val="auto"/>
              </w:rPr>
            </w:pPr>
            <w:r>
              <w:rPr>
                <w:rFonts w:ascii="Arial" w:cs="Arial" w:eastAsia="Arial" w:hAnsi="Arial"/>
                <w:sz w:val="13"/>
                <w:szCs w:val="13"/>
                <w:color w:val="auto"/>
              </w:rPr>
              <w:t>$3,551,500</w:t>
            </w:r>
          </w:p>
        </w:tc>
      </w:tr>
      <w:tr>
        <w:trPr>
          <w:trHeight w:val="142"/>
        </w:trPr>
        <w:tc>
          <w:tcPr>
            <w:tcW w:w="3620" w:type="dxa"/>
            <w:vAlign w:val="bottom"/>
            <w:tcBorders>
              <w:left w:val="single" w:sz="8" w:color="auto"/>
            </w:tcBorders>
          </w:tcPr>
          <w:p>
            <w:pPr>
              <w:ind w:left="300"/>
              <w:spacing w:after="0" w:line="143" w:lineRule="exact"/>
              <w:rPr>
                <w:sz w:val="20"/>
                <w:szCs w:val="20"/>
                <w:color w:val="auto"/>
              </w:rPr>
            </w:pPr>
            <w:r>
              <w:rPr>
                <w:rFonts w:ascii="Arial" w:cs="Arial" w:eastAsia="Arial" w:hAnsi="Arial"/>
                <w:sz w:val="13"/>
                <w:szCs w:val="13"/>
                <w:color w:val="auto"/>
              </w:rPr>
              <w:t>Retirement Benefits</w:t>
            </w: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r>
      <w:tr>
        <w:trPr>
          <w:trHeight w:val="135"/>
        </w:trPr>
        <w:tc>
          <w:tcPr>
            <w:tcW w:w="3620" w:type="dxa"/>
            <w:vAlign w:val="bottom"/>
            <w:tcBorders>
              <w:left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Pension (year-over-year change)</w:t>
            </w:r>
          </w:p>
        </w:tc>
        <w:tc>
          <w:tcPr>
            <w:tcW w:w="168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$138,886</w:t>
            </w:r>
          </w:p>
        </w:tc>
      </w:tr>
      <w:tr>
        <w:trPr>
          <w:trHeight w:val="135"/>
        </w:trPr>
        <w:tc>
          <w:tcPr>
            <w:tcW w:w="3620" w:type="dxa"/>
            <w:vAlign w:val="bottom"/>
            <w:tcBorders>
              <w:left w:val="single" w:sz="8" w:color="auto"/>
            </w:tcBorders>
          </w:tcPr>
          <w:p>
            <w:pPr>
              <w:ind w:left="420"/>
              <w:spacing w:after="0" w:line="135" w:lineRule="exact"/>
              <w:rPr>
                <w:sz w:val="20"/>
                <w:szCs w:val="20"/>
                <w:color w:val="auto"/>
              </w:rPr>
            </w:pPr>
            <w:r>
              <w:rPr>
                <w:rFonts w:ascii="Arial" w:cs="Arial" w:eastAsia="Arial" w:hAnsi="Arial"/>
                <w:sz w:val="13"/>
                <w:szCs w:val="13"/>
                <w:color w:val="auto"/>
              </w:rPr>
              <w:t>Restoration Plan (year-over-year change)</w:t>
            </w:r>
          </w:p>
        </w:tc>
        <w:tc>
          <w:tcPr>
            <w:tcW w:w="1680" w:type="dxa"/>
            <w:vAlign w:val="bottom"/>
            <w:tcBorders>
              <w:right w:val="single" w:sz="8" w:color="auto"/>
            </w:tcBorders>
            <w:gridSpan w:val="3"/>
          </w:tcPr>
          <w:p>
            <w:pPr>
              <w:jc w:val="right"/>
              <w:ind w:right="140"/>
              <w:spacing w:after="0" w:line="135" w:lineRule="exact"/>
              <w:rPr>
                <w:sz w:val="20"/>
                <w:szCs w:val="20"/>
                <w:color w:val="auto"/>
              </w:rPr>
            </w:pPr>
            <w:r>
              <w:rPr>
                <w:rFonts w:ascii="Arial" w:cs="Arial" w:eastAsia="Arial" w:hAnsi="Arial"/>
                <w:sz w:val="13"/>
                <w:szCs w:val="13"/>
                <w:color w:val="auto"/>
              </w:rPr>
              <w:t>$706,174</w:t>
            </w:r>
          </w:p>
        </w:tc>
      </w:tr>
      <w:tr>
        <w:trPr>
          <w:trHeight w:val="135"/>
        </w:trPr>
        <w:tc>
          <w:tcPr>
            <w:tcW w:w="3620" w:type="dxa"/>
            <w:vAlign w:val="bottom"/>
            <w:tcBorders>
              <w:left w:val="single" w:sz="8" w:color="auto"/>
              <w:bottom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401(k) Company Match</w:t>
            </w:r>
          </w:p>
        </w:tc>
        <w:tc>
          <w:tcPr>
            <w:tcW w:w="1680" w:type="dxa"/>
            <w:vAlign w:val="bottom"/>
            <w:tcBorders>
              <w:bottom w:val="single" w:sz="8" w:color="auto"/>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$15,600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 xml:space="preserve">Payment Upon Termination </w:t>
      </w:r>
      <w:r>
        <w:rPr>
          <w:rFonts w:ascii="Arial" w:cs="Arial" w:eastAsia="Arial" w:hAnsi="Arial"/>
          <w:sz w:val="20"/>
          <w:szCs w:val="20"/>
          <w:color w:val="225CAB"/>
        </w:rPr>
        <w:t>(as of Dec 31, 2014)</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440" w:type="dxa"/>
            <w:vAlign w:val="bottom"/>
            <w:tcBorders>
              <w:top w:val="single" w:sz="8" w:color="auto"/>
              <w:left w:val="single" w:sz="8" w:color="auto"/>
            </w:tcBorders>
          </w:tcPr>
          <w:p>
            <w:pPr>
              <w:ind w:left="300"/>
              <w:spacing w:after="0"/>
              <w:rPr>
                <w:sz w:val="20"/>
                <w:szCs w:val="20"/>
                <w:color w:val="auto"/>
              </w:rPr>
            </w:pPr>
            <w:r>
              <w:rPr>
                <w:rFonts w:ascii="Arial" w:cs="Arial" w:eastAsia="Arial" w:hAnsi="Arial"/>
                <w:sz w:val="13"/>
                <w:szCs w:val="13"/>
                <w:color w:val="auto"/>
              </w:rPr>
              <w:t>Voluntary Termination</w:t>
            </w:r>
          </w:p>
        </w:tc>
        <w:tc>
          <w:tcPr>
            <w:tcW w:w="1860" w:type="dxa"/>
            <w:vAlign w:val="bottom"/>
            <w:tcBorders>
              <w:top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$0</w:t>
            </w:r>
          </w:p>
        </w:tc>
      </w:tr>
      <w:tr>
        <w:trPr>
          <w:trHeight w:val="135"/>
        </w:trPr>
        <w:tc>
          <w:tcPr>
            <w:tcW w:w="3440" w:type="dxa"/>
            <w:vAlign w:val="bottom"/>
            <w:tcBorders>
              <w:left w:val="single" w:sz="8" w:color="auto"/>
            </w:tcBorders>
            <w:shd w:val="clear" w:color="auto" w:fill="DDE6F2"/>
          </w:tcPr>
          <w:p>
            <w:pPr>
              <w:ind w:left="300"/>
              <w:spacing w:after="0" w:line="135" w:lineRule="exact"/>
              <w:rPr>
                <w:sz w:val="20"/>
                <w:szCs w:val="20"/>
                <w:color w:val="auto"/>
              </w:rPr>
            </w:pPr>
            <w:r>
              <w:rPr>
                <w:rFonts w:ascii="Arial" w:cs="Arial" w:eastAsia="Arial" w:hAnsi="Arial"/>
                <w:sz w:val="13"/>
                <w:szCs w:val="13"/>
                <w:color w:val="auto"/>
              </w:rPr>
              <w:t>Termination with Cause</w:t>
            </w:r>
          </w:p>
        </w:tc>
        <w:tc>
          <w:tcPr>
            <w:tcW w:w="1860" w:type="dxa"/>
            <w:vAlign w:val="bottom"/>
            <w:tcBorders>
              <w:right w:val="single" w:sz="8" w:color="auto"/>
            </w:tcBorders>
            <w:shd w:val="clear" w:color="auto" w:fill="DDE6F2"/>
          </w:tcPr>
          <w:p>
            <w:pPr>
              <w:jc w:val="right"/>
              <w:ind w:right="77"/>
              <w:spacing w:after="0" w:line="135" w:lineRule="exact"/>
              <w:rPr>
                <w:sz w:val="20"/>
                <w:szCs w:val="20"/>
                <w:color w:val="auto"/>
              </w:rPr>
            </w:pPr>
            <w:r>
              <w:rPr>
                <w:rFonts w:ascii="Arial" w:cs="Arial" w:eastAsia="Arial" w:hAnsi="Arial"/>
                <w:sz w:val="13"/>
                <w:szCs w:val="13"/>
                <w:color w:val="auto"/>
              </w:rPr>
              <w:t>$0</w:t>
            </w:r>
          </w:p>
        </w:tc>
      </w:tr>
      <w:tr>
        <w:trPr>
          <w:trHeight w:val="135"/>
        </w:trPr>
        <w:tc>
          <w:tcPr>
            <w:tcW w:w="3440" w:type="dxa"/>
            <w:vAlign w:val="bottom"/>
            <w:tcBorders>
              <w:left w:val="single" w:sz="8" w:color="auto"/>
            </w:tcBorders>
          </w:tcPr>
          <w:p>
            <w:pPr>
              <w:ind w:left="300"/>
              <w:spacing w:after="0" w:line="135" w:lineRule="exact"/>
              <w:rPr>
                <w:sz w:val="20"/>
                <w:szCs w:val="20"/>
                <w:color w:val="auto"/>
              </w:rPr>
            </w:pPr>
            <w:r>
              <w:rPr>
                <w:rFonts w:ascii="Arial" w:cs="Arial" w:eastAsia="Arial" w:hAnsi="Arial"/>
                <w:sz w:val="13"/>
                <w:szCs w:val="13"/>
                <w:color w:val="auto"/>
              </w:rPr>
              <w:t>Involuntary Termination without Cause</w:t>
            </w:r>
          </w:p>
        </w:tc>
        <w:tc>
          <w:tcPr>
            <w:tcW w:w="186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$7,327,076</w:t>
            </w:r>
          </w:p>
        </w:tc>
      </w:tr>
      <w:tr>
        <w:trPr>
          <w:trHeight w:val="135"/>
        </w:trPr>
        <w:tc>
          <w:tcPr>
            <w:tcW w:w="3440" w:type="dxa"/>
            <w:vAlign w:val="bottom"/>
            <w:tcBorders>
              <w:left w:val="single" w:sz="8" w:color="auto"/>
            </w:tcBorders>
            <w:shd w:val="clear" w:color="auto" w:fill="DDE6F2"/>
          </w:tcPr>
          <w:p>
            <w:pPr>
              <w:ind w:left="300"/>
              <w:spacing w:after="0" w:line="135" w:lineRule="exact"/>
              <w:rPr>
                <w:sz w:val="20"/>
                <w:szCs w:val="20"/>
                <w:color w:val="auto"/>
              </w:rPr>
            </w:pPr>
            <w:r>
              <w:rPr>
                <w:rFonts w:ascii="Arial" w:cs="Arial" w:eastAsia="Arial" w:hAnsi="Arial"/>
                <w:sz w:val="13"/>
                <w:szCs w:val="13"/>
                <w:color w:val="auto"/>
              </w:rPr>
              <w:t>Retirement</w:t>
            </w:r>
          </w:p>
        </w:tc>
        <w:tc>
          <w:tcPr>
            <w:tcW w:w="1860" w:type="dxa"/>
            <w:vAlign w:val="bottom"/>
            <w:tcBorders>
              <w:right w:val="single" w:sz="8" w:color="auto"/>
            </w:tcBorders>
            <w:shd w:val="clear" w:color="auto" w:fill="DDE6F2"/>
          </w:tcPr>
          <w:p>
            <w:pPr>
              <w:jc w:val="right"/>
              <w:ind w:right="77"/>
              <w:spacing w:after="0" w:line="135" w:lineRule="exact"/>
              <w:rPr>
                <w:sz w:val="20"/>
                <w:szCs w:val="20"/>
                <w:color w:val="auto"/>
              </w:rPr>
            </w:pPr>
            <w:r>
              <w:rPr>
                <w:rFonts w:ascii="Arial" w:cs="Arial" w:eastAsia="Arial" w:hAnsi="Arial"/>
                <w:sz w:val="13"/>
                <w:szCs w:val="13"/>
                <w:color w:val="auto"/>
              </w:rPr>
              <w:t>$7,428,516</w:t>
            </w:r>
          </w:p>
        </w:tc>
      </w:tr>
      <w:tr>
        <w:trPr>
          <w:trHeight w:val="135"/>
        </w:trPr>
        <w:tc>
          <w:tcPr>
            <w:tcW w:w="3440" w:type="dxa"/>
            <w:vAlign w:val="bottom"/>
            <w:tcBorders>
              <w:left w:val="single" w:sz="8" w:color="auto"/>
            </w:tcBorders>
          </w:tcPr>
          <w:p>
            <w:pPr>
              <w:ind w:left="300"/>
              <w:spacing w:after="0" w:line="135" w:lineRule="exact"/>
              <w:rPr>
                <w:sz w:val="20"/>
                <w:szCs w:val="20"/>
                <w:color w:val="auto"/>
              </w:rPr>
            </w:pPr>
            <w:r>
              <w:rPr>
                <w:rFonts w:ascii="Arial" w:cs="Arial" w:eastAsia="Arial" w:hAnsi="Arial"/>
                <w:sz w:val="13"/>
                <w:szCs w:val="13"/>
                <w:color w:val="auto"/>
              </w:rPr>
              <w:t>Death or Disability</w:t>
            </w:r>
          </w:p>
        </w:tc>
        <w:tc>
          <w:tcPr>
            <w:tcW w:w="186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$8,590,565</w:t>
            </w:r>
          </w:p>
        </w:tc>
      </w:tr>
      <w:tr>
        <w:trPr>
          <w:trHeight w:val="135"/>
        </w:trPr>
        <w:tc>
          <w:tcPr>
            <w:tcW w:w="3440" w:type="dxa"/>
            <w:vAlign w:val="bottom"/>
            <w:tcBorders>
              <w:left w:val="single" w:sz="8" w:color="auto"/>
              <w:bottom w:val="single" w:sz="8" w:color="auto"/>
            </w:tcBorders>
            <w:shd w:val="clear" w:color="auto" w:fill="DDE6F2"/>
          </w:tcPr>
          <w:p>
            <w:pPr>
              <w:ind w:left="300"/>
              <w:spacing w:after="0" w:line="135" w:lineRule="exact"/>
              <w:rPr>
                <w:sz w:val="20"/>
                <w:szCs w:val="20"/>
                <w:color w:val="auto"/>
              </w:rPr>
            </w:pPr>
            <w:r>
              <w:rPr>
                <w:rFonts w:ascii="Arial" w:cs="Arial" w:eastAsia="Arial" w:hAnsi="Arial"/>
                <w:sz w:val="13"/>
                <w:szCs w:val="13"/>
                <w:color w:val="auto"/>
              </w:rPr>
              <w:t>Change in Control</w:t>
            </w:r>
          </w:p>
        </w:tc>
        <w:tc>
          <w:tcPr>
            <w:tcW w:w="1860" w:type="dxa"/>
            <w:vAlign w:val="bottom"/>
            <w:tcBorders>
              <w:bottom w:val="single" w:sz="8" w:color="auto"/>
              <w:right w:val="single" w:sz="8" w:color="auto"/>
            </w:tcBorders>
            <w:shd w:val="clear" w:color="auto" w:fill="DDE6F2"/>
          </w:tcPr>
          <w:p>
            <w:pPr>
              <w:jc w:val="right"/>
              <w:ind w:right="77"/>
              <w:spacing w:after="0" w:line="135" w:lineRule="exact"/>
              <w:rPr>
                <w:sz w:val="20"/>
                <w:szCs w:val="20"/>
                <w:color w:val="auto"/>
              </w:rPr>
            </w:pPr>
            <w:r>
              <w:rPr>
                <w:rFonts w:ascii="Arial" w:cs="Arial" w:eastAsia="Arial" w:hAnsi="Arial"/>
                <w:sz w:val="13"/>
                <w:szCs w:val="13"/>
                <w:color w:val="auto"/>
              </w:rPr>
              <w:t>$15,836,134</w:t>
            </w:r>
          </w:p>
        </w:tc>
      </w:tr>
    </w:tbl>
    <w:p>
      <w:pPr>
        <w:spacing w:after="0" w:line="126" w:lineRule="exact"/>
        <w:rPr>
          <w:sz w:val="20"/>
          <w:szCs w:val="20"/>
          <w:color w:val="auto"/>
        </w:rPr>
      </w:pPr>
    </w:p>
    <w:p>
      <w:pPr>
        <w:ind w:left="340" w:right="20" w:hanging="332"/>
        <w:spacing w:after="0" w:line="24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Chappel’s ownership in our common stock exceeded the required NEO ownership threshold of three times base salary. Only shares owned outright and time-based RSUs count as owned for purposes of the program.</w:t>
      </w: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Performance-based compensation includes performance-based RSUs, stock options, and AIP.</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2014 Compensation reflects target pay and consists of annual base pay, AIP at target, and the targeted long-term incentive grant. These amounts will differ from the Summary Compensation Table. The retirement benefits are valued in the same manner shown in the Summary Compensation Table.</w:t>
      </w:r>
    </w:p>
    <w:p>
      <w:pPr>
        <w:spacing w:after="0" w:line="11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32</w:t>
            </w: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205740</wp:posOffset>
            </wp:positionV>
            <wp:extent cx="171513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51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1741170" cy="30359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41170"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2960"/>
        <w:spacing w:after="0" w:line="250" w:lineRule="auto"/>
        <w:rPr>
          <w:sz w:val="20"/>
          <w:szCs w:val="20"/>
          <w:color w:val="auto"/>
        </w:rPr>
      </w:pPr>
      <w:r>
        <w:rPr>
          <w:rFonts w:ascii="Arial" w:cs="Arial" w:eastAsia="Arial" w:hAnsi="Arial"/>
          <w:sz w:val="16"/>
          <w:szCs w:val="16"/>
          <w:color w:val="auto"/>
        </w:rPr>
        <w:t>Mr. Miller, 54, was Senior Vice President — Midstream of Williams and the general partner of Pre-merger Williams Partners, acting as President of Williams’ midstream business, from 2011 until 2013. Mr. Miller was a Vice President of Williams’ midstream business from 2004 until 2011. Mr. Miller served as a director and Senior Vice-President – Atlantic-Gulf of the general partner of Pre-merger Williams Partners from 2011 until the Merger and has served in those roles for the general partner of Williams Partners since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20" w:type="dxa"/>
            <w:vAlign w:val="bottom"/>
            <w:gridSpan w:val="3"/>
          </w:tcPr>
          <w:p>
            <w:pPr>
              <w:jc w:val="center"/>
              <w:ind w:right="2820"/>
              <w:spacing w:after="0"/>
              <w:rPr>
                <w:sz w:val="20"/>
                <w:szCs w:val="20"/>
                <w:color w:val="auto"/>
              </w:rPr>
            </w:pPr>
            <w:r>
              <w:rPr>
                <w:rFonts w:ascii="Arial" w:cs="Arial" w:eastAsia="Arial" w:hAnsi="Arial"/>
                <w:sz w:val="20"/>
                <w:szCs w:val="20"/>
                <w:color w:val="225CAB"/>
                <w:w w:val="97"/>
              </w:rPr>
              <w:t>RORY L.</w:t>
            </w:r>
          </w:p>
        </w:tc>
        <w:tc>
          <w:tcPr>
            <w:tcW w:w="4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gridSpan w:val="3"/>
          </w:tcPr>
          <w:p>
            <w:pPr>
              <w:jc w:val="center"/>
              <w:ind w:right="2820"/>
              <w:spacing w:after="0"/>
              <w:rPr>
                <w:sz w:val="20"/>
                <w:szCs w:val="20"/>
                <w:color w:val="auto"/>
              </w:rPr>
            </w:pPr>
            <w:r>
              <w:rPr>
                <w:rFonts w:ascii="Arial" w:cs="Arial" w:eastAsia="Arial" w:hAnsi="Arial"/>
                <w:sz w:val="20"/>
                <w:szCs w:val="20"/>
                <w:color w:val="225CAB"/>
                <w:w w:val="96"/>
              </w:rPr>
              <w:t>MILLER</w:t>
            </w:r>
          </w:p>
        </w:tc>
        <w:tc>
          <w:tcPr>
            <w:tcW w:w="4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900" w:type="dxa"/>
            <w:vAlign w:val="bottom"/>
            <w:gridSpan w:val="5"/>
          </w:tcPr>
          <w:p>
            <w:pPr>
              <w:jc w:val="center"/>
              <w:ind w:right="2040"/>
              <w:spacing w:after="0"/>
              <w:rPr>
                <w:sz w:val="20"/>
                <w:szCs w:val="20"/>
                <w:color w:val="auto"/>
              </w:rPr>
            </w:pPr>
            <w:r>
              <w:rPr>
                <w:rFonts w:ascii="Arial" w:cs="Arial" w:eastAsia="Arial" w:hAnsi="Arial"/>
                <w:sz w:val="16"/>
                <w:szCs w:val="16"/>
                <w:b w:val="1"/>
                <w:bCs w:val="1"/>
                <w:color w:val="auto"/>
              </w:rPr>
              <w:t>Senior Vice President -</w:t>
            </w:r>
          </w:p>
        </w:tc>
        <w:tc>
          <w:tcPr>
            <w:tcW w:w="4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gridSpan w:val="3"/>
          </w:tcPr>
          <w:p>
            <w:pPr>
              <w:jc w:val="center"/>
              <w:ind w:right="2820"/>
              <w:spacing w:after="0"/>
              <w:rPr>
                <w:sz w:val="20"/>
                <w:szCs w:val="20"/>
                <w:color w:val="auto"/>
              </w:rPr>
            </w:pPr>
            <w:r>
              <w:rPr>
                <w:rFonts w:ascii="Arial" w:cs="Arial" w:eastAsia="Arial" w:hAnsi="Arial"/>
                <w:sz w:val="16"/>
                <w:szCs w:val="16"/>
                <w:b w:val="1"/>
                <w:bCs w:val="1"/>
                <w:color w:val="auto"/>
              </w:rPr>
              <w:t>Atlantic - Gulf</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900" w:type="dxa"/>
            <w:vAlign w:val="bottom"/>
            <w:gridSpan w:val="5"/>
          </w:tcPr>
          <w:p>
            <w:pPr>
              <w:jc w:val="center"/>
              <w:ind w:right="2040"/>
              <w:spacing w:after="0"/>
              <w:rPr>
                <w:sz w:val="20"/>
                <w:szCs w:val="20"/>
                <w:color w:val="auto"/>
              </w:rPr>
            </w:pPr>
            <w:r>
              <w:rPr>
                <w:rFonts w:ascii="Arial" w:cs="Arial" w:eastAsia="Arial" w:hAnsi="Arial"/>
                <w:sz w:val="16"/>
                <w:szCs w:val="16"/>
                <w:b w:val="1"/>
                <w:bCs w:val="1"/>
                <w:color w:val="auto"/>
              </w:rPr>
              <w:t xml:space="preserve">Position held since </w:t>
            </w:r>
            <w:r>
              <w:rPr>
                <w:rFonts w:ascii="Arial" w:cs="Arial" w:eastAsia="Arial" w:hAnsi="Arial"/>
                <w:sz w:val="16"/>
                <w:szCs w:val="16"/>
                <w:color w:val="auto"/>
              </w:rPr>
              <w:t>2013</w:t>
            </w:r>
          </w:p>
        </w:tc>
        <w:tc>
          <w:tcPr>
            <w:tcW w:w="4860" w:type="dxa"/>
            <w:vAlign w:val="bottom"/>
            <w:vMerge w:val="restart"/>
          </w:tcPr>
          <w:p>
            <w:pPr>
              <w:ind w:left="2100"/>
              <w:spacing w:after="0"/>
              <w:rPr>
                <w:sz w:val="20"/>
                <w:szCs w:val="20"/>
                <w:color w:val="auto"/>
              </w:rPr>
            </w:pPr>
            <w:r>
              <w:rPr>
                <w:rFonts w:ascii="Arial" w:cs="Arial" w:eastAsia="Arial" w:hAnsi="Arial"/>
                <w:sz w:val="20"/>
                <w:szCs w:val="20"/>
                <w:b w:val="1"/>
                <w:bCs w:val="1"/>
                <w:color w:val="auto"/>
                <w:w w:val="98"/>
              </w:rPr>
              <w:t xml:space="preserve">2014 Target Compensation </w:t>
            </w: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 xml:space="preserve">Stock ownership </w:t>
            </w:r>
            <w:r>
              <w:rPr>
                <w:rFonts w:ascii="Arial" w:cs="Arial" w:eastAsia="Arial" w:hAnsi="Arial"/>
                <w:sz w:val="12"/>
                <w:szCs w:val="12"/>
                <w:color w:val="auto"/>
              </w:rPr>
              <w:t>(1)</w:t>
            </w:r>
          </w:p>
        </w:tc>
        <w:tc>
          <w:tcPr>
            <w:tcW w:w="2720" w:type="dxa"/>
            <w:vAlign w:val="bottom"/>
            <w:vMerge w:val="restart"/>
          </w:tcPr>
          <w:p>
            <w:pPr>
              <w:spacing w:after="0"/>
              <w:rPr>
                <w:sz w:val="20"/>
                <w:szCs w:val="20"/>
                <w:color w:val="auto"/>
              </w:rPr>
            </w:pPr>
          </w:p>
        </w:tc>
        <w:tc>
          <w:tcPr>
            <w:tcW w:w="4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500" w:type="dxa"/>
            <w:vAlign w:val="bottom"/>
            <w:tcBorders>
              <w:bottom w:val="single" w:sz="8" w:color="auto"/>
            </w:tcBorders>
            <w:gridSpan w:val="3"/>
            <w:vMerge w:val="continue"/>
          </w:tcPr>
          <w:p>
            <w:pPr>
              <w:spacing w:after="0"/>
              <w:rPr>
                <w:sz w:val="3"/>
                <w:szCs w:val="3"/>
                <w:color w:val="auto"/>
              </w:rPr>
            </w:pPr>
          </w:p>
        </w:tc>
        <w:tc>
          <w:tcPr>
            <w:tcW w:w="2720" w:type="dxa"/>
            <w:vAlign w:val="bottom"/>
            <w:vMerge w:val="continue"/>
          </w:tcPr>
          <w:p>
            <w:pPr>
              <w:spacing w:after="0"/>
              <w:rPr>
                <w:sz w:val="3"/>
                <w:szCs w:val="3"/>
                <w:color w:val="auto"/>
              </w:rPr>
            </w:pPr>
          </w:p>
        </w:tc>
        <w:tc>
          <w:tcPr>
            <w:tcW w:w="4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gridSpan w:val="3"/>
          </w:tcPr>
          <w:p>
            <w:pPr>
              <w:jc w:val="center"/>
              <w:ind w:right="2820"/>
              <w:spacing w:after="0"/>
              <w:rPr>
                <w:sz w:val="20"/>
                <w:szCs w:val="20"/>
                <w:color w:val="auto"/>
              </w:rPr>
            </w:pPr>
            <w:r>
              <w:rPr>
                <w:rFonts w:ascii="Arial" w:cs="Arial" w:eastAsia="Arial" w:hAnsi="Arial"/>
                <w:sz w:val="16"/>
                <w:szCs w:val="16"/>
                <w:color w:val="auto"/>
              </w:rPr>
              <w:t>&gt;3x base salary</w:t>
            </w:r>
          </w:p>
        </w:tc>
        <w:tc>
          <w:tcPr>
            <w:tcW w:w="4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900" w:type="dxa"/>
            <w:vAlign w:val="bottom"/>
            <w:gridSpan w:val="5"/>
          </w:tcPr>
          <w:p>
            <w:pPr>
              <w:jc w:val="center"/>
              <w:ind w:right="2040"/>
              <w:spacing w:after="0"/>
              <w:rPr>
                <w:sz w:val="20"/>
                <w:szCs w:val="20"/>
                <w:color w:val="auto"/>
              </w:rPr>
            </w:pPr>
            <w:r>
              <w:rPr>
                <w:rFonts w:ascii="Arial" w:cs="Arial" w:eastAsia="Arial" w:hAnsi="Arial"/>
                <w:sz w:val="16"/>
                <w:szCs w:val="16"/>
                <w:b w:val="1"/>
                <w:bCs w:val="1"/>
                <w:color w:val="auto"/>
              </w:rPr>
              <w:t>Performance-based</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rPr>
              <w:t xml:space="preserve">compensation </w:t>
            </w:r>
            <w:r>
              <w:rPr>
                <w:rFonts w:ascii="Arial" w:cs="Arial" w:eastAsia="Arial" w:hAnsi="Arial"/>
                <w:sz w:val="12"/>
                <w:szCs w:val="12"/>
                <w:color w:val="auto"/>
              </w:rPr>
              <w:t>(2)</w:t>
            </w:r>
          </w:p>
        </w:tc>
        <w:tc>
          <w:tcPr>
            <w:tcW w:w="2820" w:type="dxa"/>
            <w:vAlign w:val="bottom"/>
            <w:gridSpan w:val="2"/>
          </w:tcPr>
          <w:p>
            <w:pPr>
              <w:spacing w:after="0"/>
              <w:rPr>
                <w:sz w:val="15"/>
                <w:szCs w:val="15"/>
                <w:color w:val="auto"/>
              </w:rPr>
            </w:pPr>
          </w:p>
        </w:tc>
        <w:tc>
          <w:tcPr>
            <w:tcW w:w="4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gridSpan w:val="3"/>
          </w:tcPr>
          <w:p>
            <w:pPr>
              <w:jc w:val="center"/>
              <w:ind w:right="2820"/>
              <w:spacing w:after="0"/>
              <w:rPr>
                <w:sz w:val="20"/>
                <w:szCs w:val="20"/>
                <w:color w:val="auto"/>
              </w:rPr>
            </w:pPr>
            <w:r>
              <w:rPr>
                <w:rFonts w:ascii="Arial" w:cs="Arial" w:eastAsia="Arial" w:hAnsi="Arial"/>
                <w:sz w:val="16"/>
                <w:szCs w:val="16"/>
                <w:color w:val="auto"/>
              </w:rPr>
              <w:t>57% of total</w:t>
            </w:r>
          </w:p>
        </w:tc>
        <w:tc>
          <w:tcPr>
            <w:tcW w:w="4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gridSpan w:val="3"/>
          </w:tcPr>
          <w:p>
            <w:pPr>
              <w:jc w:val="center"/>
              <w:ind w:right="2820"/>
              <w:spacing w:after="0"/>
              <w:rPr>
                <w:sz w:val="20"/>
                <w:szCs w:val="20"/>
                <w:color w:val="auto"/>
              </w:rPr>
            </w:pPr>
            <w:r>
              <w:rPr>
                <w:rFonts w:ascii="Arial" w:cs="Arial" w:eastAsia="Arial" w:hAnsi="Arial"/>
                <w:sz w:val="16"/>
                <w:szCs w:val="16"/>
                <w:color w:val="auto"/>
              </w:rPr>
              <w:t>compensation</w:t>
            </w:r>
          </w:p>
        </w:tc>
        <w:tc>
          <w:tcPr>
            <w:tcW w:w="4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80" w:type="dxa"/>
            <w:vAlign w:val="bottom"/>
            <w:tcBorders>
              <w:bottom w:val="single" w:sz="8" w:color="225CAB"/>
            </w:tcBorders>
          </w:tcPr>
          <w:p>
            <w:pPr>
              <w:spacing w:after="0"/>
              <w:rPr>
                <w:sz w:val="15"/>
                <w:szCs w:val="15"/>
                <w:color w:val="auto"/>
              </w:rPr>
            </w:pPr>
          </w:p>
        </w:tc>
        <w:tc>
          <w:tcPr>
            <w:tcW w:w="100" w:type="dxa"/>
            <w:vAlign w:val="bottom"/>
            <w:tcBorders>
              <w:bottom w:val="single" w:sz="8" w:color="225CAB"/>
            </w:tcBorders>
          </w:tcPr>
          <w:p>
            <w:pPr>
              <w:spacing w:after="0"/>
              <w:rPr>
                <w:sz w:val="15"/>
                <w:szCs w:val="15"/>
                <w:color w:val="auto"/>
              </w:rPr>
            </w:pPr>
          </w:p>
        </w:tc>
        <w:tc>
          <w:tcPr>
            <w:tcW w:w="1300" w:type="dxa"/>
            <w:vAlign w:val="bottom"/>
            <w:tcBorders>
              <w:bottom w:val="single" w:sz="8" w:color="225CAB"/>
            </w:tcBorders>
          </w:tcPr>
          <w:p>
            <w:pPr>
              <w:spacing w:after="0"/>
              <w:rPr>
                <w:sz w:val="15"/>
                <w:szCs w:val="15"/>
                <w:color w:val="auto"/>
              </w:rPr>
            </w:pPr>
          </w:p>
        </w:tc>
        <w:tc>
          <w:tcPr>
            <w:tcW w:w="100" w:type="dxa"/>
            <w:vAlign w:val="bottom"/>
            <w:tcBorders>
              <w:bottom w:val="single" w:sz="8" w:color="225CAB"/>
            </w:tcBorders>
          </w:tcPr>
          <w:p>
            <w:pPr>
              <w:spacing w:after="0"/>
              <w:rPr>
                <w:sz w:val="15"/>
                <w:szCs w:val="15"/>
                <w:color w:val="auto"/>
              </w:rPr>
            </w:pPr>
          </w:p>
        </w:tc>
        <w:tc>
          <w:tcPr>
            <w:tcW w:w="2720" w:type="dxa"/>
            <w:vAlign w:val="bottom"/>
            <w:tcBorders>
              <w:bottom w:val="single" w:sz="8" w:color="225CAB"/>
            </w:tcBorders>
          </w:tcPr>
          <w:p>
            <w:pPr>
              <w:spacing w:after="0"/>
              <w:rPr>
                <w:sz w:val="15"/>
                <w:szCs w:val="15"/>
                <w:color w:val="auto"/>
              </w:rPr>
            </w:pPr>
          </w:p>
        </w:tc>
        <w:tc>
          <w:tcPr>
            <w:tcW w:w="4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4900" w:type="dxa"/>
            <w:vAlign w:val="bottom"/>
            <w:gridSpan w:val="5"/>
          </w:tcPr>
          <w:p>
            <w:pPr>
              <w:spacing w:after="0"/>
              <w:rPr>
                <w:sz w:val="20"/>
                <w:szCs w:val="20"/>
                <w:color w:val="auto"/>
              </w:rPr>
            </w:pPr>
            <w:r>
              <w:rPr>
                <w:rFonts w:ascii="Arial" w:cs="Arial" w:eastAsia="Arial" w:hAnsi="Arial"/>
                <w:sz w:val="20"/>
                <w:szCs w:val="20"/>
                <w:b w:val="1"/>
                <w:bCs w:val="1"/>
                <w:color w:val="225CAB"/>
              </w:rPr>
              <w:t xml:space="preserve">2014 Target Compensation </w:t>
            </w:r>
            <w:r>
              <w:rPr>
                <w:rFonts w:ascii="Arial" w:cs="Arial" w:eastAsia="Arial" w:hAnsi="Arial"/>
                <w:sz w:val="14"/>
                <w:szCs w:val="14"/>
                <w:color w:val="225CAB"/>
              </w:rPr>
              <w:t>(3)</w:t>
            </w:r>
          </w:p>
        </w:tc>
        <w:tc>
          <w:tcPr>
            <w:tcW w:w="4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-671195</wp:posOffset>
            </wp:positionV>
            <wp:extent cx="2289810" cy="2847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89810" cy="2847340"/>
                    </a:xfrm>
                    <a:prstGeom prst="rect">
                      <a:avLst/>
                    </a:prstGeom>
                    <a:noFill/>
                  </pic:spPr>
                </pic:pic>
              </a:graphicData>
            </a:graphic>
          </wp:anchor>
        </w:drawing>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520" w:type="dxa"/>
            <w:vAlign w:val="bottom"/>
            <w:tcBorders>
              <w:top w:val="single" w:sz="8" w:color="auto"/>
              <w:left w:val="single" w:sz="8" w:color="auto"/>
            </w:tcBorders>
          </w:tcPr>
          <w:p>
            <w:pPr>
              <w:ind w:left="300"/>
              <w:spacing w:after="0"/>
              <w:rPr>
                <w:sz w:val="20"/>
                <w:szCs w:val="20"/>
                <w:color w:val="auto"/>
              </w:rPr>
            </w:pPr>
            <w:r>
              <w:rPr>
                <w:rFonts w:ascii="Arial" w:cs="Arial" w:eastAsia="Arial" w:hAnsi="Arial"/>
                <w:sz w:val="13"/>
                <w:szCs w:val="13"/>
                <w:color w:val="auto"/>
              </w:rPr>
              <w:t>Long-Term Incentives (LTI)</w:t>
            </w:r>
          </w:p>
        </w:tc>
        <w:tc>
          <w:tcPr>
            <w:tcW w:w="1540" w:type="dxa"/>
            <w:vAlign w:val="bottom"/>
            <w:tcBorders>
              <w:top w:val="single" w:sz="8" w:color="auto"/>
              <w:right w:val="single" w:sz="8" w:color="auto"/>
            </w:tcBorders>
            <w:gridSpan w:val="3"/>
          </w:tcPr>
          <w:p>
            <w:pPr>
              <w:jc w:val="right"/>
              <w:ind w:right="140"/>
              <w:spacing w:after="0"/>
              <w:rPr>
                <w:sz w:val="20"/>
                <w:szCs w:val="20"/>
                <w:color w:val="auto"/>
              </w:rPr>
            </w:pPr>
            <w:r>
              <w:rPr>
                <w:rFonts w:ascii="Arial" w:cs="Arial" w:eastAsia="Arial" w:hAnsi="Arial"/>
                <w:sz w:val="13"/>
                <w:szCs w:val="13"/>
                <w:color w:val="auto"/>
              </w:rPr>
              <w:t>$1,500,000</w:t>
            </w:r>
          </w:p>
        </w:tc>
      </w:tr>
      <w:tr>
        <w:trPr>
          <w:trHeight w:val="135"/>
        </w:trPr>
        <w:tc>
          <w:tcPr>
            <w:tcW w:w="3520" w:type="dxa"/>
            <w:vAlign w:val="bottom"/>
            <w:tcBorders>
              <w:left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Performance-based RSUs</w:t>
            </w:r>
          </w:p>
        </w:tc>
        <w:tc>
          <w:tcPr>
            <w:tcW w:w="154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$675,000</w:t>
            </w:r>
          </w:p>
        </w:tc>
      </w:tr>
      <w:tr>
        <w:trPr>
          <w:trHeight w:val="149"/>
        </w:trPr>
        <w:tc>
          <w:tcPr>
            <w:tcW w:w="3520" w:type="dxa"/>
            <w:vAlign w:val="bottom"/>
            <w:tcBorders>
              <w:left w:val="single" w:sz="8" w:color="auto"/>
            </w:tcBorders>
          </w:tcPr>
          <w:p>
            <w:pPr>
              <w:ind w:left="420"/>
              <w:spacing w:after="0"/>
              <w:rPr>
                <w:sz w:val="20"/>
                <w:szCs w:val="20"/>
                <w:color w:val="auto"/>
              </w:rPr>
            </w:pPr>
            <w:r>
              <w:rPr>
                <w:rFonts w:ascii="Arial" w:cs="Arial" w:eastAsia="Arial" w:hAnsi="Arial"/>
                <w:sz w:val="13"/>
                <w:szCs w:val="13"/>
                <w:color w:val="auto"/>
              </w:rPr>
              <w:t>Time-based RSUs</w:t>
            </w:r>
          </w:p>
        </w:tc>
        <w:tc>
          <w:tcPr>
            <w:tcW w:w="15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3"/>
                <w:szCs w:val="13"/>
                <w:color w:val="auto"/>
              </w:rPr>
              <w:t>$525,000</w:t>
            </w:r>
          </w:p>
        </w:tc>
      </w:tr>
      <w:tr>
        <w:trPr>
          <w:trHeight w:val="149"/>
        </w:trPr>
        <w:tc>
          <w:tcPr>
            <w:tcW w:w="3520" w:type="dxa"/>
            <w:vAlign w:val="bottom"/>
            <w:tcBorders>
              <w:left w:val="single" w:sz="8" w:color="auto"/>
            </w:tcBorders>
            <w:shd w:val="clear" w:color="auto" w:fill="DDE6F2"/>
          </w:tcPr>
          <w:p>
            <w:pPr>
              <w:ind w:left="420"/>
              <w:spacing w:after="0"/>
              <w:rPr>
                <w:sz w:val="20"/>
                <w:szCs w:val="20"/>
                <w:color w:val="auto"/>
              </w:rPr>
            </w:pPr>
            <w:r>
              <w:rPr>
                <w:rFonts w:ascii="Arial" w:cs="Arial" w:eastAsia="Arial" w:hAnsi="Arial"/>
                <w:sz w:val="13"/>
                <w:szCs w:val="13"/>
                <w:color w:val="auto"/>
              </w:rPr>
              <w:t>Stock Options</w:t>
            </w:r>
          </w:p>
        </w:tc>
        <w:tc>
          <w:tcPr>
            <w:tcW w:w="1540" w:type="dxa"/>
            <w:vAlign w:val="bottom"/>
            <w:tcBorders>
              <w:right w:val="single" w:sz="8" w:color="auto"/>
            </w:tcBorders>
            <w:gridSpan w:val="3"/>
            <w:shd w:val="clear" w:color="auto" w:fill="DDE6F2"/>
          </w:tcPr>
          <w:p>
            <w:pPr>
              <w:jc w:val="right"/>
              <w:ind w:right="140"/>
              <w:spacing w:after="0"/>
              <w:rPr>
                <w:sz w:val="20"/>
                <w:szCs w:val="20"/>
                <w:color w:val="auto"/>
              </w:rPr>
            </w:pPr>
            <w:r>
              <w:rPr>
                <w:rFonts w:ascii="Arial" w:cs="Arial" w:eastAsia="Arial" w:hAnsi="Arial"/>
                <w:sz w:val="13"/>
                <w:szCs w:val="13"/>
                <w:color w:val="auto"/>
              </w:rPr>
              <w:t>$300,000</w:t>
            </w:r>
          </w:p>
        </w:tc>
      </w:tr>
      <w:tr>
        <w:trPr>
          <w:trHeight w:val="157"/>
        </w:trPr>
        <w:tc>
          <w:tcPr>
            <w:tcW w:w="3520" w:type="dxa"/>
            <w:vAlign w:val="bottom"/>
            <w:tcBorders>
              <w:left w:val="single" w:sz="8" w:color="auto"/>
            </w:tcBorders>
          </w:tcPr>
          <w:p>
            <w:pPr>
              <w:ind w:left="300"/>
              <w:spacing w:after="0"/>
              <w:rPr>
                <w:sz w:val="20"/>
                <w:szCs w:val="20"/>
                <w:color w:val="auto"/>
              </w:rPr>
            </w:pPr>
            <w:r>
              <w:rPr>
                <w:rFonts w:ascii="Arial" w:cs="Arial" w:eastAsia="Arial" w:hAnsi="Arial"/>
                <w:sz w:val="13"/>
                <w:szCs w:val="13"/>
                <w:color w:val="auto"/>
              </w:rPr>
              <w:t>Short-Term Incentive at Target</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r>
      <w:tr>
        <w:trPr>
          <w:trHeight w:val="154"/>
        </w:trPr>
        <w:tc>
          <w:tcPr>
            <w:tcW w:w="3520" w:type="dxa"/>
            <w:vAlign w:val="bottom"/>
            <w:tcBorders>
              <w:left w:val="single" w:sz="8" w:color="auto"/>
            </w:tcBorders>
            <w:shd w:val="clear" w:color="auto" w:fill="DDE6F2"/>
          </w:tcPr>
          <w:p>
            <w:pPr>
              <w:ind w:left="420"/>
              <w:spacing w:after="0"/>
              <w:rPr>
                <w:sz w:val="20"/>
                <w:szCs w:val="20"/>
                <w:color w:val="auto"/>
              </w:rPr>
            </w:pPr>
            <w:r>
              <w:rPr>
                <w:rFonts w:ascii="Arial" w:cs="Arial" w:eastAsia="Arial" w:hAnsi="Arial"/>
                <w:sz w:val="13"/>
                <w:szCs w:val="13"/>
                <w:color w:val="auto"/>
              </w:rPr>
              <w:t>Annual Incentive Program (“AIP”)</w:t>
            </w:r>
          </w:p>
        </w:tc>
        <w:tc>
          <w:tcPr>
            <w:tcW w:w="1540" w:type="dxa"/>
            <w:vAlign w:val="bottom"/>
            <w:tcBorders>
              <w:right w:val="single" w:sz="8" w:color="auto"/>
            </w:tcBorders>
            <w:gridSpan w:val="3"/>
            <w:shd w:val="clear" w:color="auto" w:fill="DDE6F2"/>
          </w:tcPr>
          <w:p>
            <w:pPr>
              <w:jc w:val="right"/>
              <w:ind w:right="140"/>
              <w:spacing w:after="0"/>
              <w:rPr>
                <w:sz w:val="20"/>
                <w:szCs w:val="20"/>
                <w:color w:val="auto"/>
              </w:rPr>
            </w:pPr>
            <w:r>
              <w:rPr>
                <w:rFonts w:ascii="Arial" w:cs="Arial" w:eastAsia="Arial" w:hAnsi="Arial"/>
                <w:sz w:val="13"/>
                <w:szCs w:val="13"/>
                <w:color w:val="auto"/>
              </w:rPr>
              <w:t>$332,500</w:t>
            </w:r>
          </w:p>
        </w:tc>
      </w:tr>
      <w:tr>
        <w:trPr>
          <w:trHeight w:val="135"/>
        </w:trPr>
        <w:tc>
          <w:tcPr>
            <w:tcW w:w="3520" w:type="dxa"/>
            <w:vAlign w:val="bottom"/>
            <w:tcBorders>
              <w:left w:val="single" w:sz="8" w:color="auto"/>
            </w:tcBorders>
          </w:tcPr>
          <w:p>
            <w:pPr>
              <w:ind w:left="300"/>
              <w:spacing w:after="0" w:line="135" w:lineRule="exact"/>
              <w:rPr>
                <w:sz w:val="20"/>
                <w:szCs w:val="20"/>
                <w:color w:val="auto"/>
              </w:rPr>
            </w:pPr>
            <w:r>
              <w:rPr>
                <w:rFonts w:ascii="Arial" w:cs="Arial" w:eastAsia="Arial" w:hAnsi="Arial"/>
                <w:sz w:val="13"/>
                <w:szCs w:val="13"/>
                <w:color w:val="auto"/>
              </w:rPr>
              <w:t>Base Pay</w:t>
            </w:r>
          </w:p>
        </w:tc>
        <w:tc>
          <w:tcPr>
            <w:tcW w:w="1540" w:type="dxa"/>
            <w:vAlign w:val="bottom"/>
            <w:tcBorders>
              <w:right w:val="single" w:sz="8" w:color="auto"/>
            </w:tcBorders>
            <w:gridSpan w:val="3"/>
          </w:tcPr>
          <w:p>
            <w:pPr>
              <w:jc w:val="right"/>
              <w:ind w:right="140"/>
              <w:spacing w:after="0" w:line="135"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475,000</w:t>
            </w:r>
          </w:p>
        </w:tc>
      </w:tr>
      <w:tr>
        <w:trPr>
          <w:trHeight w:val="20"/>
        </w:trPr>
        <w:tc>
          <w:tcPr>
            <w:tcW w:w="3520" w:type="dxa"/>
            <w:vAlign w:val="bottom"/>
            <w:tcBorders>
              <w:lef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29"/>
        </w:trPr>
        <w:tc>
          <w:tcPr>
            <w:tcW w:w="3520" w:type="dxa"/>
            <w:vAlign w:val="bottom"/>
            <w:tcBorders>
              <w:left w:val="single" w:sz="8" w:color="auto"/>
              <w:bottom w:val="single" w:sz="8" w:color="auto"/>
            </w:tcBorders>
            <w:shd w:val="clear" w:color="auto" w:fill="DDE6F2"/>
          </w:tcPr>
          <w:p>
            <w:pPr>
              <w:ind w:left="300"/>
              <w:spacing w:after="0" w:line="129" w:lineRule="exact"/>
              <w:rPr>
                <w:sz w:val="20"/>
                <w:szCs w:val="20"/>
                <w:color w:val="auto"/>
              </w:rPr>
            </w:pPr>
            <w:r>
              <w:rPr>
                <w:rFonts w:ascii="Arial" w:cs="Arial" w:eastAsia="Arial" w:hAnsi="Arial"/>
                <w:sz w:val="13"/>
                <w:szCs w:val="13"/>
                <w:color w:val="auto"/>
              </w:rPr>
              <w:t>Total Target Compensation</w:t>
            </w:r>
          </w:p>
        </w:tc>
        <w:tc>
          <w:tcPr>
            <w:tcW w:w="1540" w:type="dxa"/>
            <w:vAlign w:val="bottom"/>
            <w:tcBorders>
              <w:bottom w:val="single" w:sz="8" w:color="auto"/>
              <w:right w:val="single" w:sz="8" w:color="auto"/>
            </w:tcBorders>
            <w:gridSpan w:val="3"/>
            <w:shd w:val="clear" w:color="auto" w:fill="DDE6F2"/>
          </w:tcPr>
          <w:p>
            <w:pPr>
              <w:jc w:val="right"/>
              <w:ind w:right="140"/>
              <w:spacing w:after="0" w:line="129" w:lineRule="exact"/>
              <w:rPr>
                <w:sz w:val="20"/>
                <w:szCs w:val="20"/>
                <w:color w:val="auto"/>
              </w:rPr>
            </w:pPr>
            <w:r>
              <w:rPr>
                <w:rFonts w:ascii="Arial" w:cs="Arial" w:eastAsia="Arial" w:hAnsi="Arial"/>
                <w:sz w:val="13"/>
                <w:szCs w:val="13"/>
                <w:color w:val="auto"/>
              </w:rPr>
              <w:t>$2,307,500</w:t>
            </w:r>
          </w:p>
        </w:tc>
      </w:tr>
      <w:tr>
        <w:trPr>
          <w:trHeight w:val="151"/>
        </w:trPr>
        <w:tc>
          <w:tcPr>
            <w:tcW w:w="3520" w:type="dxa"/>
            <w:vAlign w:val="bottom"/>
            <w:tcBorders>
              <w:left w:val="single" w:sz="8" w:color="auto"/>
            </w:tcBorders>
          </w:tcPr>
          <w:p>
            <w:pPr>
              <w:ind w:left="300"/>
              <w:spacing w:after="0"/>
              <w:rPr>
                <w:sz w:val="20"/>
                <w:szCs w:val="20"/>
                <w:color w:val="auto"/>
              </w:rPr>
            </w:pPr>
            <w:r>
              <w:rPr>
                <w:rFonts w:ascii="Arial" w:cs="Arial" w:eastAsia="Arial" w:hAnsi="Arial"/>
                <w:sz w:val="13"/>
                <w:szCs w:val="13"/>
                <w:color w:val="auto"/>
              </w:rPr>
              <w:t>Retirement Benefits</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r>
      <w:tr>
        <w:trPr>
          <w:trHeight w:val="154"/>
        </w:trPr>
        <w:tc>
          <w:tcPr>
            <w:tcW w:w="3520" w:type="dxa"/>
            <w:vAlign w:val="bottom"/>
            <w:tcBorders>
              <w:left w:val="single" w:sz="8" w:color="auto"/>
            </w:tcBorders>
            <w:shd w:val="clear" w:color="auto" w:fill="DDE6F2"/>
          </w:tcPr>
          <w:p>
            <w:pPr>
              <w:ind w:left="420"/>
              <w:spacing w:after="0"/>
              <w:rPr>
                <w:sz w:val="20"/>
                <w:szCs w:val="20"/>
                <w:color w:val="auto"/>
              </w:rPr>
            </w:pPr>
            <w:r>
              <w:rPr>
                <w:rFonts w:ascii="Arial" w:cs="Arial" w:eastAsia="Arial" w:hAnsi="Arial"/>
                <w:sz w:val="13"/>
                <w:szCs w:val="13"/>
                <w:color w:val="auto"/>
              </w:rPr>
              <w:t>Pension (year-over-year change)</w:t>
            </w:r>
          </w:p>
        </w:tc>
        <w:tc>
          <w:tcPr>
            <w:tcW w:w="1540" w:type="dxa"/>
            <w:vAlign w:val="bottom"/>
            <w:tcBorders>
              <w:right w:val="single" w:sz="8" w:color="auto"/>
            </w:tcBorders>
            <w:gridSpan w:val="3"/>
            <w:shd w:val="clear" w:color="auto" w:fill="DDE6F2"/>
          </w:tcPr>
          <w:p>
            <w:pPr>
              <w:jc w:val="right"/>
              <w:ind w:right="140"/>
              <w:spacing w:after="0"/>
              <w:rPr>
                <w:sz w:val="20"/>
                <w:szCs w:val="20"/>
                <w:color w:val="auto"/>
              </w:rPr>
            </w:pPr>
            <w:r>
              <w:rPr>
                <w:rFonts w:ascii="Arial" w:cs="Arial" w:eastAsia="Arial" w:hAnsi="Arial"/>
                <w:sz w:val="13"/>
                <w:szCs w:val="13"/>
                <w:color w:val="auto"/>
              </w:rPr>
              <w:t>$256,520</w:t>
            </w:r>
          </w:p>
        </w:tc>
      </w:tr>
      <w:tr>
        <w:trPr>
          <w:trHeight w:val="149"/>
        </w:trPr>
        <w:tc>
          <w:tcPr>
            <w:tcW w:w="3520" w:type="dxa"/>
            <w:vAlign w:val="bottom"/>
            <w:tcBorders>
              <w:left w:val="single" w:sz="8" w:color="auto"/>
            </w:tcBorders>
          </w:tcPr>
          <w:p>
            <w:pPr>
              <w:ind w:left="420"/>
              <w:spacing w:after="0"/>
              <w:rPr>
                <w:sz w:val="20"/>
                <w:szCs w:val="20"/>
                <w:color w:val="auto"/>
              </w:rPr>
            </w:pPr>
            <w:r>
              <w:rPr>
                <w:rFonts w:ascii="Arial" w:cs="Arial" w:eastAsia="Arial" w:hAnsi="Arial"/>
                <w:sz w:val="13"/>
                <w:szCs w:val="13"/>
                <w:color w:val="auto"/>
              </w:rPr>
              <w:t>Restoration Plan (year-over-year change)</w:t>
            </w:r>
          </w:p>
        </w:tc>
        <w:tc>
          <w:tcPr>
            <w:tcW w:w="15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3"/>
                <w:szCs w:val="13"/>
                <w:color w:val="auto"/>
              </w:rPr>
              <w:t>$291,209</w:t>
            </w:r>
          </w:p>
        </w:tc>
      </w:tr>
      <w:tr>
        <w:trPr>
          <w:trHeight w:val="149"/>
        </w:trPr>
        <w:tc>
          <w:tcPr>
            <w:tcW w:w="3520" w:type="dxa"/>
            <w:vAlign w:val="bottom"/>
            <w:tcBorders>
              <w:left w:val="single" w:sz="8" w:color="auto"/>
              <w:bottom w:val="single" w:sz="8" w:color="auto"/>
            </w:tcBorders>
            <w:shd w:val="clear" w:color="auto" w:fill="DDE6F2"/>
          </w:tcPr>
          <w:p>
            <w:pPr>
              <w:ind w:left="420"/>
              <w:spacing w:after="0"/>
              <w:rPr>
                <w:sz w:val="20"/>
                <w:szCs w:val="20"/>
                <w:color w:val="auto"/>
              </w:rPr>
            </w:pPr>
            <w:r>
              <w:rPr>
                <w:rFonts w:ascii="Arial" w:cs="Arial" w:eastAsia="Arial" w:hAnsi="Arial"/>
                <w:sz w:val="13"/>
                <w:szCs w:val="13"/>
                <w:color w:val="auto"/>
              </w:rPr>
              <w:t>401(k) Company Match</w:t>
            </w:r>
          </w:p>
        </w:tc>
        <w:tc>
          <w:tcPr>
            <w:tcW w:w="1540" w:type="dxa"/>
            <w:vAlign w:val="bottom"/>
            <w:tcBorders>
              <w:bottom w:val="single" w:sz="8" w:color="auto"/>
              <w:right w:val="single" w:sz="8" w:color="auto"/>
            </w:tcBorders>
            <w:gridSpan w:val="3"/>
            <w:shd w:val="clear" w:color="auto" w:fill="DDE6F2"/>
          </w:tcPr>
          <w:p>
            <w:pPr>
              <w:jc w:val="right"/>
              <w:ind w:right="140"/>
              <w:spacing w:after="0"/>
              <w:rPr>
                <w:sz w:val="20"/>
                <w:szCs w:val="20"/>
                <w:color w:val="auto"/>
              </w:rPr>
            </w:pPr>
            <w:r>
              <w:rPr>
                <w:rFonts w:ascii="Arial" w:cs="Arial" w:eastAsia="Arial" w:hAnsi="Arial"/>
                <w:sz w:val="13"/>
                <w:szCs w:val="13"/>
                <w:color w:val="auto"/>
              </w:rPr>
              <w:t>$15,600</w:t>
            </w:r>
          </w:p>
        </w:tc>
      </w:tr>
    </w:tbl>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 xml:space="preserve">Payment Upon Termination </w:t>
      </w:r>
      <w:r>
        <w:rPr>
          <w:rFonts w:ascii="Arial" w:cs="Arial" w:eastAsia="Arial" w:hAnsi="Arial"/>
          <w:sz w:val="20"/>
          <w:szCs w:val="20"/>
          <w:color w:val="225CAB"/>
        </w:rPr>
        <w:t>(as of Dec 31, 2014)</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360" w:type="dxa"/>
            <w:vAlign w:val="bottom"/>
            <w:tcBorders>
              <w:top w:val="single" w:sz="8" w:color="auto"/>
              <w:left w:val="single" w:sz="8" w:color="auto"/>
            </w:tcBorders>
          </w:tcPr>
          <w:p>
            <w:pPr>
              <w:ind w:left="300"/>
              <w:spacing w:after="0"/>
              <w:rPr>
                <w:sz w:val="20"/>
                <w:szCs w:val="20"/>
                <w:color w:val="auto"/>
              </w:rPr>
            </w:pPr>
            <w:r>
              <w:rPr>
                <w:rFonts w:ascii="Arial" w:cs="Arial" w:eastAsia="Arial" w:hAnsi="Arial"/>
                <w:sz w:val="13"/>
                <w:szCs w:val="13"/>
                <w:color w:val="auto"/>
              </w:rPr>
              <w:t>Voluntary Termination</w:t>
            </w:r>
          </w:p>
        </w:tc>
        <w:tc>
          <w:tcPr>
            <w:tcW w:w="1700" w:type="dxa"/>
            <w:vAlign w:val="bottom"/>
            <w:tcBorders>
              <w:top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$0</w:t>
            </w:r>
          </w:p>
        </w:tc>
      </w:tr>
      <w:tr>
        <w:trPr>
          <w:trHeight w:val="149"/>
        </w:trPr>
        <w:tc>
          <w:tcPr>
            <w:tcW w:w="3360" w:type="dxa"/>
            <w:vAlign w:val="bottom"/>
            <w:tcBorders>
              <w:left w:val="single" w:sz="8" w:color="auto"/>
            </w:tcBorders>
            <w:shd w:val="clear" w:color="auto" w:fill="DDE6F2"/>
          </w:tcPr>
          <w:p>
            <w:pPr>
              <w:ind w:left="300"/>
              <w:spacing w:after="0"/>
              <w:rPr>
                <w:sz w:val="20"/>
                <w:szCs w:val="20"/>
                <w:color w:val="auto"/>
              </w:rPr>
            </w:pPr>
            <w:r>
              <w:rPr>
                <w:rFonts w:ascii="Arial" w:cs="Arial" w:eastAsia="Arial" w:hAnsi="Arial"/>
                <w:sz w:val="13"/>
                <w:szCs w:val="13"/>
                <w:color w:val="auto"/>
              </w:rPr>
              <w:t>Termination with Cause</w:t>
            </w:r>
          </w:p>
        </w:tc>
        <w:tc>
          <w:tcPr>
            <w:tcW w:w="1700" w:type="dxa"/>
            <w:vAlign w:val="bottom"/>
            <w:tcBorders>
              <w:right w:val="single" w:sz="8" w:color="auto"/>
            </w:tcBorders>
            <w:shd w:val="clear" w:color="auto" w:fill="DDE6F2"/>
          </w:tcPr>
          <w:p>
            <w:pPr>
              <w:jc w:val="right"/>
              <w:ind w:right="77"/>
              <w:spacing w:after="0"/>
              <w:rPr>
                <w:sz w:val="20"/>
                <w:szCs w:val="20"/>
                <w:color w:val="auto"/>
              </w:rPr>
            </w:pPr>
            <w:r>
              <w:rPr>
                <w:rFonts w:ascii="Arial" w:cs="Arial" w:eastAsia="Arial" w:hAnsi="Arial"/>
                <w:sz w:val="13"/>
                <w:szCs w:val="13"/>
                <w:color w:val="auto"/>
              </w:rPr>
              <w:t>$0</w:t>
            </w:r>
          </w:p>
        </w:tc>
      </w:tr>
      <w:tr>
        <w:trPr>
          <w:trHeight w:val="149"/>
        </w:trPr>
        <w:tc>
          <w:tcPr>
            <w:tcW w:w="3360" w:type="dxa"/>
            <w:vAlign w:val="bottom"/>
            <w:tcBorders>
              <w:left w:val="single" w:sz="8" w:color="auto"/>
            </w:tcBorders>
          </w:tcPr>
          <w:p>
            <w:pPr>
              <w:ind w:left="300"/>
              <w:spacing w:after="0"/>
              <w:rPr>
                <w:sz w:val="20"/>
                <w:szCs w:val="20"/>
                <w:color w:val="auto"/>
              </w:rPr>
            </w:pPr>
            <w:r>
              <w:rPr>
                <w:rFonts w:ascii="Arial" w:cs="Arial" w:eastAsia="Arial" w:hAnsi="Arial"/>
                <w:sz w:val="13"/>
                <w:szCs w:val="13"/>
                <w:color w:val="auto"/>
              </w:rPr>
              <w:t>Involuntary Termination without Cause</w:t>
            </w:r>
          </w:p>
        </w:tc>
        <w:tc>
          <w:tcPr>
            <w:tcW w:w="170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$4,373,721</w:t>
            </w:r>
          </w:p>
        </w:tc>
      </w:tr>
      <w:tr>
        <w:trPr>
          <w:trHeight w:val="149"/>
        </w:trPr>
        <w:tc>
          <w:tcPr>
            <w:tcW w:w="3360" w:type="dxa"/>
            <w:vAlign w:val="bottom"/>
            <w:tcBorders>
              <w:left w:val="single" w:sz="8" w:color="auto"/>
            </w:tcBorders>
            <w:shd w:val="clear" w:color="auto" w:fill="DDE6F2"/>
          </w:tcPr>
          <w:p>
            <w:pPr>
              <w:ind w:left="300"/>
              <w:spacing w:after="0"/>
              <w:rPr>
                <w:sz w:val="20"/>
                <w:szCs w:val="20"/>
                <w:color w:val="auto"/>
              </w:rPr>
            </w:pPr>
            <w:r>
              <w:rPr>
                <w:rFonts w:ascii="Arial" w:cs="Arial" w:eastAsia="Arial" w:hAnsi="Arial"/>
                <w:sz w:val="13"/>
                <w:szCs w:val="13"/>
                <w:color w:val="auto"/>
              </w:rPr>
              <w:t>Retirement</w:t>
            </w:r>
          </w:p>
        </w:tc>
        <w:tc>
          <w:tcPr>
            <w:tcW w:w="1700" w:type="dxa"/>
            <w:vAlign w:val="bottom"/>
            <w:tcBorders>
              <w:right w:val="single" w:sz="8" w:color="auto"/>
            </w:tcBorders>
            <w:shd w:val="clear" w:color="auto" w:fill="DDE6F2"/>
          </w:tcPr>
          <w:p>
            <w:pPr>
              <w:jc w:val="right"/>
              <w:ind w:right="77"/>
              <w:spacing w:after="0"/>
              <w:rPr>
                <w:sz w:val="20"/>
                <w:szCs w:val="20"/>
                <w:color w:val="auto"/>
              </w:rPr>
            </w:pPr>
            <w:r>
              <w:rPr>
                <w:rFonts w:ascii="Arial" w:cs="Arial" w:eastAsia="Arial" w:hAnsi="Arial"/>
                <w:sz w:val="13"/>
                <w:szCs w:val="13"/>
                <w:color w:val="auto"/>
              </w:rPr>
              <w:t>$0</w:t>
            </w:r>
          </w:p>
        </w:tc>
      </w:tr>
      <w:tr>
        <w:trPr>
          <w:trHeight w:val="149"/>
        </w:trPr>
        <w:tc>
          <w:tcPr>
            <w:tcW w:w="3360" w:type="dxa"/>
            <w:vAlign w:val="bottom"/>
            <w:tcBorders>
              <w:left w:val="single" w:sz="8" w:color="auto"/>
            </w:tcBorders>
          </w:tcPr>
          <w:p>
            <w:pPr>
              <w:ind w:left="300"/>
              <w:spacing w:after="0"/>
              <w:rPr>
                <w:sz w:val="20"/>
                <w:szCs w:val="20"/>
                <w:color w:val="auto"/>
              </w:rPr>
            </w:pPr>
            <w:r>
              <w:rPr>
                <w:rFonts w:ascii="Arial" w:cs="Arial" w:eastAsia="Arial" w:hAnsi="Arial"/>
                <w:sz w:val="13"/>
                <w:szCs w:val="13"/>
                <w:color w:val="auto"/>
              </w:rPr>
              <w:t>Death or Disability</w:t>
            </w:r>
          </w:p>
        </w:tc>
        <w:tc>
          <w:tcPr>
            <w:tcW w:w="170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$5,112,102</w:t>
            </w:r>
          </w:p>
        </w:tc>
      </w:tr>
      <w:tr>
        <w:trPr>
          <w:trHeight w:val="149"/>
        </w:trPr>
        <w:tc>
          <w:tcPr>
            <w:tcW w:w="3360" w:type="dxa"/>
            <w:vAlign w:val="bottom"/>
            <w:tcBorders>
              <w:left w:val="single" w:sz="8" w:color="auto"/>
              <w:bottom w:val="single" w:sz="8" w:color="auto"/>
            </w:tcBorders>
            <w:shd w:val="clear" w:color="auto" w:fill="DDE6F2"/>
          </w:tcPr>
          <w:p>
            <w:pPr>
              <w:ind w:left="300"/>
              <w:spacing w:after="0"/>
              <w:rPr>
                <w:sz w:val="20"/>
                <w:szCs w:val="20"/>
                <w:color w:val="auto"/>
              </w:rPr>
            </w:pPr>
            <w:r>
              <w:rPr>
                <w:rFonts w:ascii="Arial" w:cs="Arial" w:eastAsia="Arial" w:hAnsi="Arial"/>
                <w:sz w:val="13"/>
                <w:szCs w:val="13"/>
                <w:color w:val="auto"/>
              </w:rPr>
              <w:t>Change in Control</w:t>
            </w:r>
          </w:p>
        </w:tc>
        <w:tc>
          <w:tcPr>
            <w:tcW w:w="1700" w:type="dxa"/>
            <w:vAlign w:val="bottom"/>
            <w:tcBorders>
              <w:bottom w:val="single" w:sz="8" w:color="auto"/>
              <w:right w:val="single" w:sz="8" w:color="auto"/>
            </w:tcBorders>
            <w:shd w:val="clear" w:color="auto" w:fill="DDE6F2"/>
          </w:tcPr>
          <w:p>
            <w:pPr>
              <w:jc w:val="right"/>
              <w:ind w:right="77"/>
              <w:spacing w:after="0"/>
              <w:rPr>
                <w:sz w:val="20"/>
                <w:szCs w:val="20"/>
                <w:color w:val="auto"/>
              </w:rPr>
            </w:pPr>
            <w:r>
              <w:rPr>
                <w:rFonts w:ascii="Arial" w:cs="Arial" w:eastAsia="Arial" w:hAnsi="Arial"/>
                <w:sz w:val="13"/>
                <w:szCs w:val="13"/>
                <w:color w:val="auto"/>
              </w:rPr>
              <w:t>$9,643,473</w:t>
            </w:r>
          </w:p>
        </w:tc>
      </w:tr>
    </w:tbl>
    <w:p>
      <w:pPr>
        <w:spacing w:after="0" w:line="126" w:lineRule="exact"/>
        <w:rPr>
          <w:sz w:val="20"/>
          <w:szCs w:val="20"/>
          <w:color w:val="auto"/>
        </w:rPr>
      </w:pPr>
    </w:p>
    <w:p>
      <w:pPr>
        <w:ind w:left="340" w:hanging="332"/>
        <w:spacing w:after="0" w:line="24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Miller’s ownership in our common stock exceeded the required NEO ownership threshold of three times base salary. Only shares owned outright and time-based RSUs count as owned for purposes of the program.</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Performance-based compensation includes performance-based RSUs, stock options, and AIP.</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2014 Compensation reflects target pay and consists of annual base pay, AIP at target, and the targeted long-term incentive grant. These amounts will differ from the Summary Compensation Table. The retirement benefits are valued in the same manner shown in the Summary Compensation Table.</w:t>
      </w:r>
    </w:p>
    <w:p>
      <w:pPr>
        <w:spacing w:after="0" w:line="11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33</w:t>
            </w: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205740</wp:posOffset>
            </wp:positionV>
            <wp:extent cx="171513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680" w:type="dxa"/>
            <w:vAlign w:val="bottom"/>
            <w:tcBorders>
              <w:top w:val="single" w:sz="8" w:color="225CAB"/>
              <w:left w:val="single" w:sz="8" w:color="225CAB"/>
            </w:tcBorders>
          </w:tcPr>
          <w:p>
            <w:pPr>
              <w:spacing w:after="0"/>
              <w:rPr>
                <w:sz w:val="22"/>
                <w:szCs w:val="22"/>
                <w:color w:val="auto"/>
              </w:rPr>
            </w:pPr>
          </w:p>
        </w:tc>
        <w:tc>
          <w:tcPr>
            <w:tcW w:w="100" w:type="dxa"/>
            <w:vAlign w:val="bottom"/>
            <w:tcBorders>
              <w:top w:val="single" w:sz="8" w:color="225CAB"/>
            </w:tcBorders>
          </w:tcPr>
          <w:p>
            <w:pPr>
              <w:spacing w:after="0"/>
              <w:rPr>
                <w:sz w:val="22"/>
                <w:szCs w:val="22"/>
                <w:color w:val="auto"/>
              </w:rPr>
            </w:pPr>
          </w:p>
        </w:tc>
        <w:tc>
          <w:tcPr>
            <w:tcW w:w="1300" w:type="dxa"/>
            <w:vAlign w:val="bottom"/>
            <w:tcBorders>
              <w:top w:val="single" w:sz="8" w:color="225CAB"/>
            </w:tcBorders>
          </w:tcPr>
          <w:p>
            <w:pPr>
              <w:spacing w:after="0"/>
              <w:rPr>
                <w:sz w:val="22"/>
                <w:szCs w:val="22"/>
                <w:color w:val="auto"/>
              </w:rPr>
            </w:pPr>
          </w:p>
        </w:tc>
        <w:tc>
          <w:tcPr>
            <w:tcW w:w="100" w:type="dxa"/>
            <w:vAlign w:val="bottom"/>
            <w:tcBorders>
              <w:top w:val="single" w:sz="8" w:color="225CAB"/>
            </w:tcBorders>
          </w:tcPr>
          <w:p>
            <w:pPr>
              <w:spacing w:after="0"/>
              <w:rPr>
                <w:sz w:val="22"/>
                <w:szCs w:val="22"/>
                <w:color w:val="auto"/>
              </w:rPr>
            </w:pPr>
          </w:p>
        </w:tc>
        <w:tc>
          <w:tcPr>
            <w:tcW w:w="560" w:type="dxa"/>
            <w:vAlign w:val="bottom"/>
            <w:tcBorders>
              <w:top w:val="single" w:sz="8" w:color="225CAB"/>
              <w:right w:val="single" w:sz="8" w:color="225CAB"/>
            </w:tcBorders>
          </w:tcPr>
          <w:p>
            <w:pPr>
              <w:spacing w:after="0"/>
              <w:rPr>
                <w:sz w:val="22"/>
                <w:szCs w:val="22"/>
                <w:color w:val="auto"/>
              </w:rPr>
            </w:pPr>
          </w:p>
        </w:tc>
        <w:tc>
          <w:tcPr>
            <w:tcW w:w="100" w:type="dxa"/>
            <w:vAlign w:val="bottom"/>
          </w:tcPr>
          <w:p>
            <w:pPr>
              <w:spacing w:after="0"/>
              <w:rPr>
                <w:sz w:val="22"/>
                <w:szCs w:val="22"/>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Mr. Dearborn, 57, served as a senior leader for Saudi Basic Industries Corporation, a petrochemical company, from</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2011 to 2013. From 2001 to 2011, Mr. Dearborn served in a variety of leadership positions with the Dow Chemical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Company. Mr. Dearborn also worked for Union Carbide Corporation, prior to its merger with DOW, from 1981 to 2001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where he served in several leadership roles. Mr. Dearborn also served as Senior Vice President—NGL &amp; Petchem</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Services of the general partner of Pre-merger Williams Partners from 2013 until the Merger and has served in that role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8560" w:type="dxa"/>
            <w:vAlign w:val="bottom"/>
            <w:gridSpan w:val="2"/>
          </w:tcPr>
          <w:p>
            <w:pPr>
              <w:ind w:left="100"/>
              <w:spacing w:after="0"/>
              <w:rPr>
                <w:sz w:val="20"/>
                <w:szCs w:val="20"/>
                <w:color w:val="auto"/>
              </w:rPr>
            </w:pPr>
            <w:r>
              <w:rPr>
                <w:rFonts w:ascii="Arial" w:cs="Arial" w:eastAsia="Arial" w:hAnsi="Arial"/>
                <w:sz w:val="16"/>
                <w:szCs w:val="16"/>
                <w:color w:val="auto"/>
              </w:rPr>
              <w:t>for the general partner of Williams Partners since the Merger.</w:t>
            </w:r>
          </w:p>
        </w:tc>
        <w:tc>
          <w:tcPr>
            <w:tcW w:w="0" w:type="dxa"/>
            <w:vAlign w:val="bottom"/>
          </w:tcPr>
          <w:p>
            <w:pPr>
              <w:spacing w:after="0"/>
              <w:rPr>
                <w:sz w:val="1"/>
                <w:szCs w:val="1"/>
                <w:color w:val="auto"/>
              </w:rPr>
            </w:pPr>
          </w:p>
        </w:tc>
      </w:tr>
      <w:tr>
        <w:trPr>
          <w:trHeight w:val="937"/>
        </w:trPr>
        <w:tc>
          <w:tcPr>
            <w:tcW w:w="20" w:type="dxa"/>
            <w:vAlign w:val="bottom"/>
          </w:tcPr>
          <w:p>
            <w:pPr>
              <w:spacing w:after="0"/>
              <w:rPr>
                <w:sz w:val="24"/>
                <w:szCs w:val="24"/>
                <w:color w:val="auto"/>
              </w:rPr>
            </w:pPr>
          </w:p>
        </w:tc>
        <w:tc>
          <w:tcPr>
            <w:tcW w:w="680" w:type="dxa"/>
            <w:vAlign w:val="bottom"/>
            <w:tcBorders>
              <w:left w:val="single" w:sz="8" w:color="225CAB"/>
            </w:tcBorders>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right w:val="single" w:sz="8" w:color="225CAB"/>
            </w:tcBorders>
            <w:gridSpan w:val="3"/>
          </w:tcPr>
          <w:p>
            <w:pPr>
              <w:jc w:val="center"/>
              <w:ind w:right="660"/>
              <w:spacing w:after="0"/>
              <w:rPr>
                <w:sz w:val="20"/>
                <w:szCs w:val="20"/>
                <w:color w:val="auto"/>
              </w:rPr>
            </w:pPr>
            <w:r>
              <w:rPr>
                <w:rFonts w:ascii="Arial" w:cs="Arial" w:eastAsia="Arial" w:hAnsi="Arial"/>
                <w:sz w:val="20"/>
                <w:szCs w:val="20"/>
                <w:b w:val="1"/>
                <w:bCs w:val="1"/>
                <w:color w:val="225CAB"/>
              </w:rPr>
              <w:t>JOHN R.</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80" w:type="dxa"/>
            <w:vAlign w:val="bottom"/>
            <w:tcBorders>
              <w:left w:val="single" w:sz="8" w:color="225CAB"/>
            </w:tcBorders>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Borders>
              <w:right w:val="single" w:sz="8" w:color="225CAB"/>
            </w:tcBorders>
            <w:gridSpan w:val="3"/>
          </w:tcPr>
          <w:p>
            <w:pPr>
              <w:jc w:val="center"/>
              <w:ind w:right="660"/>
              <w:spacing w:after="0"/>
              <w:rPr>
                <w:sz w:val="20"/>
                <w:szCs w:val="20"/>
                <w:color w:val="auto"/>
              </w:rPr>
            </w:pPr>
            <w:r>
              <w:rPr>
                <w:rFonts w:ascii="Arial" w:cs="Arial" w:eastAsia="Arial" w:hAnsi="Arial"/>
                <w:sz w:val="20"/>
                <w:szCs w:val="20"/>
                <w:b w:val="1"/>
                <w:bCs w:val="1"/>
                <w:color w:val="225CAB"/>
                <w:w w:val="98"/>
              </w:rPr>
              <w:t>DEARBORN</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40" w:type="dxa"/>
            <w:vAlign w:val="bottom"/>
            <w:tcBorders>
              <w:left w:val="single" w:sz="8" w:color="225CAB"/>
              <w:right w:val="single" w:sz="8" w:color="225CAB"/>
            </w:tcBorders>
            <w:gridSpan w:val="5"/>
          </w:tcPr>
          <w:p>
            <w:pPr>
              <w:jc w:val="center"/>
              <w:ind w:left="35"/>
              <w:spacing w:after="0"/>
              <w:rPr>
                <w:sz w:val="20"/>
                <w:szCs w:val="20"/>
                <w:color w:val="auto"/>
              </w:rPr>
            </w:pPr>
            <w:r>
              <w:rPr>
                <w:rFonts w:ascii="Arial" w:cs="Arial" w:eastAsia="Arial" w:hAnsi="Arial"/>
                <w:sz w:val="16"/>
                <w:szCs w:val="16"/>
                <w:b w:val="1"/>
                <w:bCs w:val="1"/>
                <w:color w:val="auto"/>
              </w:rPr>
              <w:t>Senior Vice President -</w:t>
            </w:r>
          </w:p>
        </w:tc>
        <w:tc>
          <w:tcPr>
            <w:tcW w:w="1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500" w:type="dxa"/>
            <w:vAlign w:val="bottom"/>
            <w:vMerge w:val="restart"/>
          </w:tcPr>
          <w:p>
            <w:pPr>
              <w:ind w:left="2100"/>
              <w:spacing w:after="0"/>
              <w:rPr>
                <w:sz w:val="20"/>
                <w:szCs w:val="20"/>
                <w:color w:val="auto"/>
              </w:rPr>
            </w:pPr>
            <w:r>
              <w:rPr>
                <w:rFonts w:ascii="Arial" w:cs="Arial" w:eastAsia="Arial" w:hAnsi="Arial"/>
                <w:sz w:val="20"/>
                <w:szCs w:val="20"/>
                <w:b w:val="1"/>
                <w:bCs w:val="1"/>
                <w:color w:val="auto"/>
              </w:rPr>
              <w:t xml:space="preserve">2014 Target Compensation </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tcBorders>
              <w:left w:val="single" w:sz="8" w:color="225CAB"/>
              <w:right w:val="single" w:sz="8" w:color="225CAB"/>
            </w:tcBorders>
            <w:gridSpan w:val="5"/>
            <w:vMerge w:val="restart"/>
          </w:tcPr>
          <w:p>
            <w:pPr>
              <w:jc w:val="center"/>
              <w:ind w:left="35"/>
              <w:spacing w:after="0"/>
              <w:rPr>
                <w:sz w:val="20"/>
                <w:szCs w:val="20"/>
                <w:color w:val="auto"/>
              </w:rPr>
            </w:pPr>
            <w:r>
              <w:rPr>
                <w:rFonts w:ascii="Arial" w:cs="Arial" w:eastAsia="Arial" w:hAnsi="Arial"/>
                <w:sz w:val="16"/>
                <w:szCs w:val="16"/>
                <w:b w:val="1"/>
                <w:bCs w:val="1"/>
                <w:color w:val="auto"/>
              </w:rPr>
              <w:t>NGL &amp; Petchem Services</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740" w:type="dxa"/>
            <w:vAlign w:val="bottom"/>
            <w:tcBorders>
              <w:left w:val="single" w:sz="8" w:color="225CAB"/>
              <w:right w:val="single" w:sz="8" w:color="225CAB"/>
            </w:tcBorders>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6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740" w:type="dxa"/>
            <w:vAlign w:val="bottom"/>
            <w:tcBorders>
              <w:left w:val="single" w:sz="8" w:color="225CAB"/>
              <w:right w:val="single" w:sz="8" w:color="225CAB"/>
            </w:tcBorders>
            <w:gridSpan w:val="5"/>
          </w:tcPr>
          <w:p>
            <w:pPr>
              <w:jc w:val="center"/>
              <w:ind w:left="35"/>
              <w:spacing w:after="0"/>
              <w:rPr>
                <w:sz w:val="20"/>
                <w:szCs w:val="20"/>
                <w:color w:val="auto"/>
              </w:rPr>
            </w:pPr>
            <w:r>
              <w:rPr>
                <w:rFonts w:ascii="Arial" w:cs="Arial" w:eastAsia="Arial" w:hAnsi="Arial"/>
                <w:sz w:val="16"/>
                <w:szCs w:val="16"/>
                <w:b w:val="1"/>
                <w:bCs w:val="1"/>
                <w:color w:val="auto"/>
              </w:rPr>
              <w:t xml:space="preserve">Position held since </w:t>
            </w:r>
            <w:r>
              <w:rPr>
                <w:rFonts w:ascii="Arial" w:cs="Arial" w:eastAsia="Arial" w:hAnsi="Arial"/>
                <w:sz w:val="16"/>
                <w:szCs w:val="16"/>
                <w:color w:val="auto"/>
              </w:rPr>
              <w:t>2013</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80" w:type="dxa"/>
            <w:vAlign w:val="bottom"/>
            <w:tcBorders>
              <w:left w:val="single" w:sz="8" w:color="225CAB"/>
            </w:tcBorders>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 xml:space="preserve">Stock ownership </w:t>
            </w:r>
            <w:r>
              <w:rPr>
                <w:rFonts w:ascii="Arial" w:cs="Arial" w:eastAsia="Arial" w:hAnsi="Arial"/>
                <w:sz w:val="12"/>
                <w:szCs w:val="12"/>
                <w:color w:val="auto"/>
              </w:rPr>
              <w:t>(1)</w:t>
            </w:r>
          </w:p>
        </w:tc>
        <w:tc>
          <w:tcPr>
            <w:tcW w:w="560" w:type="dxa"/>
            <w:vAlign w:val="bottom"/>
            <w:tcBorders>
              <w:right w:val="single" w:sz="8" w:color="225CAB"/>
            </w:tcBorders>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Borders>
              <w:left w:val="single" w:sz="8" w:color="225CAB"/>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225CAB"/>
            </w:tcBorders>
            <w:gridSpan w:val="3"/>
          </w:tcPr>
          <w:p>
            <w:pPr>
              <w:jc w:val="center"/>
              <w:ind w:right="660"/>
              <w:spacing w:after="0"/>
              <w:rPr>
                <w:sz w:val="20"/>
                <w:szCs w:val="20"/>
                <w:color w:val="auto"/>
              </w:rPr>
            </w:pPr>
            <w:r>
              <w:rPr>
                <w:rFonts w:ascii="Arial" w:cs="Arial" w:eastAsia="Arial" w:hAnsi="Arial"/>
                <w:sz w:val="16"/>
                <w:szCs w:val="16"/>
                <w:color w:val="auto"/>
              </w:rPr>
              <w:t>&gt;3x base salary</w:t>
            </w: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740" w:type="dxa"/>
            <w:vAlign w:val="bottom"/>
            <w:tcBorders>
              <w:left w:val="single" w:sz="8" w:color="225CAB"/>
              <w:right w:val="single" w:sz="8" w:color="225CAB"/>
            </w:tcBorders>
            <w:gridSpan w:val="5"/>
          </w:tcPr>
          <w:p>
            <w:pPr>
              <w:jc w:val="center"/>
              <w:ind w:left="35"/>
              <w:spacing w:after="0"/>
              <w:rPr>
                <w:sz w:val="20"/>
                <w:szCs w:val="20"/>
                <w:color w:val="auto"/>
              </w:rPr>
            </w:pPr>
            <w:r>
              <w:rPr>
                <w:rFonts w:ascii="Arial" w:cs="Arial" w:eastAsia="Arial" w:hAnsi="Arial"/>
                <w:sz w:val="16"/>
                <w:szCs w:val="16"/>
                <w:b w:val="1"/>
                <w:bCs w:val="1"/>
                <w:color w:val="auto"/>
              </w:rPr>
              <w:t>Performance-based</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Borders>
              <w:left w:val="single" w:sz="8" w:color="225CAB"/>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rPr>
              <w:t xml:space="preserve">compensation </w:t>
            </w:r>
            <w:r>
              <w:rPr>
                <w:rFonts w:ascii="Arial" w:cs="Arial" w:eastAsia="Arial" w:hAnsi="Arial"/>
                <w:sz w:val="12"/>
                <w:szCs w:val="12"/>
                <w:color w:val="auto"/>
              </w:rPr>
              <w:t>(2)</w:t>
            </w:r>
          </w:p>
        </w:tc>
        <w:tc>
          <w:tcPr>
            <w:tcW w:w="660" w:type="dxa"/>
            <w:vAlign w:val="bottom"/>
            <w:tcBorders>
              <w:right w:val="single" w:sz="8" w:color="225CAB"/>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tcBorders>
              <w:left w:val="single" w:sz="8" w:color="225CAB"/>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225CAB"/>
            </w:tcBorders>
            <w:gridSpan w:val="3"/>
          </w:tcPr>
          <w:p>
            <w:pPr>
              <w:jc w:val="center"/>
              <w:ind w:right="660"/>
              <w:spacing w:after="0"/>
              <w:rPr>
                <w:sz w:val="20"/>
                <w:szCs w:val="20"/>
                <w:color w:val="auto"/>
              </w:rPr>
            </w:pPr>
            <w:r>
              <w:rPr>
                <w:rFonts w:ascii="Arial" w:cs="Arial" w:eastAsia="Arial" w:hAnsi="Arial"/>
                <w:sz w:val="16"/>
                <w:szCs w:val="16"/>
                <w:color w:val="auto"/>
              </w:rPr>
              <w:t>56% of total</w:t>
            </w: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Borders>
              <w:left w:val="single" w:sz="8" w:color="225CAB"/>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right w:val="single" w:sz="8" w:color="225CAB"/>
            </w:tcBorders>
            <w:gridSpan w:val="3"/>
          </w:tcPr>
          <w:p>
            <w:pPr>
              <w:jc w:val="center"/>
              <w:ind w:right="660"/>
              <w:spacing w:after="0"/>
              <w:rPr>
                <w:sz w:val="20"/>
                <w:szCs w:val="20"/>
                <w:color w:val="auto"/>
              </w:rPr>
            </w:pPr>
            <w:r>
              <w:rPr>
                <w:rFonts w:ascii="Arial" w:cs="Arial" w:eastAsia="Arial" w:hAnsi="Arial"/>
                <w:sz w:val="16"/>
                <w:szCs w:val="16"/>
                <w:color w:val="auto"/>
              </w:rPr>
              <w:t>compensation</w:t>
            </w: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80" w:type="dxa"/>
            <w:vAlign w:val="bottom"/>
            <w:tcBorders>
              <w:left w:val="single" w:sz="8" w:color="225CAB"/>
              <w:bottom w:val="single" w:sz="8" w:color="225CAB"/>
            </w:tcBorders>
          </w:tcPr>
          <w:p>
            <w:pPr>
              <w:spacing w:after="0"/>
              <w:rPr>
                <w:sz w:val="11"/>
                <w:szCs w:val="11"/>
                <w:color w:val="auto"/>
              </w:rPr>
            </w:pPr>
          </w:p>
        </w:tc>
        <w:tc>
          <w:tcPr>
            <w:tcW w:w="100" w:type="dxa"/>
            <w:vAlign w:val="bottom"/>
            <w:tcBorders>
              <w:bottom w:val="single" w:sz="8" w:color="225CAB"/>
            </w:tcBorders>
          </w:tcPr>
          <w:p>
            <w:pPr>
              <w:spacing w:after="0"/>
              <w:rPr>
                <w:sz w:val="11"/>
                <w:szCs w:val="11"/>
                <w:color w:val="auto"/>
              </w:rPr>
            </w:pPr>
          </w:p>
        </w:tc>
        <w:tc>
          <w:tcPr>
            <w:tcW w:w="1300" w:type="dxa"/>
            <w:vAlign w:val="bottom"/>
            <w:tcBorders>
              <w:bottom w:val="single" w:sz="8" w:color="225CAB"/>
            </w:tcBorders>
          </w:tcPr>
          <w:p>
            <w:pPr>
              <w:spacing w:after="0"/>
              <w:rPr>
                <w:sz w:val="11"/>
                <w:szCs w:val="11"/>
                <w:color w:val="auto"/>
              </w:rPr>
            </w:pPr>
          </w:p>
        </w:tc>
        <w:tc>
          <w:tcPr>
            <w:tcW w:w="100" w:type="dxa"/>
            <w:vAlign w:val="bottom"/>
            <w:tcBorders>
              <w:bottom w:val="single" w:sz="8" w:color="225CAB"/>
            </w:tcBorders>
          </w:tcPr>
          <w:p>
            <w:pPr>
              <w:spacing w:after="0"/>
              <w:rPr>
                <w:sz w:val="11"/>
                <w:szCs w:val="11"/>
                <w:color w:val="auto"/>
              </w:rPr>
            </w:pPr>
          </w:p>
        </w:tc>
        <w:tc>
          <w:tcPr>
            <w:tcW w:w="560" w:type="dxa"/>
            <w:vAlign w:val="bottom"/>
            <w:tcBorders>
              <w:bottom w:val="single" w:sz="8" w:color="225CAB"/>
              <w:right w:val="single" w:sz="8" w:color="225CAB"/>
            </w:tcBorders>
          </w:tcPr>
          <w:p>
            <w:pPr>
              <w:spacing w:after="0"/>
              <w:rPr>
                <w:sz w:val="11"/>
                <w:szCs w:val="11"/>
                <w:color w:val="auto"/>
              </w:rPr>
            </w:pPr>
          </w:p>
        </w:tc>
        <w:tc>
          <w:tcPr>
            <w:tcW w:w="100" w:type="dxa"/>
            <w:vAlign w:val="bottom"/>
            <w:tcBorders>
              <w:bottom w:val="single" w:sz="8" w:color="225CAB"/>
            </w:tcBorders>
          </w:tcPr>
          <w:p>
            <w:pPr>
              <w:spacing w:after="0"/>
              <w:rPr>
                <w:sz w:val="11"/>
                <w:szCs w:val="11"/>
                <w:color w:val="auto"/>
              </w:rPr>
            </w:pPr>
          </w:p>
        </w:tc>
        <w:tc>
          <w:tcPr>
            <w:tcW w:w="2060" w:type="dxa"/>
            <w:vAlign w:val="bottom"/>
            <w:tcBorders>
              <w:bottom w:val="single" w:sz="8" w:color="225CAB"/>
            </w:tcBorders>
          </w:tcPr>
          <w:p>
            <w:pPr>
              <w:spacing w:after="0"/>
              <w:rPr>
                <w:sz w:val="11"/>
                <w:szCs w:val="11"/>
                <w:color w:val="auto"/>
              </w:rPr>
            </w:pPr>
          </w:p>
        </w:tc>
        <w:tc>
          <w:tcPr>
            <w:tcW w:w="6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840" w:type="dxa"/>
            <w:vAlign w:val="bottom"/>
            <w:gridSpan w:val="6"/>
          </w:tcPr>
          <w:p>
            <w:pPr>
              <w:spacing w:after="0"/>
              <w:rPr>
                <w:sz w:val="20"/>
                <w:szCs w:val="20"/>
                <w:color w:val="auto"/>
              </w:rPr>
            </w:pPr>
            <w:r>
              <w:rPr>
                <w:rFonts w:ascii="Arial" w:cs="Arial" w:eastAsia="Arial" w:hAnsi="Arial"/>
                <w:sz w:val="20"/>
                <w:szCs w:val="20"/>
                <w:b w:val="1"/>
                <w:bCs w:val="1"/>
                <w:color w:val="225CAB"/>
              </w:rPr>
              <w:t xml:space="preserve">2014 Target Compensation </w:t>
            </w:r>
            <w:r>
              <w:rPr>
                <w:rFonts w:ascii="Arial" w:cs="Arial" w:eastAsia="Arial" w:hAnsi="Arial"/>
                <w:sz w:val="14"/>
                <w:szCs w:val="14"/>
                <w:color w:val="225CAB"/>
              </w:rPr>
              <w:t>(3)</w:t>
            </w:r>
          </w:p>
        </w:tc>
        <w:tc>
          <w:tcPr>
            <w:tcW w:w="206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-3081020</wp:posOffset>
            </wp:positionV>
            <wp:extent cx="823595" cy="1157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3595" cy="11576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49"/>
        </w:trPr>
        <w:tc>
          <w:tcPr>
            <w:tcW w:w="3520" w:type="dxa"/>
            <w:vAlign w:val="bottom"/>
            <w:tcBorders>
              <w:top w:val="single" w:sz="8" w:color="auto"/>
              <w:left w:val="single" w:sz="8" w:color="auto"/>
            </w:tcBorders>
          </w:tcPr>
          <w:p>
            <w:pPr>
              <w:ind w:left="300"/>
              <w:spacing w:after="0"/>
              <w:rPr>
                <w:sz w:val="20"/>
                <w:szCs w:val="20"/>
                <w:color w:val="auto"/>
              </w:rPr>
            </w:pPr>
            <w:r>
              <w:rPr>
                <w:rFonts w:ascii="Arial" w:cs="Arial" w:eastAsia="Arial" w:hAnsi="Arial"/>
                <w:sz w:val="13"/>
                <w:szCs w:val="13"/>
                <w:color w:val="auto"/>
              </w:rPr>
              <w:t>Long-Term Incentives (LTI)</w:t>
            </w:r>
          </w:p>
        </w:tc>
        <w:tc>
          <w:tcPr>
            <w:tcW w:w="1540" w:type="dxa"/>
            <w:vAlign w:val="bottom"/>
            <w:tcBorders>
              <w:top w:val="single" w:sz="8" w:color="auto"/>
              <w:right w:val="single" w:sz="8" w:color="auto"/>
            </w:tcBorders>
            <w:gridSpan w:val="3"/>
          </w:tcPr>
          <w:p>
            <w:pPr>
              <w:jc w:val="right"/>
              <w:ind w:right="140"/>
              <w:spacing w:after="0"/>
              <w:rPr>
                <w:sz w:val="20"/>
                <w:szCs w:val="20"/>
                <w:color w:val="auto"/>
              </w:rPr>
            </w:pPr>
            <w:r>
              <w:rPr>
                <w:rFonts w:ascii="Arial" w:cs="Arial" w:eastAsia="Arial" w:hAnsi="Arial"/>
                <w:sz w:val="13"/>
                <w:szCs w:val="13"/>
                <w:color w:val="auto"/>
              </w:rPr>
              <w:t>$1,400,000</w:t>
            </w:r>
          </w:p>
        </w:tc>
      </w:tr>
      <w:tr>
        <w:trPr>
          <w:trHeight w:val="135"/>
        </w:trPr>
        <w:tc>
          <w:tcPr>
            <w:tcW w:w="3520" w:type="dxa"/>
            <w:vAlign w:val="bottom"/>
            <w:tcBorders>
              <w:left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Performance-based RSUs</w:t>
            </w:r>
          </w:p>
        </w:tc>
        <w:tc>
          <w:tcPr>
            <w:tcW w:w="154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$630,000</w:t>
            </w:r>
          </w:p>
        </w:tc>
      </w:tr>
      <w:tr>
        <w:trPr>
          <w:trHeight w:val="135"/>
        </w:trPr>
        <w:tc>
          <w:tcPr>
            <w:tcW w:w="3520" w:type="dxa"/>
            <w:vAlign w:val="bottom"/>
            <w:tcBorders>
              <w:left w:val="single" w:sz="8" w:color="auto"/>
            </w:tcBorders>
          </w:tcPr>
          <w:p>
            <w:pPr>
              <w:ind w:left="420"/>
              <w:spacing w:after="0" w:line="135" w:lineRule="exact"/>
              <w:rPr>
                <w:sz w:val="20"/>
                <w:szCs w:val="20"/>
                <w:color w:val="auto"/>
              </w:rPr>
            </w:pPr>
            <w:r>
              <w:rPr>
                <w:rFonts w:ascii="Arial" w:cs="Arial" w:eastAsia="Arial" w:hAnsi="Arial"/>
                <w:sz w:val="13"/>
                <w:szCs w:val="13"/>
                <w:color w:val="auto"/>
              </w:rPr>
              <w:t>Time-based RSUs</w:t>
            </w:r>
          </w:p>
        </w:tc>
        <w:tc>
          <w:tcPr>
            <w:tcW w:w="1540" w:type="dxa"/>
            <w:vAlign w:val="bottom"/>
            <w:tcBorders>
              <w:right w:val="single" w:sz="8" w:color="auto"/>
            </w:tcBorders>
            <w:gridSpan w:val="3"/>
          </w:tcPr>
          <w:p>
            <w:pPr>
              <w:jc w:val="right"/>
              <w:ind w:right="140"/>
              <w:spacing w:after="0" w:line="135" w:lineRule="exact"/>
              <w:rPr>
                <w:sz w:val="20"/>
                <w:szCs w:val="20"/>
                <w:color w:val="auto"/>
              </w:rPr>
            </w:pPr>
            <w:r>
              <w:rPr>
                <w:rFonts w:ascii="Arial" w:cs="Arial" w:eastAsia="Arial" w:hAnsi="Arial"/>
                <w:sz w:val="13"/>
                <w:szCs w:val="13"/>
                <w:color w:val="auto"/>
              </w:rPr>
              <w:t>$490,000</w:t>
            </w:r>
          </w:p>
        </w:tc>
      </w:tr>
      <w:tr>
        <w:trPr>
          <w:trHeight w:val="135"/>
        </w:trPr>
        <w:tc>
          <w:tcPr>
            <w:tcW w:w="3520" w:type="dxa"/>
            <w:vAlign w:val="bottom"/>
            <w:tcBorders>
              <w:left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Stock Options</w:t>
            </w:r>
          </w:p>
        </w:tc>
        <w:tc>
          <w:tcPr>
            <w:tcW w:w="154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$280,000</w:t>
            </w:r>
          </w:p>
        </w:tc>
      </w:tr>
      <w:tr>
        <w:trPr>
          <w:trHeight w:val="149"/>
        </w:trPr>
        <w:tc>
          <w:tcPr>
            <w:tcW w:w="3520" w:type="dxa"/>
            <w:vAlign w:val="bottom"/>
            <w:tcBorders>
              <w:left w:val="single" w:sz="8" w:color="auto"/>
            </w:tcBorders>
          </w:tcPr>
          <w:p>
            <w:pPr>
              <w:ind w:left="300"/>
              <w:spacing w:after="0"/>
              <w:rPr>
                <w:sz w:val="20"/>
                <w:szCs w:val="20"/>
                <w:color w:val="auto"/>
              </w:rPr>
            </w:pPr>
            <w:r>
              <w:rPr>
                <w:rFonts w:ascii="Arial" w:cs="Arial" w:eastAsia="Arial" w:hAnsi="Arial"/>
                <w:sz w:val="13"/>
                <w:szCs w:val="13"/>
                <w:color w:val="auto"/>
              </w:rPr>
              <w:t>Short-Term Incentive at Target</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r>
      <w:tr>
        <w:trPr>
          <w:trHeight w:val="135"/>
        </w:trPr>
        <w:tc>
          <w:tcPr>
            <w:tcW w:w="3520" w:type="dxa"/>
            <w:vAlign w:val="bottom"/>
            <w:tcBorders>
              <w:left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Annual Incentive Program (“AIP”)</w:t>
            </w:r>
          </w:p>
        </w:tc>
        <w:tc>
          <w:tcPr>
            <w:tcW w:w="154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$289,250</w:t>
            </w:r>
          </w:p>
        </w:tc>
      </w:tr>
      <w:tr>
        <w:trPr>
          <w:trHeight w:val="122"/>
        </w:trPr>
        <w:tc>
          <w:tcPr>
            <w:tcW w:w="3520" w:type="dxa"/>
            <w:vAlign w:val="bottom"/>
            <w:tcBorders>
              <w:left w:val="single" w:sz="8" w:color="auto"/>
            </w:tcBorders>
          </w:tcPr>
          <w:p>
            <w:pPr>
              <w:ind w:left="300"/>
              <w:spacing w:after="0" w:line="122" w:lineRule="exact"/>
              <w:rPr>
                <w:sz w:val="20"/>
                <w:szCs w:val="20"/>
                <w:color w:val="auto"/>
              </w:rPr>
            </w:pPr>
            <w:r>
              <w:rPr>
                <w:rFonts w:ascii="Arial" w:cs="Arial" w:eastAsia="Arial" w:hAnsi="Arial"/>
                <w:sz w:val="13"/>
                <w:szCs w:val="13"/>
                <w:color w:val="auto"/>
              </w:rPr>
              <w:t>Base Pay</w:t>
            </w:r>
          </w:p>
        </w:tc>
        <w:tc>
          <w:tcPr>
            <w:tcW w:w="1540" w:type="dxa"/>
            <w:vAlign w:val="bottom"/>
            <w:tcBorders>
              <w:right w:val="single" w:sz="8" w:color="auto"/>
            </w:tcBorders>
            <w:gridSpan w:val="3"/>
          </w:tcPr>
          <w:p>
            <w:pPr>
              <w:jc w:val="right"/>
              <w:ind w:right="140"/>
              <w:spacing w:after="0" w:line="122"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445,000</w:t>
            </w:r>
          </w:p>
        </w:tc>
      </w:tr>
      <w:tr>
        <w:trPr>
          <w:trHeight w:val="20"/>
        </w:trPr>
        <w:tc>
          <w:tcPr>
            <w:tcW w:w="3520" w:type="dxa"/>
            <w:vAlign w:val="bottom"/>
            <w:tcBorders>
              <w:lef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29"/>
        </w:trPr>
        <w:tc>
          <w:tcPr>
            <w:tcW w:w="3520" w:type="dxa"/>
            <w:vAlign w:val="bottom"/>
            <w:tcBorders>
              <w:left w:val="single" w:sz="8" w:color="auto"/>
              <w:bottom w:val="single" w:sz="8" w:color="auto"/>
            </w:tcBorders>
            <w:shd w:val="clear" w:color="auto" w:fill="DDE6F2"/>
          </w:tcPr>
          <w:p>
            <w:pPr>
              <w:ind w:left="300"/>
              <w:spacing w:after="0" w:line="129" w:lineRule="exact"/>
              <w:rPr>
                <w:sz w:val="20"/>
                <w:szCs w:val="20"/>
                <w:color w:val="auto"/>
              </w:rPr>
            </w:pPr>
            <w:r>
              <w:rPr>
                <w:rFonts w:ascii="Arial" w:cs="Arial" w:eastAsia="Arial" w:hAnsi="Arial"/>
                <w:sz w:val="13"/>
                <w:szCs w:val="13"/>
                <w:color w:val="auto"/>
              </w:rPr>
              <w:t>Total Target Compensation</w:t>
            </w:r>
          </w:p>
        </w:tc>
        <w:tc>
          <w:tcPr>
            <w:tcW w:w="1540" w:type="dxa"/>
            <w:vAlign w:val="bottom"/>
            <w:tcBorders>
              <w:bottom w:val="single" w:sz="8" w:color="auto"/>
              <w:right w:val="single" w:sz="8" w:color="auto"/>
            </w:tcBorders>
            <w:gridSpan w:val="3"/>
            <w:shd w:val="clear" w:color="auto" w:fill="DDE6F2"/>
          </w:tcPr>
          <w:p>
            <w:pPr>
              <w:jc w:val="right"/>
              <w:ind w:right="140"/>
              <w:spacing w:after="0" w:line="129" w:lineRule="exact"/>
              <w:rPr>
                <w:sz w:val="20"/>
                <w:szCs w:val="20"/>
                <w:color w:val="auto"/>
              </w:rPr>
            </w:pPr>
            <w:r>
              <w:rPr>
                <w:rFonts w:ascii="Arial" w:cs="Arial" w:eastAsia="Arial" w:hAnsi="Arial"/>
                <w:sz w:val="13"/>
                <w:szCs w:val="13"/>
                <w:color w:val="auto"/>
              </w:rPr>
              <w:t>$2,134,250</w:t>
            </w:r>
          </w:p>
        </w:tc>
      </w:tr>
      <w:tr>
        <w:trPr>
          <w:trHeight w:val="142"/>
        </w:trPr>
        <w:tc>
          <w:tcPr>
            <w:tcW w:w="3520" w:type="dxa"/>
            <w:vAlign w:val="bottom"/>
            <w:tcBorders>
              <w:left w:val="single" w:sz="8" w:color="auto"/>
            </w:tcBorders>
          </w:tcPr>
          <w:p>
            <w:pPr>
              <w:ind w:left="300"/>
              <w:spacing w:after="0" w:line="143" w:lineRule="exact"/>
              <w:rPr>
                <w:sz w:val="20"/>
                <w:szCs w:val="20"/>
                <w:color w:val="auto"/>
              </w:rPr>
            </w:pPr>
            <w:r>
              <w:rPr>
                <w:rFonts w:ascii="Arial" w:cs="Arial" w:eastAsia="Arial" w:hAnsi="Arial"/>
                <w:sz w:val="13"/>
                <w:szCs w:val="13"/>
                <w:color w:val="auto"/>
              </w:rPr>
              <w:t>Retirement Benefits</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r>
      <w:tr>
        <w:trPr>
          <w:trHeight w:val="135"/>
        </w:trPr>
        <w:tc>
          <w:tcPr>
            <w:tcW w:w="3520" w:type="dxa"/>
            <w:vAlign w:val="bottom"/>
            <w:tcBorders>
              <w:left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Pension (year-over-year change)</w:t>
            </w:r>
          </w:p>
        </w:tc>
        <w:tc>
          <w:tcPr>
            <w:tcW w:w="154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$48,144</w:t>
            </w:r>
          </w:p>
        </w:tc>
      </w:tr>
      <w:tr>
        <w:trPr>
          <w:trHeight w:val="135"/>
        </w:trPr>
        <w:tc>
          <w:tcPr>
            <w:tcW w:w="3520" w:type="dxa"/>
            <w:vAlign w:val="bottom"/>
            <w:tcBorders>
              <w:left w:val="single" w:sz="8" w:color="auto"/>
            </w:tcBorders>
          </w:tcPr>
          <w:p>
            <w:pPr>
              <w:ind w:left="420"/>
              <w:spacing w:after="0" w:line="135" w:lineRule="exact"/>
              <w:rPr>
                <w:sz w:val="20"/>
                <w:szCs w:val="20"/>
                <w:color w:val="auto"/>
              </w:rPr>
            </w:pPr>
            <w:r>
              <w:rPr>
                <w:rFonts w:ascii="Arial" w:cs="Arial" w:eastAsia="Arial" w:hAnsi="Arial"/>
                <w:sz w:val="13"/>
                <w:szCs w:val="13"/>
                <w:color w:val="auto"/>
              </w:rPr>
              <w:t>Restoration Plan (year-over-year change)</w:t>
            </w:r>
          </w:p>
        </w:tc>
        <w:tc>
          <w:tcPr>
            <w:tcW w:w="1540" w:type="dxa"/>
            <w:vAlign w:val="bottom"/>
            <w:tcBorders>
              <w:right w:val="single" w:sz="8" w:color="auto"/>
            </w:tcBorders>
            <w:gridSpan w:val="3"/>
          </w:tcPr>
          <w:p>
            <w:pPr>
              <w:jc w:val="right"/>
              <w:ind w:right="140"/>
              <w:spacing w:after="0" w:line="135" w:lineRule="exact"/>
              <w:rPr>
                <w:sz w:val="20"/>
                <w:szCs w:val="20"/>
                <w:color w:val="auto"/>
              </w:rPr>
            </w:pPr>
            <w:r>
              <w:rPr>
                <w:rFonts w:ascii="Arial" w:cs="Arial" w:eastAsia="Arial" w:hAnsi="Arial"/>
                <w:sz w:val="13"/>
                <w:szCs w:val="13"/>
                <w:color w:val="auto"/>
              </w:rPr>
              <w:t>$100,306</w:t>
            </w:r>
          </w:p>
        </w:tc>
      </w:tr>
      <w:tr>
        <w:trPr>
          <w:trHeight w:val="135"/>
        </w:trPr>
        <w:tc>
          <w:tcPr>
            <w:tcW w:w="3520" w:type="dxa"/>
            <w:vAlign w:val="bottom"/>
            <w:tcBorders>
              <w:left w:val="single" w:sz="8" w:color="auto"/>
              <w:bottom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401(k) Company Match</w:t>
            </w:r>
          </w:p>
        </w:tc>
        <w:tc>
          <w:tcPr>
            <w:tcW w:w="1540" w:type="dxa"/>
            <w:vAlign w:val="bottom"/>
            <w:tcBorders>
              <w:bottom w:val="single" w:sz="8" w:color="auto"/>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$15,600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 xml:space="preserve">Payment Upon Termination </w:t>
      </w:r>
      <w:r>
        <w:rPr>
          <w:rFonts w:ascii="Arial" w:cs="Arial" w:eastAsia="Arial" w:hAnsi="Arial"/>
          <w:sz w:val="20"/>
          <w:szCs w:val="20"/>
          <w:color w:val="225CAB"/>
        </w:rPr>
        <w:t>(as of Dec 31, 2014)</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360" w:type="dxa"/>
            <w:vAlign w:val="bottom"/>
            <w:tcBorders>
              <w:top w:val="single" w:sz="8" w:color="auto"/>
              <w:left w:val="single" w:sz="8" w:color="auto"/>
            </w:tcBorders>
          </w:tcPr>
          <w:p>
            <w:pPr>
              <w:ind w:left="300"/>
              <w:spacing w:after="0"/>
              <w:rPr>
                <w:sz w:val="20"/>
                <w:szCs w:val="20"/>
                <w:color w:val="auto"/>
              </w:rPr>
            </w:pPr>
            <w:r>
              <w:rPr>
                <w:rFonts w:ascii="Arial" w:cs="Arial" w:eastAsia="Arial" w:hAnsi="Arial"/>
                <w:sz w:val="13"/>
                <w:szCs w:val="13"/>
                <w:color w:val="auto"/>
              </w:rPr>
              <w:t>Voluntary Termination</w:t>
            </w:r>
          </w:p>
        </w:tc>
        <w:tc>
          <w:tcPr>
            <w:tcW w:w="1700" w:type="dxa"/>
            <w:vAlign w:val="bottom"/>
            <w:tcBorders>
              <w:top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$0</w:t>
            </w:r>
          </w:p>
        </w:tc>
      </w:tr>
      <w:tr>
        <w:trPr>
          <w:trHeight w:val="135"/>
        </w:trPr>
        <w:tc>
          <w:tcPr>
            <w:tcW w:w="3360" w:type="dxa"/>
            <w:vAlign w:val="bottom"/>
            <w:tcBorders>
              <w:left w:val="single" w:sz="8" w:color="auto"/>
            </w:tcBorders>
            <w:shd w:val="clear" w:color="auto" w:fill="DDE6F2"/>
          </w:tcPr>
          <w:p>
            <w:pPr>
              <w:ind w:left="300"/>
              <w:spacing w:after="0" w:line="135" w:lineRule="exact"/>
              <w:rPr>
                <w:sz w:val="20"/>
                <w:szCs w:val="20"/>
                <w:color w:val="auto"/>
              </w:rPr>
            </w:pPr>
            <w:r>
              <w:rPr>
                <w:rFonts w:ascii="Arial" w:cs="Arial" w:eastAsia="Arial" w:hAnsi="Arial"/>
                <w:sz w:val="13"/>
                <w:szCs w:val="13"/>
                <w:color w:val="auto"/>
              </w:rPr>
              <w:t>Termination with Cause</w:t>
            </w:r>
          </w:p>
        </w:tc>
        <w:tc>
          <w:tcPr>
            <w:tcW w:w="1700" w:type="dxa"/>
            <w:vAlign w:val="bottom"/>
            <w:tcBorders>
              <w:right w:val="single" w:sz="8" w:color="auto"/>
            </w:tcBorders>
            <w:shd w:val="clear" w:color="auto" w:fill="DDE6F2"/>
          </w:tcPr>
          <w:p>
            <w:pPr>
              <w:jc w:val="right"/>
              <w:ind w:right="77"/>
              <w:spacing w:after="0" w:line="135" w:lineRule="exact"/>
              <w:rPr>
                <w:sz w:val="20"/>
                <w:szCs w:val="20"/>
                <w:color w:val="auto"/>
              </w:rPr>
            </w:pPr>
            <w:r>
              <w:rPr>
                <w:rFonts w:ascii="Arial" w:cs="Arial" w:eastAsia="Arial" w:hAnsi="Arial"/>
                <w:sz w:val="13"/>
                <w:szCs w:val="13"/>
                <w:color w:val="auto"/>
              </w:rPr>
              <w:t>$0</w:t>
            </w:r>
          </w:p>
        </w:tc>
      </w:tr>
      <w:tr>
        <w:trPr>
          <w:trHeight w:val="135"/>
        </w:trPr>
        <w:tc>
          <w:tcPr>
            <w:tcW w:w="3360" w:type="dxa"/>
            <w:vAlign w:val="bottom"/>
            <w:tcBorders>
              <w:left w:val="single" w:sz="8" w:color="auto"/>
            </w:tcBorders>
          </w:tcPr>
          <w:p>
            <w:pPr>
              <w:ind w:left="300"/>
              <w:spacing w:after="0" w:line="135" w:lineRule="exact"/>
              <w:rPr>
                <w:sz w:val="20"/>
                <w:szCs w:val="20"/>
                <w:color w:val="auto"/>
              </w:rPr>
            </w:pPr>
            <w:r>
              <w:rPr>
                <w:rFonts w:ascii="Arial" w:cs="Arial" w:eastAsia="Arial" w:hAnsi="Arial"/>
                <w:sz w:val="13"/>
                <w:szCs w:val="13"/>
                <w:color w:val="auto"/>
              </w:rPr>
              <w:t>Involuntary Termination without Cause</w:t>
            </w:r>
          </w:p>
        </w:tc>
        <w:tc>
          <w:tcPr>
            <w:tcW w:w="170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$2,133,111</w:t>
            </w:r>
          </w:p>
        </w:tc>
      </w:tr>
      <w:tr>
        <w:trPr>
          <w:trHeight w:val="135"/>
        </w:trPr>
        <w:tc>
          <w:tcPr>
            <w:tcW w:w="3360" w:type="dxa"/>
            <w:vAlign w:val="bottom"/>
            <w:tcBorders>
              <w:left w:val="single" w:sz="8" w:color="auto"/>
            </w:tcBorders>
            <w:shd w:val="clear" w:color="auto" w:fill="DDE6F2"/>
          </w:tcPr>
          <w:p>
            <w:pPr>
              <w:ind w:left="300"/>
              <w:spacing w:after="0" w:line="135" w:lineRule="exact"/>
              <w:rPr>
                <w:sz w:val="20"/>
                <w:szCs w:val="20"/>
                <w:color w:val="auto"/>
              </w:rPr>
            </w:pPr>
            <w:r>
              <w:rPr>
                <w:rFonts w:ascii="Arial" w:cs="Arial" w:eastAsia="Arial" w:hAnsi="Arial"/>
                <w:sz w:val="13"/>
                <w:szCs w:val="13"/>
                <w:color w:val="auto"/>
              </w:rPr>
              <w:t>Retirement</w:t>
            </w:r>
          </w:p>
        </w:tc>
        <w:tc>
          <w:tcPr>
            <w:tcW w:w="1700" w:type="dxa"/>
            <w:vAlign w:val="bottom"/>
            <w:tcBorders>
              <w:right w:val="single" w:sz="8" w:color="auto"/>
            </w:tcBorders>
            <w:shd w:val="clear" w:color="auto" w:fill="DDE6F2"/>
          </w:tcPr>
          <w:p>
            <w:pPr>
              <w:jc w:val="right"/>
              <w:ind w:right="77"/>
              <w:spacing w:after="0" w:line="135" w:lineRule="exact"/>
              <w:rPr>
                <w:sz w:val="20"/>
                <w:szCs w:val="20"/>
                <w:color w:val="auto"/>
              </w:rPr>
            </w:pPr>
            <w:r>
              <w:rPr>
                <w:rFonts w:ascii="Arial" w:cs="Arial" w:eastAsia="Arial" w:hAnsi="Arial"/>
                <w:sz w:val="13"/>
                <w:szCs w:val="13"/>
                <w:color w:val="auto"/>
              </w:rPr>
              <w:t>$0</w:t>
            </w:r>
          </w:p>
        </w:tc>
      </w:tr>
      <w:tr>
        <w:trPr>
          <w:trHeight w:val="135"/>
        </w:trPr>
        <w:tc>
          <w:tcPr>
            <w:tcW w:w="3360" w:type="dxa"/>
            <w:vAlign w:val="bottom"/>
            <w:tcBorders>
              <w:left w:val="single" w:sz="8" w:color="auto"/>
            </w:tcBorders>
          </w:tcPr>
          <w:p>
            <w:pPr>
              <w:ind w:left="300"/>
              <w:spacing w:after="0" w:line="135" w:lineRule="exact"/>
              <w:rPr>
                <w:sz w:val="20"/>
                <w:szCs w:val="20"/>
                <w:color w:val="auto"/>
              </w:rPr>
            </w:pPr>
            <w:r>
              <w:rPr>
                <w:rFonts w:ascii="Arial" w:cs="Arial" w:eastAsia="Arial" w:hAnsi="Arial"/>
                <w:sz w:val="13"/>
                <w:szCs w:val="13"/>
                <w:color w:val="auto"/>
              </w:rPr>
              <w:t>Death or Disability</w:t>
            </w:r>
          </w:p>
        </w:tc>
        <w:tc>
          <w:tcPr>
            <w:tcW w:w="170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$2,245,608</w:t>
            </w:r>
          </w:p>
        </w:tc>
      </w:tr>
      <w:tr>
        <w:trPr>
          <w:trHeight w:val="135"/>
        </w:trPr>
        <w:tc>
          <w:tcPr>
            <w:tcW w:w="3360" w:type="dxa"/>
            <w:vAlign w:val="bottom"/>
            <w:tcBorders>
              <w:left w:val="single" w:sz="8" w:color="auto"/>
              <w:bottom w:val="single" w:sz="8" w:color="auto"/>
            </w:tcBorders>
            <w:shd w:val="clear" w:color="auto" w:fill="DDE6F2"/>
          </w:tcPr>
          <w:p>
            <w:pPr>
              <w:ind w:left="300"/>
              <w:spacing w:after="0" w:line="135" w:lineRule="exact"/>
              <w:rPr>
                <w:sz w:val="20"/>
                <w:szCs w:val="20"/>
                <w:color w:val="auto"/>
              </w:rPr>
            </w:pPr>
            <w:r>
              <w:rPr>
                <w:rFonts w:ascii="Arial" w:cs="Arial" w:eastAsia="Arial" w:hAnsi="Arial"/>
                <w:sz w:val="13"/>
                <w:szCs w:val="13"/>
                <w:color w:val="auto"/>
              </w:rPr>
              <w:t>Change in Control</w:t>
            </w:r>
          </w:p>
        </w:tc>
        <w:tc>
          <w:tcPr>
            <w:tcW w:w="1700" w:type="dxa"/>
            <w:vAlign w:val="bottom"/>
            <w:tcBorders>
              <w:bottom w:val="single" w:sz="8" w:color="auto"/>
              <w:right w:val="single" w:sz="8" w:color="auto"/>
            </w:tcBorders>
            <w:shd w:val="clear" w:color="auto" w:fill="DDE6F2"/>
          </w:tcPr>
          <w:p>
            <w:pPr>
              <w:jc w:val="right"/>
              <w:ind w:right="77"/>
              <w:spacing w:after="0" w:line="135" w:lineRule="exact"/>
              <w:rPr>
                <w:sz w:val="20"/>
                <w:szCs w:val="20"/>
                <w:color w:val="auto"/>
              </w:rPr>
            </w:pPr>
            <w:r>
              <w:rPr>
                <w:rFonts w:ascii="Arial" w:cs="Arial" w:eastAsia="Arial" w:hAnsi="Arial"/>
                <w:sz w:val="13"/>
                <w:szCs w:val="13"/>
                <w:color w:val="auto"/>
              </w:rPr>
              <w:t>$6,102,745</w:t>
            </w:r>
          </w:p>
        </w:tc>
      </w:tr>
    </w:tbl>
    <w:p>
      <w:pPr>
        <w:spacing w:after="0" w:line="126" w:lineRule="exact"/>
        <w:rPr>
          <w:sz w:val="20"/>
          <w:szCs w:val="20"/>
          <w:color w:val="auto"/>
        </w:rPr>
      </w:pPr>
    </w:p>
    <w:p>
      <w:pPr>
        <w:ind w:left="340" w:right="2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Dearborn’s ownership in our common stock exceeded the required NEO ownership threshold of three times base salary. Only shares owned outright and time-based RSUs count as owned for purposes of the program.</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Performance-based compensation includes performance-based RSUs, stock options, and AIP.</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2014 Compensation reflects target pay and consists of annual base pay, AIP at target, and the targeted long-term incentive grant. These amounts will differ from the Summary Compensation Table. The retirement benefits are valued in the same manner shown in the Summary Compensation Table.</w:t>
      </w:r>
    </w:p>
    <w:p>
      <w:pPr>
        <w:spacing w:after="0" w:line="11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34</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220345</wp:posOffset>
            </wp:positionV>
            <wp:extent cx="171513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51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3121660" cy="31216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21660" cy="31216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225CAB"/>
        </w:rPr>
        <w:t>JAMES E.</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225CAB"/>
        </w:rPr>
        <w:t>SCHEEL</w:t>
      </w:r>
    </w:p>
    <w:p>
      <w:pPr>
        <w:spacing w:after="0" w:line="93"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color w:val="auto"/>
        </w:rPr>
        <w:t>Senior Vice President -</w:t>
      </w:r>
    </w:p>
    <w:p>
      <w:pPr>
        <w:spacing w:after="0" w:line="25"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color w:val="auto"/>
        </w:rPr>
        <w:t>Northeast G&amp;P</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Position held since </w:t>
      </w:r>
      <w:r>
        <w:rPr>
          <w:rFonts w:ascii="Arial" w:cs="Arial" w:eastAsia="Arial" w:hAnsi="Arial"/>
          <w:sz w:val="16"/>
          <w:szCs w:val="16"/>
          <w:color w:val="auto"/>
        </w:rPr>
        <w:t>2014</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 xml:space="preserve">Stock ownership </w:t>
      </w:r>
      <w:r>
        <w:rPr>
          <w:rFonts w:ascii="Arial" w:cs="Arial" w:eastAsia="Arial" w:hAnsi="Arial"/>
          <w:sz w:val="12"/>
          <w:szCs w:val="12"/>
          <w:u w:val="single" w:color="auto"/>
          <w:color w:val="auto"/>
        </w:rPr>
        <w:t>(1)</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&gt;3x base salary</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Performance-based</w:t>
      </w:r>
    </w:p>
    <w:p>
      <w:pPr>
        <w:spacing w:after="0" w:line="25"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u w:val="single" w:color="auto"/>
          <w:color w:val="auto"/>
        </w:rPr>
        <w:t xml:space="preserve">compensation </w:t>
      </w:r>
      <w:r>
        <w:rPr>
          <w:rFonts w:ascii="Arial" w:cs="Arial" w:eastAsia="Arial" w:hAnsi="Arial"/>
          <w:sz w:val="12"/>
          <w:szCs w:val="12"/>
          <w:u w:val="single" w:color="auto"/>
          <w:color w:val="auto"/>
        </w:rPr>
        <w:t>(2)</w:t>
      </w:r>
    </w:p>
    <w:p>
      <w:pPr>
        <w:spacing w:after="0" w:line="5"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56% of total</w:t>
      </w:r>
    </w:p>
    <w:p>
      <w:pPr>
        <w:spacing w:after="0" w:line="5"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Scheel, 50, served as Senior Vice President—Corporate Strategic Development of us and the general partner of Pre-merger Williams Partners from 2012 to 2014. From 2011 until 2012, Mr. Scheel served as Vice President of Business Development for our midstream business. Mr. Scheel joined Williams in 1988 and has served in leadership roles in business strategic development, engineering and operations, our NGL business, and international operations. Mr. Scheel has served as a director and Senior Vice President – Northeast G&amp;P of the general partner of Williams Partners since the Merger, having previously served as a director of the general partner of Williams Partners from 2012 to February 2014. Mr. Scheel served as a director of the general partner of Pre-merger Williams Partners from 2012 until the Merger.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 xml:space="preserve">2014 Target Compensation </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291465</wp:posOffset>
            </wp:positionV>
            <wp:extent cx="2289810" cy="2830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89810" cy="2830195"/>
                    </a:xfrm>
                    <a:prstGeom prst="rect">
                      <a:avLst/>
                    </a:prstGeom>
                    <a:noFill/>
                  </pic:spPr>
                </pic:pic>
              </a:graphicData>
            </a:graphic>
          </wp:anchor>
        </w:drawing>
      </w:r>
    </w:p>
    <w:p>
      <w:pPr>
        <w:spacing w:after="0" w:line="2209" w:lineRule="exact"/>
        <w:rPr>
          <w:sz w:val="20"/>
          <w:szCs w:val="20"/>
          <w:color w:val="auto"/>
        </w:rPr>
      </w:pPr>
    </w:p>
    <w:p>
      <w:pPr>
        <w:sectPr>
          <w:pgSz w:w="11900" w:h="16838" w:orient="portrait"/>
          <w:cols w:equalWidth="0" w:num="2">
            <w:col w:w="2400" w:space="560"/>
            <w:col w:w="8460"/>
          </w:cols>
          <w:pgMar w:left="240" w:top="459" w:right="2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 xml:space="preserve">2014 Target Compensation </w:t>
      </w:r>
      <w:r>
        <w:rPr>
          <w:rFonts w:ascii="Arial" w:cs="Arial" w:eastAsia="Arial" w:hAnsi="Arial"/>
          <w:sz w:val="14"/>
          <w:szCs w:val="14"/>
          <w:color w:val="225CAB"/>
        </w:rPr>
        <w:t>(3)</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520" w:type="dxa"/>
            <w:vAlign w:val="bottom"/>
            <w:tcBorders>
              <w:top w:val="single" w:sz="8" w:color="auto"/>
              <w:left w:val="single" w:sz="8" w:color="auto"/>
            </w:tcBorders>
          </w:tcPr>
          <w:p>
            <w:pPr>
              <w:ind w:left="300"/>
              <w:spacing w:after="0"/>
              <w:rPr>
                <w:sz w:val="20"/>
                <w:szCs w:val="20"/>
                <w:color w:val="auto"/>
              </w:rPr>
            </w:pPr>
            <w:r>
              <w:rPr>
                <w:rFonts w:ascii="Arial" w:cs="Arial" w:eastAsia="Arial" w:hAnsi="Arial"/>
                <w:sz w:val="13"/>
                <w:szCs w:val="13"/>
                <w:color w:val="auto"/>
              </w:rPr>
              <w:t>Long-Term Incentives (LTI)</w:t>
            </w:r>
          </w:p>
        </w:tc>
        <w:tc>
          <w:tcPr>
            <w:tcW w:w="1540" w:type="dxa"/>
            <w:vAlign w:val="bottom"/>
            <w:tcBorders>
              <w:top w:val="single" w:sz="8" w:color="auto"/>
              <w:right w:val="single" w:sz="8" w:color="auto"/>
            </w:tcBorders>
            <w:gridSpan w:val="3"/>
          </w:tcPr>
          <w:p>
            <w:pPr>
              <w:jc w:val="right"/>
              <w:ind w:right="140"/>
              <w:spacing w:after="0"/>
              <w:rPr>
                <w:sz w:val="20"/>
                <w:szCs w:val="20"/>
                <w:color w:val="auto"/>
              </w:rPr>
            </w:pPr>
            <w:r>
              <w:rPr>
                <w:rFonts w:ascii="Arial" w:cs="Arial" w:eastAsia="Arial" w:hAnsi="Arial"/>
                <w:sz w:val="13"/>
                <w:szCs w:val="13"/>
                <w:color w:val="auto"/>
              </w:rPr>
              <w:t>$1,200,000</w:t>
            </w:r>
          </w:p>
        </w:tc>
      </w:tr>
      <w:tr>
        <w:trPr>
          <w:trHeight w:val="135"/>
        </w:trPr>
        <w:tc>
          <w:tcPr>
            <w:tcW w:w="3520" w:type="dxa"/>
            <w:vAlign w:val="bottom"/>
            <w:tcBorders>
              <w:left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Performance-based RSUs</w:t>
            </w:r>
          </w:p>
        </w:tc>
        <w:tc>
          <w:tcPr>
            <w:tcW w:w="154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$540,000</w:t>
            </w:r>
          </w:p>
        </w:tc>
      </w:tr>
      <w:tr>
        <w:trPr>
          <w:trHeight w:val="135"/>
        </w:trPr>
        <w:tc>
          <w:tcPr>
            <w:tcW w:w="3520" w:type="dxa"/>
            <w:vAlign w:val="bottom"/>
            <w:tcBorders>
              <w:left w:val="single" w:sz="8" w:color="auto"/>
            </w:tcBorders>
          </w:tcPr>
          <w:p>
            <w:pPr>
              <w:ind w:left="420"/>
              <w:spacing w:after="0" w:line="135" w:lineRule="exact"/>
              <w:rPr>
                <w:sz w:val="20"/>
                <w:szCs w:val="20"/>
                <w:color w:val="auto"/>
              </w:rPr>
            </w:pPr>
            <w:r>
              <w:rPr>
                <w:rFonts w:ascii="Arial" w:cs="Arial" w:eastAsia="Arial" w:hAnsi="Arial"/>
                <w:sz w:val="13"/>
                <w:szCs w:val="13"/>
                <w:color w:val="auto"/>
              </w:rPr>
              <w:t>Time-based RSUs</w:t>
            </w:r>
          </w:p>
        </w:tc>
        <w:tc>
          <w:tcPr>
            <w:tcW w:w="1540" w:type="dxa"/>
            <w:vAlign w:val="bottom"/>
            <w:tcBorders>
              <w:right w:val="single" w:sz="8" w:color="auto"/>
            </w:tcBorders>
            <w:gridSpan w:val="3"/>
          </w:tcPr>
          <w:p>
            <w:pPr>
              <w:jc w:val="right"/>
              <w:ind w:right="140"/>
              <w:spacing w:after="0" w:line="135" w:lineRule="exact"/>
              <w:rPr>
                <w:sz w:val="20"/>
                <w:szCs w:val="20"/>
                <w:color w:val="auto"/>
              </w:rPr>
            </w:pPr>
            <w:r>
              <w:rPr>
                <w:rFonts w:ascii="Arial" w:cs="Arial" w:eastAsia="Arial" w:hAnsi="Arial"/>
                <w:sz w:val="13"/>
                <w:szCs w:val="13"/>
                <w:color w:val="auto"/>
              </w:rPr>
              <w:t>$420,000</w:t>
            </w:r>
          </w:p>
        </w:tc>
      </w:tr>
      <w:tr>
        <w:trPr>
          <w:trHeight w:val="135"/>
        </w:trPr>
        <w:tc>
          <w:tcPr>
            <w:tcW w:w="3520" w:type="dxa"/>
            <w:vAlign w:val="bottom"/>
            <w:tcBorders>
              <w:left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Stock Options</w:t>
            </w:r>
          </w:p>
        </w:tc>
        <w:tc>
          <w:tcPr>
            <w:tcW w:w="154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$240,000</w:t>
            </w:r>
          </w:p>
        </w:tc>
      </w:tr>
      <w:tr>
        <w:trPr>
          <w:trHeight w:val="157"/>
        </w:trPr>
        <w:tc>
          <w:tcPr>
            <w:tcW w:w="3520" w:type="dxa"/>
            <w:vAlign w:val="bottom"/>
            <w:tcBorders>
              <w:left w:val="single" w:sz="8" w:color="auto"/>
            </w:tcBorders>
          </w:tcPr>
          <w:p>
            <w:pPr>
              <w:ind w:left="300"/>
              <w:spacing w:after="0"/>
              <w:rPr>
                <w:sz w:val="20"/>
                <w:szCs w:val="20"/>
                <w:color w:val="auto"/>
              </w:rPr>
            </w:pPr>
            <w:r>
              <w:rPr>
                <w:rFonts w:ascii="Arial" w:cs="Arial" w:eastAsia="Arial" w:hAnsi="Arial"/>
                <w:sz w:val="13"/>
                <w:szCs w:val="13"/>
                <w:color w:val="auto"/>
              </w:rPr>
              <w:t>Short-Term Incentive at Target</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r>
      <w:tr>
        <w:trPr>
          <w:trHeight w:val="140"/>
        </w:trPr>
        <w:tc>
          <w:tcPr>
            <w:tcW w:w="3520" w:type="dxa"/>
            <w:vAlign w:val="bottom"/>
            <w:tcBorders>
              <w:left w:val="single" w:sz="8" w:color="auto"/>
            </w:tcBorders>
            <w:shd w:val="clear" w:color="auto" w:fill="DDE6F2"/>
          </w:tcPr>
          <w:p>
            <w:pPr>
              <w:ind w:left="420"/>
              <w:spacing w:after="0" w:line="140" w:lineRule="exact"/>
              <w:rPr>
                <w:sz w:val="20"/>
                <w:szCs w:val="20"/>
                <w:color w:val="auto"/>
              </w:rPr>
            </w:pPr>
            <w:r>
              <w:rPr>
                <w:rFonts w:ascii="Arial" w:cs="Arial" w:eastAsia="Arial" w:hAnsi="Arial"/>
                <w:sz w:val="13"/>
                <w:szCs w:val="13"/>
                <w:color w:val="auto"/>
              </w:rPr>
              <w:t>Annual Incentive Program (“AIP”)</w:t>
            </w:r>
          </w:p>
        </w:tc>
        <w:tc>
          <w:tcPr>
            <w:tcW w:w="1540" w:type="dxa"/>
            <w:vAlign w:val="bottom"/>
            <w:tcBorders>
              <w:right w:val="single" w:sz="8" w:color="auto"/>
            </w:tcBorders>
            <w:gridSpan w:val="3"/>
            <w:shd w:val="clear" w:color="auto" w:fill="DDE6F2"/>
          </w:tcPr>
          <w:p>
            <w:pPr>
              <w:jc w:val="right"/>
              <w:ind w:right="140"/>
              <w:spacing w:after="0" w:line="140" w:lineRule="exact"/>
              <w:rPr>
                <w:sz w:val="20"/>
                <w:szCs w:val="20"/>
                <w:color w:val="auto"/>
              </w:rPr>
            </w:pPr>
            <w:r>
              <w:rPr>
                <w:rFonts w:ascii="Arial" w:cs="Arial" w:eastAsia="Arial" w:hAnsi="Arial"/>
                <w:sz w:val="13"/>
                <w:szCs w:val="13"/>
                <w:color w:val="auto"/>
              </w:rPr>
              <w:t>$297,500</w:t>
            </w:r>
          </w:p>
        </w:tc>
      </w:tr>
      <w:tr>
        <w:trPr>
          <w:trHeight w:val="122"/>
        </w:trPr>
        <w:tc>
          <w:tcPr>
            <w:tcW w:w="3520" w:type="dxa"/>
            <w:vAlign w:val="bottom"/>
            <w:tcBorders>
              <w:left w:val="single" w:sz="8" w:color="auto"/>
            </w:tcBorders>
          </w:tcPr>
          <w:p>
            <w:pPr>
              <w:ind w:left="300"/>
              <w:spacing w:after="0" w:line="122" w:lineRule="exact"/>
              <w:rPr>
                <w:sz w:val="20"/>
                <w:szCs w:val="20"/>
                <w:color w:val="auto"/>
              </w:rPr>
            </w:pPr>
            <w:r>
              <w:rPr>
                <w:rFonts w:ascii="Arial" w:cs="Arial" w:eastAsia="Arial" w:hAnsi="Arial"/>
                <w:sz w:val="13"/>
                <w:szCs w:val="13"/>
                <w:color w:val="auto"/>
              </w:rPr>
              <w:t>Base Pay</w:t>
            </w:r>
          </w:p>
        </w:tc>
        <w:tc>
          <w:tcPr>
            <w:tcW w:w="1540" w:type="dxa"/>
            <w:vAlign w:val="bottom"/>
            <w:tcBorders>
              <w:right w:val="single" w:sz="8" w:color="auto"/>
            </w:tcBorders>
            <w:gridSpan w:val="3"/>
          </w:tcPr>
          <w:p>
            <w:pPr>
              <w:jc w:val="right"/>
              <w:ind w:right="140"/>
              <w:spacing w:after="0" w:line="122"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425,000</w:t>
            </w:r>
          </w:p>
        </w:tc>
      </w:tr>
      <w:tr>
        <w:trPr>
          <w:trHeight w:val="20"/>
        </w:trPr>
        <w:tc>
          <w:tcPr>
            <w:tcW w:w="3520" w:type="dxa"/>
            <w:vAlign w:val="bottom"/>
            <w:tcBorders>
              <w:lef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29"/>
        </w:trPr>
        <w:tc>
          <w:tcPr>
            <w:tcW w:w="3520" w:type="dxa"/>
            <w:vAlign w:val="bottom"/>
            <w:tcBorders>
              <w:left w:val="single" w:sz="8" w:color="auto"/>
              <w:bottom w:val="single" w:sz="8" w:color="auto"/>
            </w:tcBorders>
            <w:shd w:val="clear" w:color="auto" w:fill="DDE6F2"/>
          </w:tcPr>
          <w:p>
            <w:pPr>
              <w:ind w:left="300"/>
              <w:spacing w:after="0" w:line="129" w:lineRule="exact"/>
              <w:rPr>
                <w:sz w:val="20"/>
                <w:szCs w:val="20"/>
                <w:color w:val="auto"/>
              </w:rPr>
            </w:pPr>
            <w:r>
              <w:rPr>
                <w:rFonts w:ascii="Arial" w:cs="Arial" w:eastAsia="Arial" w:hAnsi="Arial"/>
                <w:sz w:val="13"/>
                <w:szCs w:val="13"/>
                <w:color w:val="auto"/>
              </w:rPr>
              <w:t>Total Target Compensation</w:t>
            </w:r>
          </w:p>
        </w:tc>
        <w:tc>
          <w:tcPr>
            <w:tcW w:w="1540" w:type="dxa"/>
            <w:vAlign w:val="bottom"/>
            <w:tcBorders>
              <w:bottom w:val="single" w:sz="8" w:color="auto"/>
              <w:right w:val="single" w:sz="8" w:color="auto"/>
            </w:tcBorders>
            <w:gridSpan w:val="3"/>
            <w:shd w:val="clear" w:color="auto" w:fill="DDE6F2"/>
          </w:tcPr>
          <w:p>
            <w:pPr>
              <w:jc w:val="right"/>
              <w:ind w:right="140"/>
              <w:spacing w:after="0" w:line="129" w:lineRule="exact"/>
              <w:rPr>
                <w:sz w:val="20"/>
                <w:szCs w:val="20"/>
                <w:color w:val="auto"/>
              </w:rPr>
            </w:pPr>
            <w:r>
              <w:rPr>
                <w:rFonts w:ascii="Arial" w:cs="Arial" w:eastAsia="Arial" w:hAnsi="Arial"/>
                <w:sz w:val="13"/>
                <w:szCs w:val="13"/>
                <w:color w:val="auto"/>
              </w:rPr>
              <w:t>$1,922,500</w:t>
            </w:r>
          </w:p>
        </w:tc>
      </w:tr>
      <w:tr>
        <w:trPr>
          <w:trHeight w:val="142"/>
        </w:trPr>
        <w:tc>
          <w:tcPr>
            <w:tcW w:w="3520" w:type="dxa"/>
            <w:vAlign w:val="bottom"/>
            <w:tcBorders>
              <w:left w:val="single" w:sz="8" w:color="auto"/>
            </w:tcBorders>
          </w:tcPr>
          <w:p>
            <w:pPr>
              <w:ind w:left="300"/>
              <w:spacing w:after="0" w:line="143" w:lineRule="exact"/>
              <w:rPr>
                <w:sz w:val="20"/>
                <w:szCs w:val="20"/>
                <w:color w:val="auto"/>
              </w:rPr>
            </w:pPr>
            <w:r>
              <w:rPr>
                <w:rFonts w:ascii="Arial" w:cs="Arial" w:eastAsia="Arial" w:hAnsi="Arial"/>
                <w:sz w:val="13"/>
                <w:szCs w:val="13"/>
                <w:color w:val="auto"/>
              </w:rPr>
              <w:t>Retirement Benefits</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r>
      <w:tr>
        <w:trPr>
          <w:trHeight w:val="135"/>
        </w:trPr>
        <w:tc>
          <w:tcPr>
            <w:tcW w:w="3520" w:type="dxa"/>
            <w:vAlign w:val="bottom"/>
            <w:tcBorders>
              <w:left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Pension (year-over-year change)</w:t>
            </w:r>
          </w:p>
        </w:tc>
        <w:tc>
          <w:tcPr>
            <w:tcW w:w="1540" w:type="dxa"/>
            <w:vAlign w:val="bottom"/>
            <w:tcBorders>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$244,708</w:t>
            </w:r>
          </w:p>
        </w:tc>
      </w:tr>
      <w:tr>
        <w:trPr>
          <w:trHeight w:val="149"/>
        </w:trPr>
        <w:tc>
          <w:tcPr>
            <w:tcW w:w="3520" w:type="dxa"/>
            <w:vAlign w:val="bottom"/>
            <w:tcBorders>
              <w:left w:val="single" w:sz="8" w:color="auto"/>
            </w:tcBorders>
          </w:tcPr>
          <w:p>
            <w:pPr>
              <w:ind w:left="420"/>
              <w:spacing w:after="0"/>
              <w:rPr>
                <w:sz w:val="20"/>
                <w:szCs w:val="20"/>
                <w:color w:val="auto"/>
              </w:rPr>
            </w:pPr>
            <w:r>
              <w:rPr>
                <w:rFonts w:ascii="Arial" w:cs="Arial" w:eastAsia="Arial" w:hAnsi="Arial"/>
                <w:sz w:val="13"/>
                <w:szCs w:val="13"/>
                <w:color w:val="auto"/>
              </w:rPr>
              <w:t>Restoration Plan (year-over-year change)</w:t>
            </w:r>
          </w:p>
        </w:tc>
        <w:tc>
          <w:tcPr>
            <w:tcW w:w="15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3"/>
                <w:szCs w:val="13"/>
                <w:color w:val="auto"/>
              </w:rPr>
              <w:t>$120,429</w:t>
            </w:r>
          </w:p>
        </w:tc>
      </w:tr>
      <w:tr>
        <w:trPr>
          <w:trHeight w:val="135"/>
        </w:trPr>
        <w:tc>
          <w:tcPr>
            <w:tcW w:w="3520" w:type="dxa"/>
            <w:vAlign w:val="bottom"/>
            <w:tcBorders>
              <w:left w:val="single" w:sz="8" w:color="auto"/>
              <w:bottom w:val="single" w:sz="8" w:color="auto"/>
            </w:tcBorders>
            <w:shd w:val="clear" w:color="auto" w:fill="DDE6F2"/>
          </w:tcPr>
          <w:p>
            <w:pPr>
              <w:ind w:left="420"/>
              <w:spacing w:after="0" w:line="135" w:lineRule="exact"/>
              <w:rPr>
                <w:sz w:val="20"/>
                <w:szCs w:val="20"/>
                <w:color w:val="auto"/>
              </w:rPr>
            </w:pPr>
            <w:r>
              <w:rPr>
                <w:rFonts w:ascii="Arial" w:cs="Arial" w:eastAsia="Arial" w:hAnsi="Arial"/>
                <w:sz w:val="13"/>
                <w:szCs w:val="13"/>
                <w:color w:val="auto"/>
              </w:rPr>
              <w:t>401(k) Company Match</w:t>
            </w:r>
          </w:p>
        </w:tc>
        <w:tc>
          <w:tcPr>
            <w:tcW w:w="1540" w:type="dxa"/>
            <w:vAlign w:val="bottom"/>
            <w:tcBorders>
              <w:bottom w:val="single" w:sz="8" w:color="auto"/>
              <w:right w:val="single" w:sz="8" w:color="auto"/>
            </w:tcBorders>
            <w:gridSpan w:val="3"/>
            <w:shd w:val="clear" w:color="auto" w:fill="DDE6F2"/>
          </w:tcPr>
          <w:p>
            <w:pPr>
              <w:jc w:val="right"/>
              <w:ind w:right="140"/>
              <w:spacing w:after="0" w:line="135" w:lineRule="exact"/>
              <w:rPr>
                <w:sz w:val="20"/>
                <w:szCs w:val="20"/>
                <w:color w:val="auto"/>
              </w:rPr>
            </w:pPr>
            <w:r>
              <w:rPr>
                <w:rFonts w:ascii="Arial" w:cs="Arial" w:eastAsia="Arial" w:hAnsi="Arial"/>
                <w:sz w:val="13"/>
                <w:szCs w:val="13"/>
                <w:color w:val="auto"/>
              </w:rPr>
              <w:t>$15,600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 xml:space="preserve">Payment Upon Termination </w:t>
      </w:r>
      <w:r>
        <w:rPr>
          <w:rFonts w:ascii="Arial" w:cs="Arial" w:eastAsia="Arial" w:hAnsi="Arial"/>
          <w:sz w:val="14"/>
          <w:szCs w:val="14"/>
          <w:color w:val="225CAB"/>
        </w:rPr>
        <w:t>(as of Dec 31, 2014)</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360" w:type="dxa"/>
            <w:vAlign w:val="bottom"/>
            <w:tcBorders>
              <w:top w:val="single" w:sz="8" w:color="auto"/>
              <w:left w:val="single" w:sz="8" w:color="auto"/>
            </w:tcBorders>
          </w:tcPr>
          <w:p>
            <w:pPr>
              <w:ind w:left="300"/>
              <w:spacing w:after="0"/>
              <w:rPr>
                <w:sz w:val="20"/>
                <w:szCs w:val="20"/>
                <w:color w:val="auto"/>
              </w:rPr>
            </w:pPr>
            <w:r>
              <w:rPr>
                <w:rFonts w:ascii="Arial" w:cs="Arial" w:eastAsia="Arial" w:hAnsi="Arial"/>
                <w:sz w:val="13"/>
                <w:szCs w:val="13"/>
                <w:color w:val="auto"/>
              </w:rPr>
              <w:t>Voluntary Termination</w:t>
            </w:r>
          </w:p>
        </w:tc>
        <w:tc>
          <w:tcPr>
            <w:tcW w:w="1700" w:type="dxa"/>
            <w:vAlign w:val="bottom"/>
            <w:tcBorders>
              <w:top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$0</w:t>
            </w:r>
          </w:p>
        </w:tc>
      </w:tr>
      <w:tr>
        <w:trPr>
          <w:trHeight w:val="135"/>
        </w:trPr>
        <w:tc>
          <w:tcPr>
            <w:tcW w:w="3360" w:type="dxa"/>
            <w:vAlign w:val="bottom"/>
            <w:tcBorders>
              <w:left w:val="single" w:sz="8" w:color="auto"/>
            </w:tcBorders>
            <w:shd w:val="clear" w:color="auto" w:fill="DDE6F2"/>
          </w:tcPr>
          <w:p>
            <w:pPr>
              <w:ind w:left="300"/>
              <w:spacing w:after="0" w:line="135" w:lineRule="exact"/>
              <w:rPr>
                <w:sz w:val="20"/>
                <w:szCs w:val="20"/>
                <w:color w:val="auto"/>
              </w:rPr>
            </w:pPr>
            <w:r>
              <w:rPr>
                <w:rFonts w:ascii="Arial" w:cs="Arial" w:eastAsia="Arial" w:hAnsi="Arial"/>
                <w:sz w:val="13"/>
                <w:szCs w:val="13"/>
                <w:color w:val="auto"/>
              </w:rPr>
              <w:t>Termination with Cause</w:t>
            </w:r>
          </w:p>
        </w:tc>
        <w:tc>
          <w:tcPr>
            <w:tcW w:w="1700" w:type="dxa"/>
            <w:vAlign w:val="bottom"/>
            <w:tcBorders>
              <w:right w:val="single" w:sz="8" w:color="auto"/>
            </w:tcBorders>
            <w:shd w:val="clear" w:color="auto" w:fill="DDE6F2"/>
          </w:tcPr>
          <w:p>
            <w:pPr>
              <w:jc w:val="right"/>
              <w:ind w:right="77"/>
              <w:spacing w:after="0" w:line="135" w:lineRule="exact"/>
              <w:rPr>
                <w:sz w:val="20"/>
                <w:szCs w:val="20"/>
                <w:color w:val="auto"/>
              </w:rPr>
            </w:pPr>
            <w:r>
              <w:rPr>
                <w:rFonts w:ascii="Arial" w:cs="Arial" w:eastAsia="Arial" w:hAnsi="Arial"/>
                <w:sz w:val="13"/>
                <w:szCs w:val="13"/>
                <w:color w:val="auto"/>
              </w:rPr>
              <w:t>$0</w:t>
            </w:r>
          </w:p>
        </w:tc>
      </w:tr>
      <w:tr>
        <w:trPr>
          <w:trHeight w:val="135"/>
        </w:trPr>
        <w:tc>
          <w:tcPr>
            <w:tcW w:w="3360" w:type="dxa"/>
            <w:vAlign w:val="bottom"/>
            <w:tcBorders>
              <w:left w:val="single" w:sz="8" w:color="auto"/>
            </w:tcBorders>
          </w:tcPr>
          <w:p>
            <w:pPr>
              <w:ind w:left="300"/>
              <w:spacing w:after="0" w:line="135" w:lineRule="exact"/>
              <w:rPr>
                <w:sz w:val="20"/>
                <w:szCs w:val="20"/>
                <w:color w:val="auto"/>
              </w:rPr>
            </w:pPr>
            <w:r>
              <w:rPr>
                <w:rFonts w:ascii="Arial" w:cs="Arial" w:eastAsia="Arial" w:hAnsi="Arial"/>
                <w:sz w:val="13"/>
                <w:szCs w:val="13"/>
                <w:color w:val="auto"/>
              </w:rPr>
              <w:t>Involuntary Termination without Cause</w:t>
            </w:r>
          </w:p>
        </w:tc>
        <w:tc>
          <w:tcPr>
            <w:tcW w:w="170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$4,294,074</w:t>
            </w:r>
          </w:p>
        </w:tc>
      </w:tr>
      <w:tr>
        <w:trPr>
          <w:trHeight w:val="135"/>
        </w:trPr>
        <w:tc>
          <w:tcPr>
            <w:tcW w:w="3360" w:type="dxa"/>
            <w:vAlign w:val="bottom"/>
            <w:tcBorders>
              <w:left w:val="single" w:sz="8" w:color="auto"/>
            </w:tcBorders>
            <w:shd w:val="clear" w:color="auto" w:fill="DDE6F2"/>
          </w:tcPr>
          <w:p>
            <w:pPr>
              <w:ind w:left="300"/>
              <w:spacing w:after="0" w:line="135" w:lineRule="exact"/>
              <w:rPr>
                <w:sz w:val="20"/>
                <w:szCs w:val="20"/>
                <w:color w:val="auto"/>
              </w:rPr>
            </w:pPr>
            <w:r>
              <w:rPr>
                <w:rFonts w:ascii="Arial" w:cs="Arial" w:eastAsia="Arial" w:hAnsi="Arial"/>
                <w:sz w:val="13"/>
                <w:szCs w:val="13"/>
                <w:color w:val="auto"/>
              </w:rPr>
              <w:t>Retirement</w:t>
            </w:r>
          </w:p>
        </w:tc>
        <w:tc>
          <w:tcPr>
            <w:tcW w:w="1700" w:type="dxa"/>
            <w:vAlign w:val="bottom"/>
            <w:tcBorders>
              <w:right w:val="single" w:sz="8" w:color="auto"/>
            </w:tcBorders>
            <w:shd w:val="clear" w:color="auto" w:fill="DDE6F2"/>
          </w:tcPr>
          <w:p>
            <w:pPr>
              <w:jc w:val="right"/>
              <w:ind w:right="77"/>
              <w:spacing w:after="0" w:line="135" w:lineRule="exact"/>
              <w:rPr>
                <w:sz w:val="20"/>
                <w:szCs w:val="20"/>
                <w:color w:val="auto"/>
              </w:rPr>
            </w:pPr>
            <w:r>
              <w:rPr>
                <w:rFonts w:ascii="Arial" w:cs="Arial" w:eastAsia="Arial" w:hAnsi="Arial"/>
                <w:sz w:val="13"/>
                <w:szCs w:val="13"/>
                <w:color w:val="auto"/>
              </w:rPr>
              <w:t>$0</w:t>
            </w:r>
          </w:p>
        </w:tc>
      </w:tr>
      <w:tr>
        <w:trPr>
          <w:trHeight w:val="135"/>
        </w:trPr>
        <w:tc>
          <w:tcPr>
            <w:tcW w:w="3360" w:type="dxa"/>
            <w:vAlign w:val="bottom"/>
            <w:tcBorders>
              <w:left w:val="single" w:sz="8" w:color="auto"/>
            </w:tcBorders>
          </w:tcPr>
          <w:p>
            <w:pPr>
              <w:ind w:left="300"/>
              <w:spacing w:after="0" w:line="135" w:lineRule="exact"/>
              <w:rPr>
                <w:sz w:val="20"/>
                <w:szCs w:val="20"/>
                <w:color w:val="auto"/>
              </w:rPr>
            </w:pPr>
            <w:r>
              <w:rPr>
                <w:rFonts w:ascii="Arial" w:cs="Arial" w:eastAsia="Arial" w:hAnsi="Arial"/>
                <w:sz w:val="13"/>
                <w:szCs w:val="13"/>
                <w:color w:val="auto"/>
              </w:rPr>
              <w:t>Death or Disability</w:t>
            </w:r>
          </w:p>
        </w:tc>
        <w:tc>
          <w:tcPr>
            <w:tcW w:w="170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$5,036,105</w:t>
            </w:r>
          </w:p>
        </w:tc>
      </w:tr>
      <w:tr>
        <w:trPr>
          <w:trHeight w:val="135"/>
        </w:trPr>
        <w:tc>
          <w:tcPr>
            <w:tcW w:w="3360" w:type="dxa"/>
            <w:vAlign w:val="bottom"/>
            <w:tcBorders>
              <w:left w:val="single" w:sz="8" w:color="auto"/>
              <w:bottom w:val="single" w:sz="8" w:color="auto"/>
            </w:tcBorders>
            <w:shd w:val="clear" w:color="auto" w:fill="DDE6F2"/>
          </w:tcPr>
          <w:p>
            <w:pPr>
              <w:ind w:left="300"/>
              <w:spacing w:after="0" w:line="135" w:lineRule="exact"/>
              <w:rPr>
                <w:sz w:val="20"/>
                <w:szCs w:val="20"/>
                <w:color w:val="auto"/>
              </w:rPr>
            </w:pPr>
            <w:r>
              <w:rPr>
                <w:rFonts w:ascii="Arial" w:cs="Arial" w:eastAsia="Arial" w:hAnsi="Arial"/>
                <w:sz w:val="13"/>
                <w:szCs w:val="13"/>
                <w:color w:val="auto"/>
              </w:rPr>
              <w:t>Change in Control</w:t>
            </w:r>
          </w:p>
        </w:tc>
        <w:tc>
          <w:tcPr>
            <w:tcW w:w="1700" w:type="dxa"/>
            <w:vAlign w:val="bottom"/>
            <w:tcBorders>
              <w:bottom w:val="single" w:sz="8" w:color="auto"/>
              <w:right w:val="single" w:sz="8" w:color="auto"/>
            </w:tcBorders>
            <w:shd w:val="clear" w:color="auto" w:fill="DDE6F2"/>
          </w:tcPr>
          <w:p>
            <w:pPr>
              <w:jc w:val="right"/>
              <w:ind w:right="77"/>
              <w:spacing w:after="0" w:line="135" w:lineRule="exact"/>
              <w:rPr>
                <w:sz w:val="20"/>
                <w:szCs w:val="20"/>
                <w:color w:val="auto"/>
              </w:rPr>
            </w:pPr>
            <w:r>
              <w:rPr>
                <w:rFonts w:ascii="Arial" w:cs="Arial" w:eastAsia="Arial" w:hAnsi="Arial"/>
                <w:sz w:val="13"/>
                <w:szCs w:val="13"/>
                <w:color w:val="auto"/>
              </w:rPr>
              <w:t>$9,270,673</w:t>
            </w:r>
          </w:p>
        </w:tc>
      </w:tr>
    </w:tbl>
    <w:p>
      <w:pPr>
        <w:spacing w:after="0" w:line="126" w:lineRule="exact"/>
        <w:rPr>
          <w:sz w:val="20"/>
          <w:szCs w:val="20"/>
          <w:color w:val="auto"/>
        </w:rPr>
      </w:pPr>
    </w:p>
    <w:p>
      <w:pPr>
        <w:ind w:left="340" w:right="20" w:hanging="332"/>
        <w:spacing w:after="0" w:line="24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Mr. Scheel’s ownership in our common stock exceeded the required NEO ownership threshold of three times base salary. Only shares owned outright and time-based RSUs count as owned for purposes of the program.</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Performance-based compensation includes performance-based RSUs, stock options, and AIP.</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2014 Compensation reflects target pay and consists of annual base pay, AIP at target, and the targeted long-term incentive grant. These amounts will differ from the Summary Compensation Table. The retirement benefits are valued in the same manner shown in the Summary Compensation Table.</w:t>
      </w:r>
    </w:p>
    <w:p>
      <w:pPr>
        <w:spacing w:after="0" w:line="11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35</w:t>
            </w:r>
          </w:p>
        </w:tc>
      </w:tr>
    </w:tbl>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Discussion &amp; Analysis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Discussion and Analysis (“CD&amp;A”) provides a detailed description of the objectives and principles of Williams’ executive compensation programs. It explains how compensation decisions are linked to performance as compared to the Company’s strategic goals and stockholder interests. Generally, Williams’ executive compensation programs apply to all officers; however, this CD&amp;A focuses on the NEOs for the Company for the 2014 fiscal year.</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seek stockholder support on our executive compensation pay programs annually. In 2014, our stockholders supported our programs with 98.97% “for” votes. In considering this positive response, along with our analysis of the competitive market, we have not made any material changes to our overall executive compensation program.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Our Commitment to Pay for Performance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for Performance</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design our compensation programs to support our commitment to performance. At target, 78% or more of an NEO’s compensation will vary based on our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140335</wp:posOffset>
            </wp:positionV>
            <wp:extent cx="4279265" cy="18351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79265" cy="18351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Incentives</w:t>
      </w:r>
    </w:p>
    <w:p>
      <w:pPr>
        <w:spacing w:after="0" w:line="14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most significant differentiator in performance is within our equity awards. We use equity awards to align compensation with the long-term interests of our stockholders. Equity awards consist of performance-based RSUs, time-based RSUs, and stock options. The largest component of an NEO’s long-term incentive award is performance-based RSUs. Both relative and absolute total stockholder return (“TSR”) are used to determine the actual number of units that will be distributed to an NEO upon vesting. We are unique among our comparator companies in measuring both relative and absolute TSR to determine results and ultimately the number of units that vest. Relative TSR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20"/>
        <w:spacing w:after="0" w:line="229" w:lineRule="auto"/>
        <w:rPr>
          <w:sz w:val="20"/>
          <w:szCs w:val="20"/>
          <w:color w:val="auto"/>
        </w:rPr>
      </w:pPr>
      <w:r>
        <w:rPr>
          <w:rFonts w:ascii="Arial" w:cs="Arial" w:eastAsia="Arial" w:hAnsi="Arial"/>
          <w:sz w:val="20"/>
          <w:szCs w:val="20"/>
          <w:color w:val="auto"/>
        </w:rPr>
        <w:t xml:space="preserve">We’re unique. We consider both relative </w:t>
      </w:r>
      <w:r>
        <w:rPr>
          <w:rFonts w:ascii="Arial" w:cs="Arial" w:eastAsia="Arial" w:hAnsi="Arial"/>
          <w:sz w:val="20"/>
          <w:szCs w:val="20"/>
          <w:i w:val="1"/>
          <w:iCs w:val="1"/>
          <w:color w:val="auto"/>
        </w:rPr>
        <w:t>and</w:t>
      </w:r>
      <w:r>
        <w:rPr>
          <w:rFonts w:ascii="Arial" w:cs="Arial" w:eastAsia="Arial" w:hAnsi="Arial"/>
          <w:sz w:val="20"/>
          <w:szCs w:val="20"/>
          <w:color w:val="auto"/>
        </w:rPr>
        <w:t xml:space="preserve"> absolute total stockholder return in determining our NEO equity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-702310</wp:posOffset>
            </wp:positionV>
            <wp:extent cx="1826895" cy="7200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26895" cy="720090"/>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8220" w:space="540"/>
            <w:col w:w="2660"/>
          </w:cols>
          <w:pgMar w:left="240" w:top="459" w:right="239" w:bottom="1440" w:gutter="0" w:footer="0" w:header="0"/>
          <w:type w:val="continuous"/>
        </w:sectPr>
      </w:pPr>
    </w:p>
    <w:p>
      <w:pPr>
        <w:jc w:val="both"/>
        <w:spacing w:after="0" w:line="250" w:lineRule="auto"/>
        <w:rPr>
          <w:sz w:val="20"/>
          <w:szCs w:val="20"/>
          <w:color w:val="auto"/>
        </w:rPr>
      </w:pPr>
      <w:r>
        <w:rPr>
          <w:rFonts w:ascii="Arial" w:cs="Arial" w:eastAsia="Arial" w:hAnsi="Arial"/>
          <w:sz w:val="16"/>
          <w:szCs w:val="16"/>
          <w:color w:val="auto"/>
        </w:rPr>
        <w:t>gauges our TSR performance relative to our comparator companies while absolute TSR requires that we deliver a strong absolute TSR to our stockholders. In 2014, the performance-based RSUs granted in 2011 exceeded our three-year annualized TSR targets by achieving a relative TSR performance in the top quartile of our comparator group and by achieving more than 24% for the annualized absolute TSR delivered to our stockholders. As a result of this strong performance, the performance pay-out for these awards was 182%. Additionally, we consider stock options to be performance-based compensation. Stock options only provide value to the extent that the Company’s stock price has increased above the grant price and therefore stockholder’s have benefited.</w:t>
      </w:r>
    </w:p>
    <w:p>
      <w:pPr>
        <w:spacing w:after="0" w:line="130"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36</w:t>
            </w:r>
          </w:p>
        </w:tc>
      </w:tr>
    </w:tbl>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Incentive Program</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performance-based cash compensation is paid under our Annual Incentive Program (“AIP”) which is based on financial performance and individual performance. Under this program, cash compensation reflects annual business performance and is based on weighted measures of adjusted operating distributable cash flow, controllable costs, and fee-based revenue. Additionally, in 2014, a safety modifier can decrease an NEO’s calculated AIP award by up to 5% based on performance relative to the established safety measures of lost time incident rate, days away from work, and motor vehicle accidents.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actual 2014 AIP performance was 50% and was reduced by the safety modifier of -3.34% due to results not meeting established targets in the measures of days away from work and motor vehicle accident rate.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2014 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54875" cy="15005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1500505"/>
                    </a:xfrm>
                    <a:prstGeom prst="rect">
                      <a:avLst/>
                    </a:prstGeom>
                    <a:noFill/>
                  </pic:spPr>
                </pic:pic>
              </a:graphicData>
            </a:graphic>
          </wp:anchor>
        </w:drawing>
      </w:r>
    </w:p>
    <w:p>
      <w:pPr>
        <w:spacing w:after="0" w:line="252" w:lineRule="exact"/>
        <w:rPr>
          <w:sz w:val="20"/>
          <w:szCs w:val="20"/>
          <w:color w:val="auto"/>
        </w:rPr>
      </w:pPr>
    </w:p>
    <w:p>
      <w:pPr>
        <w:jc w:val="both"/>
        <w:ind w:left="300" w:right="140"/>
        <w:spacing w:after="0" w:line="253" w:lineRule="auto"/>
        <w:rPr>
          <w:sz w:val="20"/>
          <w:szCs w:val="20"/>
          <w:color w:val="auto"/>
        </w:rPr>
      </w:pPr>
      <w:r>
        <w:rPr>
          <w:rFonts w:ascii="Arial" w:cs="Arial" w:eastAsia="Arial" w:hAnsi="Arial"/>
          <w:sz w:val="16"/>
          <w:szCs w:val="16"/>
          <w:color w:val="auto"/>
        </w:rPr>
        <w:t>We marked 2014 with the strategic acquisition of a controlling interest in Access Midstream Partners, L.P., a master limited partnership (“MLP”) with natural gas gathering and processing assets in key production basins. Access Midstream subsequently merged with Williams Partners to create one leading, large-cap natural gas infrastructure-focused MLP.</w:t>
      </w:r>
    </w:p>
    <w:p>
      <w:pPr>
        <w:spacing w:after="0" w:line="107" w:lineRule="exact"/>
        <w:rPr>
          <w:sz w:val="20"/>
          <w:szCs w:val="20"/>
          <w:color w:val="auto"/>
        </w:rPr>
      </w:pPr>
    </w:p>
    <w:p>
      <w:pPr>
        <w:jc w:val="both"/>
        <w:ind w:left="300" w:right="140"/>
        <w:spacing w:after="0" w:line="251" w:lineRule="auto"/>
        <w:rPr>
          <w:sz w:val="20"/>
          <w:szCs w:val="20"/>
          <w:color w:val="auto"/>
        </w:rPr>
      </w:pPr>
      <w:r>
        <w:rPr>
          <w:rFonts w:ascii="Arial" w:cs="Arial" w:eastAsia="Arial" w:hAnsi="Arial"/>
          <w:sz w:val="16"/>
          <w:szCs w:val="16"/>
          <w:color w:val="auto"/>
        </w:rPr>
        <w:t>The new MLP, which adopted the name Williams Partners, has major positions across the midstream business – spanning natural gas gathering and processing, natural gas transmission pipelines, natural gas liquids pipelines and petchem services. In addition to the tremendous bolt-on growth of Access Midstream’s assets, Williams in 2014 completed several large-scale organic projects and continued growing our gathering and processing capacity in the prolific Utica-Marcellus shale region.</w:t>
      </w:r>
    </w:p>
    <w:p>
      <w:pPr>
        <w:spacing w:after="0" w:line="108" w:lineRule="exact"/>
        <w:rPr>
          <w:sz w:val="20"/>
          <w:szCs w:val="20"/>
          <w:color w:val="auto"/>
        </w:rPr>
      </w:pPr>
    </w:p>
    <w:p>
      <w:pPr>
        <w:jc w:val="both"/>
        <w:ind w:left="300" w:right="140"/>
        <w:spacing w:after="0" w:line="252" w:lineRule="auto"/>
        <w:rPr>
          <w:sz w:val="20"/>
          <w:szCs w:val="20"/>
          <w:color w:val="auto"/>
        </w:rPr>
      </w:pPr>
      <w:r>
        <w:rPr>
          <w:rFonts w:ascii="Arial" w:cs="Arial" w:eastAsia="Arial" w:hAnsi="Arial"/>
          <w:sz w:val="16"/>
          <w:szCs w:val="16"/>
          <w:color w:val="auto"/>
        </w:rPr>
        <w:t>Despite the headwinds of low commodity prices and the delay in the startup of our Geismar plant, we further positioned Williams in 2014 to take advantage of long-term natural gas demand growth for power generation, manufacturing, and exports. Over the next three years, we’re deploying 99 percent of Williams Partners’ planned $9 billion of growth capital toward fully-contracted, fee-based projects with no direct exposure to commodity prices.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Projects and milestones</w:t>
      </w:r>
    </w:p>
    <w:p>
      <w:pPr>
        <w:spacing w:after="0" w:line="88" w:lineRule="exact"/>
        <w:rPr>
          <w:sz w:val="20"/>
          <w:szCs w:val="20"/>
          <w:color w:val="auto"/>
        </w:rPr>
      </w:pPr>
    </w:p>
    <w:p>
      <w:pPr>
        <w:jc w:val="both"/>
        <w:ind w:left="340" w:hanging="332"/>
        <w:spacing w:after="0" w:line="253"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first quarter 2014, Williams Partners’ Atlantic Sunrise expansion project received binding commitments for 1.7 million Dth/d of firm transportation capacity. The Transco project includes 15-year shipper commitments from producers, local distribution companies, and power generators. Atlantic Sunrise is expected to come into service in the second half of 2017.</w:t>
      </w:r>
    </w:p>
    <w:p>
      <w:pPr>
        <w:spacing w:after="0" w:line="228"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first quarter 2014, Williams Partners acquired Williams’ in-service Canada operations for $1.2 billion. The assets include an oil sands offgas processing plant, approximately 260 miles of natural gas liquids (“NGL”) and olefins pipelines, an NGL/olefins fractionation facility and butylene/butane splitter, as well as an in-progress fractionation project related to development of offgas processing at the Williams-owned CNRL Horizon upgrader.</w:t>
      </w:r>
    </w:p>
    <w:p>
      <w:pPr>
        <w:spacing w:after="0" w:line="228"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second quarter 2014, Williams Partners’ Dalton expansion project received binding commitments for 448,000 Dth/d of firm transportation capacity. The Transco expansion would provide customers in northwest Georgia access to Marcellus shale gas supplies for incremental electricity generation and growing local distribution load.</w:t>
      </w:r>
    </w:p>
    <w:p>
      <w:pPr>
        <w:spacing w:after="0" w:line="106"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second quarter 2014, the Federal Energy Regulatory Commission (“FERC”) approved Williams Partners’ Mobile Bay South III Expansion. The Transco project is designed to provide 225,000 Dth/d of additional firm transportation capacity to growing markets in the Southeast U.S. by the second quarter of 2015.</w:t>
      </w:r>
    </w:p>
    <w:p>
      <w:pPr>
        <w:spacing w:after="0" w:line="12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37</w:t>
            </w: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hanging="332"/>
        <w:spacing w:after="0" w:line="260"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second quarter 2014, Williams Partners announced Gulf Trace, a 1.2 million Dth/d expansion of Transco to serve the Sabine Pass Liquefaction facility, which is under construction in Cameron Parish, La. The export terminal is designed to connect U.S. natural gas supplies with global LNG markets.</w:t>
      </w:r>
    </w:p>
    <w:p>
      <w:pPr>
        <w:spacing w:after="0" w:line="222"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second quarter 2014, FERC approved Williams Partners’ Rockaway Lateral and Northeast Connector expansions, which are designed to increase natural gas delivery capacity to Brooklyn and Queens, N.Y. Construction began in second quarter 2014 and is expected to be complete in the second quarter of 2015.</w:t>
      </w:r>
    </w:p>
    <w:p>
      <w:pPr>
        <w:spacing w:after="0" w:line="228"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first half of 2014, Williams Partners added capacity at its Moundsville, W. Va. fractionator, bringing NGL handling capacity to approximately 42.5 Mbbls/d. It also completed the associated 50-mile ethane pipeline to Houston, Pa.</w:t>
      </w:r>
    </w:p>
    <w:p>
      <w:pPr>
        <w:spacing w:after="0" w:line="222"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third quarter 2014, William Partners completed its first deethanizer in the Northeast with a capacity of 40 Mbbls/d and in fourth quarter 2014 Williams Partners completed its first turbo-expander at its Oak Grove, W. Va. facility to add 200 MMcf/d of processing capacity. It also completed the last phase of the condensate stabilization project in the Marcellus Shale.</w:t>
      </w:r>
    </w:p>
    <w:p>
      <w:pPr>
        <w:spacing w:after="0" w:line="228"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third quarter 2014, Williams acquired the 50 percent general partner interest and 55.1 million limited partner units in Access Midstream Partners, L.P. held by Global Infrastructure Partners II for $5.995 billion. Upon closing, Williams owned 100 percent of the general partner and approximately 50 percent of the limited partner interests. Williams Partners and Access Midstream merged in February 2015.</w:t>
      </w:r>
    </w:p>
    <w:p>
      <w:pPr>
        <w:spacing w:after="0" w:line="228"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third quarter 2014, Williams Partners announced the Garden State expansion, a fully contracted Transco project designed to deliver 180,000 Dth/d of additional capacity for local distribution along the Eastern Seaboard. The project is expected to be placed into service in phases starting in 2016.</w:t>
      </w:r>
    </w:p>
    <w:p>
      <w:pPr>
        <w:spacing w:after="0" w:line="222"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fourth quarter 2014, Williams Partners’ Gulfstar One began providing oil and natural gas handling for the Tubular Bells field located in the eastern deepwater Gulf of Mexico. The floating production system aggregates production and feeds Williams’ downstream oil and gas gathering and processing services on the Gulf Coast.</w:t>
      </w:r>
    </w:p>
    <w:p>
      <w:pPr>
        <w:spacing w:after="0" w:line="228"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fourth quarter 2014, FERC approved Williams Partners’ 124-mile Constitution Pipeline to increase natural gas supply to New York and New England markets. Construction is expected to begin in 2015.</w:t>
      </w:r>
    </w:p>
    <w:p>
      <w:pPr>
        <w:spacing w:after="0" w:line="222"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fourth quarter 2014, FERC approved Williams Partners’ Leidy Southeast expansion project, which is designed to increase Transco pipeline’s capacity by 525,000 Dth/d of natural gas in Pennsylvania and New Jersey. Construction began in spring 2015.</w:t>
      </w:r>
    </w:p>
    <w:p>
      <w:pPr>
        <w:spacing w:after="0" w:line="222"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fourth quarter 2014, Williams Partners began commissioning its expanded Geismar plant, which restarted in February 2015 and was ramping up in first quarter 2015. Capacity at the Geismar plant is now 1.95 billion pounds of ethylene per year.</w:t>
      </w:r>
    </w:p>
    <w:p>
      <w:pPr>
        <w:spacing w:after="0" w:line="222"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first quarter 2015, Williams Partners began commissioning its Keathley Canyon Connector, a 209-mile deepwater gas gathering pipeline system capable of gathering more than 400 million cubic feet per day of natural gas. The pipeline began flowing gas in February 2015 from the Keathley Canyon protraction into Discovery’s 30-inch diameter mainline.</w:t>
      </w:r>
    </w:p>
    <w:p>
      <w:pPr>
        <w:spacing w:after="0" w:line="228" w:lineRule="exact"/>
        <w:rPr>
          <w:rFonts w:ascii="Arial" w:cs="Arial" w:eastAsia="Arial" w:hAnsi="Arial"/>
          <w:sz w:val="16"/>
          <w:szCs w:val="16"/>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fourth quarter 2014, Williams was awarded “Deal of the Year” for the Access Midstream acquisition at the Platts Global Energy Awards in New York City.</w:t>
      </w:r>
    </w:p>
    <w:p>
      <w:pPr>
        <w:spacing w:after="0" w:line="14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38</w:t>
            </w: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340" w:hanging="332"/>
        <w:spacing w:after="0" w:line="251"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accompanying chart compares Williams’ cumulative total stockholder return on our common stock (assuming reinvestment of dividends) to the cumulative total return of the S&amp;P 500 Stock Index and the median of our comparator company group. For more details on our comparator company group, see the CD&amp;A section titled “Determining Our Comparator Group.” The graph below assumes an initial investment of $100 at the beginning of the period on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144780</wp:posOffset>
            </wp:positionV>
            <wp:extent cx="3224530" cy="29673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2453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39</w:t>
            </w: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Compensation Summary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 of Our Compensation Programs</w:t>
      </w:r>
    </w:p>
    <w:p>
      <w:pPr>
        <w:spacing w:after="0" w:line="1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role of compensation is to attract and retain the talent needed to increase stockholder value and to help our businesses meet or exceed financial and operational performance goals. Our compensation programs’ objective is to reward our NEOs and employees for successfully implementing our strategy to grow our business and create long-term stockholder value. To that end, in 2014 we used relative and absolute TSR to measure long term performance; and we used adjusted operating distributable cash flow, controllable costs, and fee-based revenue to measure annual performance. In addition, the NEOs had a safety modifier to reinforce the value of safety within Williams for our employees. We believe using separate long-term and annual metrics to incent and pay NEOs helped ensure that the business decisions made were aligned with the long-term interests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Pay Philosophy</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pay philosophy throughout the entire organization is to pay for performance, be competitive in the marketplace, and consider the value a job provides to the Company. Our compensation programs reward NEOs not just for accomplishing goals, but also for how those goals are pursued. We strive to reward the right results and the right behaviors while fostering a culture of collaboration, execution, improvement, teamwork, and safety.</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principles of our pay philosophy influence the design and administration of our pay programs. Decisions about how we pay NEOs are based on these principles. The Committee uses several types of pay that are linked to both our long-term and short-term performance in the executive compensation programs. Included are long-term incentives, annual cash incentives, base pay, and benefits. The chart below illustrates the linkage between the types of pay we use and our pay principles.</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10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b w:val="1"/>
                <w:bCs w:val="1"/>
                <w:color w:val="auto"/>
              </w:rPr>
              <w:t>Long-term</w:t>
            </w:r>
          </w:p>
        </w:tc>
        <w:tc>
          <w:tcPr>
            <w:tcW w:w="16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Annual Cash</w:t>
            </w: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00" w:type="dxa"/>
            <w:vAlign w:val="bottom"/>
            <w:gridSpan w:val="2"/>
          </w:tcPr>
          <w:p>
            <w:pPr>
              <w:spacing w:after="0"/>
              <w:rPr>
                <w:sz w:val="20"/>
                <w:szCs w:val="20"/>
                <w:color w:val="auto"/>
              </w:rPr>
            </w:pPr>
            <w:r>
              <w:rPr>
                <w:rFonts w:ascii="Arial" w:cs="Arial" w:eastAsia="Arial" w:hAnsi="Arial"/>
                <w:sz w:val="16"/>
                <w:szCs w:val="16"/>
                <w:b w:val="1"/>
                <w:bCs w:val="1"/>
                <w:color w:val="auto"/>
              </w:rPr>
              <w:t>Pay Principles</w:t>
            </w:r>
          </w:p>
        </w:tc>
        <w:tc>
          <w:tcPr>
            <w:tcW w:w="1620" w:type="dxa"/>
            <w:vAlign w:val="bottom"/>
            <w:gridSpan w:val="2"/>
          </w:tcPr>
          <w:p>
            <w:pPr>
              <w:jc w:val="center"/>
              <w:ind w:right="820"/>
              <w:spacing w:after="0"/>
              <w:rPr>
                <w:sz w:val="20"/>
                <w:szCs w:val="20"/>
                <w:color w:val="auto"/>
              </w:rPr>
            </w:pPr>
            <w:r>
              <w:rPr>
                <w:rFonts w:ascii="Arial" w:cs="Arial" w:eastAsia="Arial" w:hAnsi="Arial"/>
                <w:sz w:val="16"/>
                <w:szCs w:val="16"/>
                <w:b w:val="1"/>
                <w:bCs w:val="1"/>
                <w:color w:val="auto"/>
              </w:rPr>
              <w:t>Incentives</w:t>
            </w:r>
          </w:p>
        </w:tc>
        <w:tc>
          <w:tcPr>
            <w:tcW w:w="1620" w:type="dxa"/>
            <w:vAlign w:val="bottom"/>
            <w:gridSpan w:val="2"/>
          </w:tcPr>
          <w:p>
            <w:pPr>
              <w:jc w:val="center"/>
              <w:ind w:right="820"/>
              <w:spacing w:after="0"/>
              <w:rPr>
                <w:sz w:val="20"/>
                <w:szCs w:val="20"/>
                <w:color w:val="auto"/>
              </w:rPr>
            </w:pPr>
            <w:r>
              <w:rPr>
                <w:rFonts w:ascii="Arial" w:cs="Arial" w:eastAsia="Arial" w:hAnsi="Arial"/>
                <w:sz w:val="16"/>
                <w:szCs w:val="16"/>
                <w:b w:val="1"/>
                <w:bCs w:val="1"/>
                <w:color w:val="auto"/>
              </w:rPr>
              <w:t>Incentives</w:t>
            </w:r>
          </w:p>
        </w:tc>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Base Pay</w:t>
            </w:r>
          </w:p>
        </w:tc>
        <w:tc>
          <w:tcPr>
            <w:tcW w:w="640" w:type="dxa"/>
            <w:vAlign w:val="bottom"/>
            <w:gridSpan w:val="2"/>
          </w:tcPr>
          <w:p>
            <w:pPr>
              <w:jc w:val="center"/>
              <w:spacing w:after="0"/>
              <w:rPr>
                <w:sz w:val="20"/>
                <w:szCs w:val="20"/>
                <w:color w:val="auto"/>
              </w:rPr>
            </w:pPr>
            <w:r>
              <w:rPr>
                <w:rFonts w:ascii="Arial" w:cs="Arial" w:eastAsia="Arial" w:hAnsi="Arial"/>
                <w:sz w:val="16"/>
                <w:szCs w:val="16"/>
                <w:b w:val="1"/>
                <w:bCs w:val="1"/>
                <w:color w:val="auto"/>
              </w:rPr>
              <w:t>Benefits</w:t>
            </w: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tcBorders>
              <w:bottom w:val="single" w:sz="8" w:color="7F7F7F"/>
            </w:tcBorders>
            <w:gridSpan w:val="2"/>
          </w:tcPr>
          <w:p>
            <w:pPr>
              <w:spacing w:after="0"/>
              <w:rPr>
                <w:sz w:val="20"/>
                <w:szCs w:val="20"/>
                <w:color w:val="auto"/>
              </w:rPr>
            </w:pPr>
            <w:r>
              <w:rPr>
                <w:rFonts w:ascii="Arial" w:cs="Arial" w:eastAsia="Arial" w:hAnsi="Arial"/>
                <w:sz w:val="16"/>
                <w:szCs w:val="16"/>
                <w:color w:val="auto"/>
              </w:rPr>
              <w:t>Pay should reinforce business objectives and values.</w:t>
            </w:r>
          </w:p>
        </w:tc>
        <w:tc>
          <w:tcPr>
            <w:tcW w:w="7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225CAB"/>
              </w:rPr>
              <w:t>l</w:t>
            </w:r>
          </w:p>
        </w:tc>
        <w:tc>
          <w:tcPr>
            <w:tcW w:w="860" w:type="dxa"/>
            <w:vAlign w:val="bottom"/>
            <w:tcBorders>
              <w:bottom w:val="single" w:sz="8" w:color="7F7F7F"/>
            </w:tcBorders>
            <w:vMerge w:val="continue"/>
          </w:tcPr>
          <w:p>
            <w:pPr>
              <w:spacing w:after="0"/>
              <w:rPr>
                <w:sz w:val="17"/>
                <w:szCs w:val="17"/>
                <w:color w:val="auto"/>
              </w:rPr>
            </w:pPr>
          </w:p>
        </w:tc>
        <w:tc>
          <w:tcPr>
            <w:tcW w:w="76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225CAB"/>
              </w:rPr>
              <w:t>l</w:t>
            </w:r>
          </w:p>
        </w:tc>
        <w:tc>
          <w:tcPr>
            <w:tcW w:w="860" w:type="dxa"/>
            <w:vAlign w:val="bottom"/>
            <w:tcBorders>
              <w:bottom w:val="single" w:sz="8" w:color="7F7F7F"/>
            </w:tcBorders>
            <w:vMerge w:val="continue"/>
          </w:tcPr>
          <w:p>
            <w:pPr>
              <w:spacing w:after="0"/>
              <w:rPr>
                <w:sz w:val="17"/>
                <w:szCs w:val="17"/>
                <w:color w:val="auto"/>
              </w:rPr>
            </w:pPr>
          </w:p>
        </w:tc>
        <w:tc>
          <w:tcPr>
            <w:tcW w:w="680" w:type="dxa"/>
            <w:vAlign w:val="bottom"/>
            <w:tcBorders>
              <w:bottom w:val="single" w:sz="8" w:color="7F7F7F"/>
            </w:tcBorders>
          </w:tcPr>
          <w:p>
            <w:pPr>
              <w:ind w:left="320"/>
              <w:spacing w:after="0"/>
              <w:rPr>
                <w:sz w:val="20"/>
                <w:szCs w:val="20"/>
                <w:color w:val="auto"/>
              </w:rPr>
            </w:pPr>
            <w:r>
              <w:rPr>
                <w:rFonts w:ascii="Arial" w:cs="Arial" w:eastAsia="Arial" w:hAnsi="Arial"/>
                <w:sz w:val="16"/>
                <w:szCs w:val="16"/>
                <w:color w:val="225CAB"/>
              </w:rPr>
              <w:t>l</w:t>
            </w:r>
          </w:p>
        </w:tc>
        <w:tc>
          <w:tcPr>
            <w:tcW w:w="860" w:type="dxa"/>
            <w:vAlign w:val="bottom"/>
            <w:tcBorders>
              <w:bottom w:val="single" w:sz="8" w:color="7F7F7F"/>
            </w:tcBorders>
            <w:vMerge w:val="continue"/>
          </w:tcPr>
          <w:p>
            <w:pPr>
              <w:spacing w:after="0"/>
              <w:rPr>
                <w:sz w:val="17"/>
                <w:szCs w:val="17"/>
                <w:color w:val="auto"/>
              </w:rPr>
            </w:pPr>
          </w:p>
        </w:tc>
        <w:tc>
          <w:tcPr>
            <w:tcW w:w="620" w:type="dxa"/>
            <w:vAlign w:val="bottom"/>
            <w:tcBorders>
              <w:bottom w:val="single" w:sz="8" w:color="7F7F7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00" w:type="dxa"/>
            <w:vAlign w:val="bottom"/>
            <w:gridSpan w:val="2"/>
          </w:tcPr>
          <w:p>
            <w:pPr>
              <w:spacing w:after="0"/>
              <w:rPr>
                <w:sz w:val="20"/>
                <w:szCs w:val="20"/>
                <w:color w:val="auto"/>
              </w:rPr>
            </w:pPr>
            <w:r>
              <w:rPr>
                <w:rFonts w:ascii="Arial" w:cs="Arial" w:eastAsia="Arial" w:hAnsi="Arial"/>
                <w:sz w:val="16"/>
                <w:szCs w:val="16"/>
                <w:color w:val="auto"/>
              </w:rPr>
              <w:t>A significant portion of an NEO’s total pay should be</w:t>
            </w:r>
          </w:p>
        </w:tc>
        <w:tc>
          <w:tcPr>
            <w:tcW w:w="1620" w:type="dxa"/>
            <w:vAlign w:val="bottom"/>
            <w:gridSpan w:val="2"/>
            <w:vMerge w:val="restart"/>
          </w:tcPr>
          <w:p>
            <w:pPr>
              <w:jc w:val="center"/>
              <w:ind w:right="860"/>
              <w:spacing w:after="0"/>
              <w:rPr>
                <w:sz w:val="20"/>
                <w:szCs w:val="20"/>
                <w:color w:val="auto"/>
              </w:rPr>
            </w:pPr>
            <w:r>
              <w:rPr>
                <w:rFonts w:ascii="Arial" w:cs="Arial" w:eastAsia="Arial" w:hAnsi="Arial"/>
                <w:sz w:val="16"/>
                <w:szCs w:val="16"/>
                <w:color w:val="225CAB"/>
              </w:rPr>
              <w:t>l</w:t>
            </w:r>
          </w:p>
        </w:tc>
        <w:tc>
          <w:tcPr>
            <w:tcW w:w="1620" w:type="dxa"/>
            <w:vAlign w:val="bottom"/>
            <w:gridSpan w:val="2"/>
            <w:vMerge w:val="restart"/>
          </w:tcPr>
          <w:p>
            <w:pPr>
              <w:jc w:val="center"/>
              <w:ind w:right="860"/>
              <w:spacing w:after="0"/>
              <w:rPr>
                <w:sz w:val="20"/>
                <w:szCs w:val="20"/>
                <w:color w:val="auto"/>
              </w:rPr>
            </w:pPr>
            <w:r>
              <w:rPr>
                <w:rFonts w:ascii="Arial" w:cs="Arial" w:eastAsia="Arial" w:hAnsi="Arial"/>
                <w:sz w:val="16"/>
                <w:szCs w:val="16"/>
                <w:color w:val="225CAB"/>
              </w:rPr>
              <w:t>l</w:t>
            </w: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5100" w:type="dxa"/>
            <w:vAlign w:val="bottom"/>
            <w:gridSpan w:val="2"/>
            <w:vMerge w:val="restart"/>
          </w:tcPr>
          <w:p>
            <w:pPr>
              <w:spacing w:after="0"/>
              <w:rPr>
                <w:sz w:val="20"/>
                <w:szCs w:val="20"/>
                <w:color w:val="auto"/>
              </w:rPr>
            </w:pPr>
            <w:r>
              <w:rPr>
                <w:rFonts w:ascii="Arial" w:cs="Arial" w:eastAsia="Arial" w:hAnsi="Arial"/>
                <w:sz w:val="16"/>
                <w:szCs w:val="16"/>
                <w:color w:val="auto"/>
              </w:rPr>
              <w:t>variable based on performance.</w:t>
            </w:r>
          </w:p>
        </w:tc>
        <w:tc>
          <w:tcPr>
            <w:tcW w:w="1620" w:type="dxa"/>
            <w:vAlign w:val="bottom"/>
            <w:gridSpan w:val="2"/>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100" w:type="dxa"/>
            <w:vAlign w:val="bottom"/>
            <w:tcBorders>
              <w:bottom w:val="single" w:sz="8" w:color="7F7F7F"/>
            </w:tcBorders>
            <w:gridSpan w:val="2"/>
            <w:vMerge w:val="continue"/>
          </w:tcPr>
          <w:p>
            <w:pPr>
              <w:spacing w:after="0"/>
              <w:rPr>
                <w:sz w:val="8"/>
                <w:szCs w:val="8"/>
                <w:color w:val="auto"/>
              </w:rPr>
            </w:pPr>
          </w:p>
        </w:tc>
        <w:tc>
          <w:tcPr>
            <w:tcW w:w="76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76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620" w:type="dxa"/>
            <w:vAlign w:val="bottom"/>
            <w:tcBorders>
              <w:bottom w:val="single" w:sz="8" w:color="7F7F7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5100" w:type="dxa"/>
            <w:vAlign w:val="bottom"/>
            <w:gridSpan w:val="2"/>
          </w:tcPr>
          <w:p>
            <w:pPr>
              <w:spacing w:after="0"/>
              <w:rPr>
                <w:sz w:val="20"/>
                <w:szCs w:val="20"/>
                <w:color w:val="auto"/>
              </w:rPr>
            </w:pPr>
            <w:r>
              <w:rPr>
                <w:rFonts w:ascii="Arial" w:cs="Arial" w:eastAsia="Arial" w:hAnsi="Arial"/>
                <w:sz w:val="16"/>
                <w:szCs w:val="16"/>
                <w:color w:val="auto"/>
              </w:rPr>
              <w:t>Incentive pay should balance long-term, intermediate, and</w:t>
            </w:r>
          </w:p>
        </w:tc>
        <w:tc>
          <w:tcPr>
            <w:tcW w:w="1620" w:type="dxa"/>
            <w:vAlign w:val="bottom"/>
            <w:gridSpan w:val="2"/>
            <w:vMerge w:val="restart"/>
          </w:tcPr>
          <w:p>
            <w:pPr>
              <w:jc w:val="center"/>
              <w:ind w:right="860"/>
              <w:spacing w:after="0"/>
              <w:rPr>
                <w:sz w:val="20"/>
                <w:szCs w:val="20"/>
                <w:color w:val="auto"/>
              </w:rPr>
            </w:pPr>
            <w:r>
              <w:rPr>
                <w:rFonts w:ascii="Arial" w:cs="Arial" w:eastAsia="Arial" w:hAnsi="Arial"/>
                <w:sz w:val="16"/>
                <w:szCs w:val="16"/>
                <w:color w:val="225CAB"/>
              </w:rPr>
              <w:t>l</w:t>
            </w:r>
          </w:p>
        </w:tc>
        <w:tc>
          <w:tcPr>
            <w:tcW w:w="1620" w:type="dxa"/>
            <w:vAlign w:val="bottom"/>
            <w:gridSpan w:val="2"/>
            <w:vMerge w:val="restart"/>
          </w:tcPr>
          <w:p>
            <w:pPr>
              <w:jc w:val="center"/>
              <w:ind w:right="860"/>
              <w:spacing w:after="0"/>
              <w:rPr>
                <w:sz w:val="20"/>
                <w:szCs w:val="20"/>
                <w:color w:val="auto"/>
              </w:rPr>
            </w:pPr>
            <w:r>
              <w:rPr>
                <w:rFonts w:ascii="Arial" w:cs="Arial" w:eastAsia="Arial" w:hAnsi="Arial"/>
                <w:sz w:val="16"/>
                <w:szCs w:val="16"/>
                <w:color w:val="225CAB"/>
              </w:rPr>
              <w:t>l</w:t>
            </w: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5100" w:type="dxa"/>
            <w:vAlign w:val="bottom"/>
            <w:gridSpan w:val="2"/>
            <w:vMerge w:val="restart"/>
          </w:tcPr>
          <w:p>
            <w:pPr>
              <w:spacing w:after="0"/>
              <w:rPr>
                <w:sz w:val="20"/>
                <w:szCs w:val="20"/>
                <w:color w:val="auto"/>
              </w:rPr>
            </w:pPr>
            <w:r>
              <w:rPr>
                <w:rFonts w:ascii="Arial" w:cs="Arial" w:eastAsia="Arial" w:hAnsi="Arial"/>
                <w:sz w:val="16"/>
                <w:szCs w:val="16"/>
                <w:color w:val="auto"/>
              </w:rPr>
              <w:t>short-term performance.</w:t>
            </w:r>
          </w:p>
        </w:tc>
        <w:tc>
          <w:tcPr>
            <w:tcW w:w="1620" w:type="dxa"/>
            <w:vAlign w:val="bottom"/>
            <w:gridSpan w:val="2"/>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100" w:type="dxa"/>
            <w:vAlign w:val="bottom"/>
            <w:tcBorders>
              <w:bottom w:val="single" w:sz="8" w:color="7F7F7F"/>
            </w:tcBorders>
            <w:gridSpan w:val="2"/>
            <w:vMerge w:val="continue"/>
          </w:tcPr>
          <w:p>
            <w:pPr>
              <w:spacing w:after="0"/>
              <w:rPr>
                <w:sz w:val="8"/>
                <w:szCs w:val="8"/>
                <w:color w:val="auto"/>
              </w:rPr>
            </w:pPr>
          </w:p>
        </w:tc>
        <w:tc>
          <w:tcPr>
            <w:tcW w:w="76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76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620" w:type="dxa"/>
            <w:vAlign w:val="bottom"/>
            <w:tcBorders>
              <w:bottom w:val="single" w:sz="8" w:color="7F7F7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7F7F7F"/>
            </w:tcBorders>
            <w:gridSpan w:val="2"/>
          </w:tcPr>
          <w:p>
            <w:pPr>
              <w:spacing w:after="0"/>
              <w:rPr>
                <w:sz w:val="20"/>
                <w:szCs w:val="20"/>
                <w:color w:val="auto"/>
              </w:rPr>
            </w:pPr>
            <w:r>
              <w:rPr>
                <w:rFonts w:ascii="Arial" w:cs="Arial" w:eastAsia="Arial" w:hAnsi="Arial"/>
                <w:sz w:val="16"/>
                <w:szCs w:val="16"/>
                <w:color w:val="auto"/>
              </w:rPr>
              <w:t>Incentives should align interest of NEOs with stockholders.</w:t>
            </w:r>
          </w:p>
        </w:tc>
        <w:tc>
          <w:tcPr>
            <w:tcW w:w="1620" w:type="dxa"/>
            <w:vAlign w:val="bottom"/>
            <w:tcBorders>
              <w:bottom w:val="single" w:sz="8" w:color="7F7F7F"/>
            </w:tcBorders>
            <w:gridSpan w:val="2"/>
          </w:tcPr>
          <w:p>
            <w:pPr>
              <w:jc w:val="center"/>
              <w:ind w:right="860"/>
              <w:spacing w:after="0"/>
              <w:rPr>
                <w:sz w:val="20"/>
                <w:szCs w:val="20"/>
                <w:color w:val="auto"/>
              </w:rPr>
            </w:pPr>
            <w:r>
              <w:rPr>
                <w:rFonts w:ascii="Arial" w:cs="Arial" w:eastAsia="Arial" w:hAnsi="Arial"/>
                <w:sz w:val="16"/>
                <w:szCs w:val="16"/>
                <w:color w:val="225CAB"/>
              </w:rPr>
              <w:t>l</w:t>
            </w:r>
          </w:p>
        </w:tc>
        <w:tc>
          <w:tcPr>
            <w:tcW w:w="1620" w:type="dxa"/>
            <w:vAlign w:val="bottom"/>
            <w:tcBorders>
              <w:bottom w:val="single" w:sz="8" w:color="7F7F7F"/>
            </w:tcBorders>
            <w:gridSpan w:val="2"/>
          </w:tcPr>
          <w:p>
            <w:pPr>
              <w:jc w:val="center"/>
              <w:ind w:right="860"/>
              <w:spacing w:after="0"/>
              <w:rPr>
                <w:sz w:val="20"/>
                <w:szCs w:val="20"/>
                <w:color w:val="auto"/>
              </w:rPr>
            </w:pPr>
            <w:r>
              <w:rPr>
                <w:rFonts w:ascii="Arial" w:cs="Arial" w:eastAsia="Arial" w:hAnsi="Arial"/>
                <w:sz w:val="16"/>
                <w:szCs w:val="16"/>
                <w:color w:val="225CAB"/>
              </w:rPr>
              <w:t>l</w:t>
            </w:r>
          </w:p>
        </w:tc>
        <w:tc>
          <w:tcPr>
            <w:tcW w:w="680" w:type="dxa"/>
            <w:vAlign w:val="bottom"/>
            <w:tcBorders>
              <w:bottom w:val="single" w:sz="8" w:color="7F7F7F"/>
            </w:tcBorders>
          </w:tcPr>
          <w:p>
            <w:pPr>
              <w:spacing w:after="0"/>
              <w:rPr>
                <w:sz w:val="17"/>
                <w:szCs w:val="17"/>
                <w:color w:val="auto"/>
              </w:rPr>
            </w:pPr>
          </w:p>
        </w:tc>
        <w:tc>
          <w:tcPr>
            <w:tcW w:w="86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00" w:type="dxa"/>
            <w:vAlign w:val="bottom"/>
            <w:gridSpan w:val="2"/>
          </w:tcPr>
          <w:p>
            <w:pPr>
              <w:spacing w:after="0"/>
              <w:rPr>
                <w:sz w:val="20"/>
                <w:szCs w:val="20"/>
                <w:color w:val="auto"/>
              </w:rPr>
            </w:pPr>
            <w:r>
              <w:rPr>
                <w:rFonts w:ascii="Arial" w:cs="Arial" w:eastAsia="Arial" w:hAnsi="Arial"/>
                <w:sz w:val="16"/>
                <w:szCs w:val="16"/>
                <w:color w:val="auto"/>
              </w:rPr>
              <w:t>Pay should foster a culture of collaboration with shared</w:t>
            </w:r>
          </w:p>
        </w:tc>
        <w:tc>
          <w:tcPr>
            <w:tcW w:w="1620" w:type="dxa"/>
            <w:vAlign w:val="bottom"/>
            <w:gridSpan w:val="2"/>
            <w:vMerge w:val="restart"/>
          </w:tcPr>
          <w:p>
            <w:pPr>
              <w:jc w:val="center"/>
              <w:ind w:right="860"/>
              <w:spacing w:after="0"/>
              <w:rPr>
                <w:sz w:val="20"/>
                <w:szCs w:val="20"/>
                <w:color w:val="auto"/>
              </w:rPr>
            </w:pPr>
            <w:r>
              <w:rPr>
                <w:rFonts w:ascii="Arial" w:cs="Arial" w:eastAsia="Arial" w:hAnsi="Arial"/>
                <w:sz w:val="16"/>
                <w:szCs w:val="16"/>
                <w:color w:val="225CAB"/>
              </w:rPr>
              <w:t>l</w:t>
            </w:r>
          </w:p>
        </w:tc>
        <w:tc>
          <w:tcPr>
            <w:tcW w:w="1620" w:type="dxa"/>
            <w:vAlign w:val="bottom"/>
            <w:gridSpan w:val="2"/>
            <w:vMerge w:val="restart"/>
          </w:tcPr>
          <w:p>
            <w:pPr>
              <w:jc w:val="center"/>
              <w:ind w:right="860"/>
              <w:spacing w:after="0"/>
              <w:rPr>
                <w:sz w:val="20"/>
                <w:szCs w:val="20"/>
                <w:color w:val="auto"/>
              </w:rPr>
            </w:pPr>
            <w:r>
              <w:rPr>
                <w:rFonts w:ascii="Arial" w:cs="Arial" w:eastAsia="Arial" w:hAnsi="Arial"/>
                <w:sz w:val="16"/>
                <w:szCs w:val="16"/>
                <w:color w:val="225CAB"/>
              </w:rPr>
              <w:t>l</w:t>
            </w: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5100" w:type="dxa"/>
            <w:vAlign w:val="bottom"/>
            <w:gridSpan w:val="2"/>
            <w:vMerge w:val="restart"/>
          </w:tcPr>
          <w:p>
            <w:pPr>
              <w:spacing w:after="0"/>
              <w:rPr>
                <w:sz w:val="20"/>
                <w:szCs w:val="20"/>
                <w:color w:val="auto"/>
              </w:rPr>
            </w:pPr>
            <w:r>
              <w:rPr>
                <w:rFonts w:ascii="Arial" w:cs="Arial" w:eastAsia="Arial" w:hAnsi="Arial"/>
                <w:sz w:val="16"/>
                <w:szCs w:val="16"/>
                <w:color w:val="auto"/>
              </w:rPr>
              <w:t>focus and commitment to our Company.</w:t>
            </w:r>
          </w:p>
        </w:tc>
        <w:tc>
          <w:tcPr>
            <w:tcW w:w="1620" w:type="dxa"/>
            <w:vAlign w:val="bottom"/>
            <w:gridSpan w:val="2"/>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100" w:type="dxa"/>
            <w:vAlign w:val="bottom"/>
            <w:tcBorders>
              <w:bottom w:val="single" w:sz="8" w:color="7F7F7F"/>
            </w:tcBorders>
            <w:gridSpan w:val="2"/>
            <w:vMerge w:val="continue"/>
          </w:tcPr>
          <w:p>
            <w:pPr>
              <w:spacing w:after="0"/>
              <w:rPr>
                <w:sz w:val="8"/>
                <w:szCs w:val="8"/>
                <w:color w:val="auto"/>
              </w:rPr>
            </w:pPr>
          </w:p>
        </w:tc>
        <w:tc>
          <w:tcPr>
            <w:tcW w:w="76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76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620" w:type="dxa"/>
            <w:vAlign w:val="bottom"/>
            <w:tcBorders>
              <w:bottom w:val="single" w:sz="8" w:color="7F7F7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5100" w:type="dxa"/>
            <w:vAlign w:val="bottom"/>
            <w:gridSpan w:val="2"/>
          </w:tcPr>
          <w:p>
            <w:pPr>
              <w:spacing w:after="0"/>
              <w:rPr>
                <w:sz w:val="20"/>
                <w:szCs w:val="20"/>
                <w:color w:val="auto"/>
              </w:rPr>
            </w:pPr>
            <w:r>
              <w:rPr>
                <w:rFonts w:ascii="Arial" w:cs="Arial" w:eastAsia="Arial" w:hAnsi="Arial"/>
                <w:sz w:val="16"/>
                <w:szCs w:val="16"/>
                <w:color w:val="auto"/>
              </w:rPr>
              <w:t>Incentives should enforce the value of safety within our</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20" w:type="dxa"/>
            <w:vAlign w:val="bottom"/>
            <w:gridSpan w:val="2"/>
            <w:vMerge w:val="restart"/>
          </w:tcPr>
          <w:p>
            <w:pPr>
              <w:jc w:val="center"/>
              <w:ind w:right="860"/>
              <w:spacing w:after="0"/>
              <w:rPr>
                <w:sz w:val="20"/>
                <w:szCs w:val="20"/>
                <w:color w:val="auto"/>
              </w:rPr>
            </w:pPr>
            <w:r>
              <w:rPr>
                <w:rFonts w:ascii="Arial" w:cs="Arial" w:eastAsia="Arial" w:hAnsi="Arial"/>
                <w:sz w:val="16"/>
                <w:szCs w:val="16"/>
                <w:color w:val="225CAB"/>
              </w:rPr>
              <w:t>l</w:t>
            </w: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5100" w:type="dxa"/>
            <w:vAlign w:val="bottom"/>
            <w:gridSpan w:val="2"/>
            <w:vMerge w:val="restart"/>
          </w:tcPr>
          <w:p>
            <w:pPr>
              <w:spacing w:after="0"/>
              <w:rPr>
                <w:sz w:val="20"/>
                <w:szCs w:val="20"/>
                <w:color w:val="auto"/>
              </w:rPr>
            </w:pPr>
            <w:r>
              <w:rPr>
                <w:rFonts w:ascii="Arial" w:cs="Arial" w:eastAsia="Arial" w:hAnsi="Arial"/>
                <w:sz w:val="16"/>
                <w:szCs w:val="16"/>
                <w:color w:val="auto"/>
              </w:rPr>
              <w:t>Company.</w:t>
            </w: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100" w:type="dxa"/>
            <w:vAlign w:val="bottom"/>
            <w:tcBorders>
              <w:bottom w:val="single" w:sz="8" w:color="7F7F7F"/>
            </w:tcBorders>
            <w:gridSpan w:val="2"/>
            <w:vMerge w:val="continue"/>
          </w:tcPr>
          <w:p>
            <w:pPr>
              <w:spacing w:after="0"/>
              <w:rPr>
                <w:sz w:val="8"/>
                <w:szCs w:val="8"/>
                <w:color w:val="auto"/>
              </w:rPr>
            </w:pPr>
          </w:p>
        </w:tc>
        <w:tc>
          <w:tcPr>
            <w:tcW w:w="76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76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620" w:type="dxa"/>
            <w:vAlign w:val="bottom"/>
            <w:tcBorders>
              <w:bottom w:val="single" w:sz="8" w:color="7F7F7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7F7F7F"/>
            </w:tcBorders>
            <w:gridSpan w:val="2"/>
          </w:tcPr>
          <w:p>
            <w:pPr>
              <w:spacing w:after="0"/>
              <w:rPr>
                <w:sz w:val="20"/>
                <w:szCs w:val="20"/>
                <w:color w:val="auto"/>
              </w:rPr>
            </w:pPr>
            <w:r>
              <w:rPr>
                <w:rFonts w:ascii="Arial" w:cs="Arial" w:eastAsia="Arial" w:hAnsi="Arial"/>
                <w:sz w:val="16"/>
                <w:szCs w:val="16"/>
                <w:color w:val="auto"/>
              </w:rPr>
              <w:t>Pay opportunities should be competitive.</w:t>
            </w:r>
          </w:p>
        </w:tc>
        <w:tc>
          <w:tcPr>
            <w:tcW w:w="1620" w:type="dxa"/>
            <w:vAlign w:val="bottom"/>
            <w:tcBorders>
              <w:bottom w:val="single" w:sz="8" w:color="7F7F7F"/>
            </w:tcBorders>
            <w:gridSpan w:val="2"/>
          </w:tcPr>
          <w:p>
            <w:pPr>
              <w:jc w:val="center"/>
              <w:ind w:right="860"/>
              <w:spacing w:after="0"/>
              <w:rPr>
                <w:sz w:val="20"/>
                <w:szCs w:val="20"/>
                <w:color w:val="auto"/>
              </w:rPr>
            </w:pPr>
            <w:r>
              <w:rPr>
                <w:rFonts w:ascii="Arial" w:cs="Arial" w:eastAsia="Arial" w:hAnsi="Arial"/>
                <w:sz w:val="16"/>
                <w:szCs w:val="16"/>
                <w:color w:val="225CAB"/>
              </w:rPr>
              <w:t>l</w:t>
            </w:r>
          </w:p>
        </w:tc>
        <w:tc>
          <w:tcPr>
            <w:tcW w:w="1620" w:type="dxa"/>
            <w:vAlign w:val="bottom"/>
            <w:tcBorders>
              <w:bottom w:val="single" w:sz="8" w:color="7F7F7F"/>
            </w:tcBorders>
            <w:gridSpan w:val="2"/>
          </w:tcPr>
          <w:p>
            <w:pPr>
              <w:jc w:val="center"/>
              <w:ind w:right="860"/>
              <w:spacing w:after="0"/>
              <w:rPr>
                <w:sz w:val="20"/>
                <w:szCs w:val="20"/>
                <w:color w:val="auto"/>
              </w:rPr>
            </w:pPr>
            <w:r>
              <w:rPr>
                <w:rFonts w:ascii="Arial" w:cs="Arial" w:eastAsia="Arial" w:hAnsi="Arial"/>
                <w:sz w:val="16"/>
                <w:szCs w:val="16"/>
                <w:color w:val="225CAB"/>
              </w:rPr>
              <w:t>l</w:t>
            </w:r>
          </w:p>
        </w:tc>
        <w:tc>
          <w:tcPr>
            <w:tcW w:w="1540" w:type="dxa"/>
            <w:vAlign w:val="bottom"/>
            <w:tcBorders>
              <w:bottom w:val="single" w:sz="8" w:color="7F7F7F"/>
            </w:tcBorders>
            <w:gridSpan w:val="2"/>
          </w:tcPr>
          <w:p>
            <w:pPr>
              <w:ind w:left="320"/>
              <w:spacing w:after="0"/>
              <w:rPr>
                <w:sz w:val="20"/>
                <w:szCs w:val="20"/>
                <w:color w:val="auto"/>
              </w:rPr>
            </w:pPr>
            <w:r>
              <w:rPr>
                <w:rFonts w:ascii="Arial" w:cs="Arial" w:eastAsia="Arial" w:hAnsi="Arial"/>
                <w:sz w:val="16"/>
                <w:szCs w:val="16"/>
                <w:color w:val="225CAB"/>
              </w:rPr>
              <w:t>l</w:t>
            </w:r>
          </w:p>
        </w:tc>
        <w:tc>
          <w:tcPr>
            <w:tcW w:w="6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225CAB"/>
              </w:rPr>
              <w:t>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00" w:type="dxa"/>
            <w:vAlign w:val="bottom"/>
            <w:gridSpan w:val="2"/>
          </w:tcPr>
          <w:p>
            <w:pPr>
              <w:spacing w:after="0"/>
              <w:rPr>
                <w:sz w:val="20"/>
                <w:szCs w:val="20"/>
                <w:color w:val="auto"/>
              </w:rPr>
            </w:pPr>
            <w:r>
              <w:rPr>
                <w:rFonts w:ascii="Arial" w:cs="Arial" w:eastAsia="Arial" w:hAnsi="Arial"/>
                <w:sz w:val="16"/>
                <w:szCs w:val="16"/>
                <w:color w:val="auto"/>
              </w:rPr>
              <w:t>A portion of pay should be provided to compensate for the</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2"/>
            <w:vMerge w:val="restart"/>
          </w:tcPr>
          <w:p>
            <w:pPr>
              <w:ind w:left="320"/>
              <w:spacing w:after="0"/>
              <w:rPr>
                <w:sz w:val="20"/>
                <w:szCs w:val="20"/>
                <w:color w:val="auto"/>
              </w:rPr>
            </w:pPr>
            <w:r>
              <w:rPr>
                <w:rFonts w:ascii="Arial" w:cs="Arial" w:eastAsia="Arial" w:hAnsi="Arial"/>
                <w:sz w:val="16"/>
                <w:szCs w:val="16"/>
                <w:color w:val="225CAB"/>
              </w:rPr>
              <w:t>l</w:t>
            </w:r>
          </w:p>
        </w:tc>
        <w:tc>
          <w:tcPr>
            <w:tcW w:w="64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225CAB"/>
              </w:rPr>
              <w:t>l</w:t>
            </w:r>
          </w:p>
        </w:tc>
        <w:tc>
          <w:tcPr>
            <w:tcW w:w="0" w:type="dxa"/>
            <w:vAlign w:val="bottom"/>
          </w:tcPr>
          <w:p>
            <w:pPr>
              <w:spacing w:after="0"/>
              <w:rPr>
                <w:sz w:val="1"/>
                <w:szCs w:val="1"/>
                <w:color w:val="auto"/>
              </w:rPr>
            </w:pPr>
          </w:p>
        </w:tc>
      </w:tr>
      <w:tr>
        <w:trPr>
          <w:trHeight w:val="87"/>
        </w:trPr>
        <w:tc>
          <w:tcPr>
            <w:tcW w:w="5100" w:type="dxa"/>
            <w:vAlign w:val="bottom"/>
            <w:gridSpan w:val="2"/>
            <w:vMerge w:val="restart"/>
          </w:tcPr>
          <w:p>
            <w:pPr>
              <w:spacing w:after="0"/>
              <w:rPr>
                <w:sz w:val="20"/>
                <w:szCs w:val="20"/>
                <w:color w:val="auto"/>
              </w:rPr>
            </w:pPr>
            <w:r>
              <w:rPr>
                <w:rFonts w:ascii="Arial" w:cs="Arial" w:eastAsia="Arial" w:hAnsi="Arial"/>
                <w:sz w:val="16"/>
                <w:szCs w:val="16"/>
                <w:color w:val="auto"/>
              </w:rPr>
              <w:t>core activities required for performing in the role.</w:t>
            </w: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100" w:type="dxa"/>
            <w:vAlign w:val="bottom"/>
            <w:tcBorders>
              <w:bottom w:val="single" w:sz="8" w:color="7F7F7F"/>
            </w:tcBorders>
            <w:gridSpan w:val="2"/>
            <w:vMerge w:val="continue"/>
          </w:tcPr>
          <w:p>
            <w:pPr>
              <w:spacing w:after="0"/>
              <w:rPr>
                <w:sz w:val="8"/>
                <w:szCs w:val="8"/>
                <w:color w:val="auto"/>
              </w:rPr>
            </w:pPr>
          </w:p>
        </w:tc>
        <w:tc>
          <w:tcPr>
            <w:tcW w:w="76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76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620" w:type="dxa"/>
            <w:vAlign w:val="bottom"/>
            <w:tcBorders>
              <w:bottom w:val="single" w:sz="8" w:color="7F7F7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6"/>
        </w:trPr>
        <w:tc>
          <w:tcPr>
            <w:tcW w:w="1060" w:type="dxa"/>
            <w:vAlign w:val="bottom"/>
          </w:tcPr>
          <w:p>
            <w:pPr>
              <w:spacing w:after="0"/>
              <w:rPr>
                <w:sz w:val="24"/>
                <w:szCs w:val="24"/>
                <w:color w:val="auto"/>
              </w:rPr>
            </w:pPr>
          </w:p>
        </w:tc>
        <w:tc>
          <w:tcPr>
            <w:tcW w:w="5660" w:type="dxa"/>
            <w:vAlign w:val="bottom"/>
            <w:gridSpan w:val="3"/>
          </w:tcPr>
          <w:p>
            <w:pPr>
              <w:ind w:left="2120"/>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760" w:type="dxa"/>
            <w:vAlign w:val="bottom"/>
          </w:tcPr>
          <w:p>
            <w:pPr>
              <w:jc w:val="right"/>
              <w:ind w:right="77"/>
              <w:spacing w:after="0"/>
              <w:rPr>
                <w:sz w:val="20"/>
                <w:szCs w:val="20"/>
                <w:color w:val="auto"/>
              </w:rPr>
            </w:pPr>
            <w:r>
              <w:rPr>
                <w:rFonts w:ascii="Arial" w:cs="Arial" w:eastAsia="Arial" w:hAnsi="Arial"/>
                <w:sz w:val="20"/>
                <w:szCs w:val="20"/>
                <w:color w:val="auto"/>
              </w:rPr>
              <w:t>40</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88900</wp:posOffset>
            </wp:positionV>
            <wp:extent cx="5196840" cy="30016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9684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41</w:t>
            </w:r>
          </w:p>
        </w:tc>
      </w:tr>
    </w:tbl>
    <w:p>
      <w:pPr>
        <w:sectPr>
          <w:pgSz w:w="11900" w:h="16838" w:orient="portrait"/>
          <w:cols w:equalWidth="0" w:num="1">
            <w:col w:w="10219"/>
          </w:cols>
          <w:pgMar w:left="240" w:top="45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2014 Comparator Group</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Determining Our Comparator Group</w:t>
      </w:r>
    </w:p>
    <w:p>
      <w:pPr>
        <w:spacing w:after="0" w:line="143" w:lineRule="exact"/>
        <w:rPr>
          <w:sz w:val="20"/>
          <w:szCs w:val="20"/>
          <w:color w:val="auto"/>
        </w:rPr>
      </w:pPr>
    </w:p>
    <w:p>
      <w:pPr>
        <w:jc w:val="both"/>
        <w:ind w:left="460"/>
        <w:spacing w:after="0" w:line="248" w:lineRule="auto"/>
        <w:rPr>
          <w:sz w:val="20"/>
          <w:szCs w:val="20"/>
          <w:color w:val="auto"/>
        </w:rPr>
      </w:pPr>
      <w:r>
        <w:rPr>
          <w:rFonts w:ascii="Arial" w:cs="Arial" w:eastAsia="Arial" w:hAnsi="Arial"/>
          <w:sz w:val="16"/>
          <w:szCs w:val="16"/>
          <w:color w:val="auto"/>
        </w:rPr>
        <w:t>Companies in our comparator group have a range of revenues, assets, market capitalization, and enterprise value. Business consolidation and unique operating models create some challenges in identifying comparator companies. Accordingly, we take a broad view of comparability to include organizations that are similar to Williams. This results in compensation that is appropriately scaled and reflects comparable complexities in business operations. We typically aim for a comparator group of 15 to 20 companies so our comparisons will be valid. The 2014 comparator group included 17 companies which comprised a mix of both direct business competitors and companies with whom we compete for talent.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How We Use Our Comparator Group</w:t>
      </w:r>
    </w:p>
    <w:p>
      <w:pPr>
        <w:spacing w:after="0" w:line="143" w:lineRule="exact"/>
        <w:rPr>
          <w:sz w:val="20"/>
          <w:szCs w:val="20"/>
          <w:color w:val="auto"/>
        </w:rPr>
      </w:pPr>
    </w:p>
    <w:p>
      <w:pPr>
        <w:jc w:val="both"/>
        <w:ind w:left="460"/>
        <w:spacing w:after="0" w:line="253" w:lineRule="auto"/>
        <w:rPr>
          <w:sz w:val="20"/>
          <w:szCs w:val="20"/>
          <w:color w:val="auto"/>
        </w:rPr>
      </w:pPr>
      <w:r>
        <w:rPr>
          <w:rFonts w:ascii="Arial" w:cs="Arial" w:eastAsia="Arial" w:hAnsi="Arial"/>
          <w:sz w:val="16"/>
          <w:szCs w:val="16"/>
          <w:color w:val="auto"/>
        </w:rPr>
        <w:t>We refer to publicly available information to analyze our comparator companies’ practices including how pay is divided among long-term incentives, annual incentives, base pay, and other forms of compensation. This allows the Committee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2014 COMPARATOR GROUP</w:t>
            </w:r>
          </w:p>
        </w:tc>
      </w:tr>
      <w:tr>
        <w:trPr>
          <w:trHeight w:val="238"/>
        </w:trPr>
        <w:tc>
          <w:tcPr>
            <w:tcW w:w="420" w:type="dxa"/>
            <w:vAlign w:val="bottom"/>
          </w:tcPr>
          <w:p>
            <w:pPr>
              <w:jc w:val="right"/>
              <w:ind w:right="48"/>
              <w:spacing w:after="0"/>
              <w:rPr>
                <w:sz w:val="20"/>
                <w:szCs w:val="20"/>
                <w:color w:val="auto"/>
              </w:rPr>
            </w:pPr>
            <w:r>
              <w:rPr>
                <w:rFonts w:ascii="Arial" w:cs="Arial" w:eastAsia="Arial" w:hAnsi="Arial"/>
                <w:sz w:val="14"/>
                <w:szCs w:val="14"/>
                <w:color w:val="auto"/>
                <w:w w:val="97"/>
              </w:rPr>
              <w:t>ATO</w:t>
            </w:r>
          </w:p>
        </w:tc>
        <w:tc>
          <w:tcPr>
            <w:tcW w:w="2080" w:type="dxa"/>
            <w:vAlign w:val="bottom"/>
            <w:gridSpan w:val="2"/>
          </w:tcPr>
          <w:p>
            <w:pPr>
              <w:ind w:left="120"/>
              <w:spacing w:after="0"/>
              <w:rPr>
                <w:sz w:val="20"/>
                <w:szCs w:val="20"/>
                <w:color w:val="auto"/>
              </w:rPr>
            </w:pPr>
            <w:r>
              <w:rPr>
                <w:rFonts w:ascii="Arial" w:cs="Arial" w:eastAsia="Arial" w:hAnsi="Arial"/>
                <w:sz w:val="14"/>
                <w:szCs w:val="14"/>
                <w:color w:val="auto"/>
              </w:rPr>
              <w:t>AtmosEnergy</w:t>
            </w:r>
          </w:p>
        </w:tc>
      </w:tr>
      <w:tr>
        <w:trPr>
          <w:trHeight w:val="230"/>
        </w:trPr>
        <w:tc>
          <w:tcPr>
            <w:tcW w:w="420" w:type="dxa"/>
            <w:vAlign w:val="bottom"/>
          </w:tcPr>
          <w:p>
            <w:pPr>
              <w:jc w:val="right"/>
              <w:ind w:right="48"/>
              <w:spacing w:after="0"/>
              <w:rPr>
                <w:sz w:val="20"/>
                <w:szCs w:val="20"/>
                <w:color w:val="auto"/>
              </w:rPr>
            </w:pPr>
            <w:r>
              <w:rPr>
                <w:rFonts w:ascii="Arial" w:cs="Arial" w:eastAsia="Arial" w:hAnsi="Arial"/>
                <w:sz w:val="14"/>
                <w:szCs w:val="14"/>
                <w:color w:val="auto"/>
                <w:w w:val="94"/>
              </w:rPr>
              <w:t>CNP</w:t>
            </w:r>
          </w:p>
        </w:tc>
        <w:tc>
          <w:tcPr>
            <w:tcW w:w="2080" w:type="dxa"/>
            <w:vAlign w:val="bottom"/>
            <w:gridSpan w:val="2"/>
          </w:tcPr>
          <w:p>
            <w:pPr>
              <w:ind w:left="140"/>
              <w:spacing w:after="0"/>
              <w:rPr>
                <w:sz w:val="20"/>
                <w:szCs w:val="20"/>
                <w:color w:val="auto"/>
              </w:rPr>
            </w:pPr>
            <w:r>
              <w:rPr>
                <w:rFonts w:ascii="Arial" w:cs="Arial" w:eastAsia="Arial" w:hAnsi="Arial"/>
                <w:sz w:val="14"/>
                <w:szCs w:val="14"/>
                <w:color w:val="auto"/>
              </w:rPr>
              <w:t>CenterPointEnergy, Inc.</w:t>
            </w:r>
          </w:p>
        </w:tc>
      </w:tr>
      <w:tr>
        <w:trPr>
          <w:trHeight w:val="230"/>
        </w:trPr>
        <w:tc>
          <w:tcPr>
            <w:tcW w:w="420" w:type="dxa"/>
            <w:vAlign w:val="bottom"/>
          </w:tcPr>
          <w:p>
            <w:pPr>
              <w:jc w:val="right"/>
              <w:ind w:right="48"/>
              <w:spacing w:after="0"/>
              <w:rPr>
                <w:sz w:val="20"/>
                <w:szCs w:val="20"/>
                <w:color w:val="auto"/>
              </w:rPr>
            </w:pPr>
            <w:r>
              <w:rPr>
                <w:rFonts w:ascii="Arial" w:cs="Arial" w:eastAsia="Arial" w:hAnsi="Arial"/>
                <w:sz w:val="14"/>
                <w:szCs w:val="14"/>
                <w:color w:val="auto"/>
                <w:w w:val="94"/>
              </w:rPr>
              <w:t>DVN</w:t>
            </w:r>
          </w:p>
        </w:tc>
        <w:tc>
          <w:tcPr>
            <w:tcW w:w="2080" w:type="dxa"/>
            <w:vAlign w:val="bottom"/>
            <w:gridSpan w:val="2"/>
          </w:tcPr>
          <w:p>
            <w:pPr>
              <w:ind w:left="140"/>
              <w:spacing w:after="0"/>
              <w:rPr>
                <w:sz w:val="20"/>
                <w:szCs w:val="20"/>
                <w:color w:val="auto"/>
              </w:rPr>
            </w:pPr>
            <w:r>
              <w:rPr>
                <w:rFonts w:ascii="Arial" w:cs="Arial" w:eastAsia="Arial" w:hAnsi="Arial"/>
                <w:sz w:val="14"/>
                <w:szCs w:val="14"/>
                <w:color w:val="auto"/>
              </w:rPr>
              <w:t>DevonEnergy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-848995</wp:posOffset>
            </wp:positionV>
            <wp:extent cx="2538730" cy="2941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38730" cy="2941320"/>
                    </a:xfrm>
                    <a:prstGeom prst="rect">
                      <a:avLst/>
                    </a:prstGeom>
                    <a:noFill/>
                  </pic:spPr>
                </pic:pic>
              </a:graphicData>
            </a:graphic>
          </wp:anchor>
        </w:drawing>
      </w:r>
    </w:p>
    <w:p>
      <w:pPr>
        <w:spacing w:after="0" w:line="37" w:lineRule="exact"/>
        <w:rPr>
          <w:sz w:val="20"/>
          <w:szCs w:val="20"/>
          <w:color w:val="auto"/>
        </w:rPr>
      </w:pPr>
    </w:p>
    <w:p>
      <w:pPr>
        <w:ind w:left="660" w:hanging="36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DominionResources</w:t>
      </w:r>
    </w:p>
    <w:p>
      <w:pPr>
        <w:spacing w:after="0" w:line="68"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ENB    EnbridgeInc.</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ETE</w:t>
            </w:r>
          </w:p>
        </w:tc>
        <w:tc>
          <w:tcPr>
            <w:tcW w:w="2100" w:type="dxa"/>
            <w:vAlign w:val="bottom"/>
          </w:tcPr>
          <w:p>
            <w:pPr>
              <w:ind w:left="140"/>
              <w:spacing w:after="0"/>
              <w:rPr>
                <w:sz w:val="20"/>
                <w:szCs w:val="20"/>
                <w:color w:val="auto"/>
              </w:rPr>
            </w:pPr>
            <w:r>
              <w:rPr>
                <w:rFonts w:ascii="Arial" w:cs="Arial" w:eastAsia="Arial" w:hAnsi="Arial"/>
                <w:sz w:val="14"/>
                <w:szCs w:val="14"/>
                <w:color w:val="auto"/>
              </w:rPr>
              <w:t>EnergyTransfer Equity</w:t>
            </w:r>
          </w:p>
        </w:tc>
      </w:tr>
      <w:tr>
        <w:trPr>
          <w:trHeight w:val="23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EQT</w:t>
            </w:r>
          </w:p>
        </w:tc>
        <w:tc>
          <w:tcPr>
            <w:tcW w:w="2100" w:type="dxa"/>
            <w:vAlign w:val="bottom"/>
          </w:tcPr>
          <w:p>
            <w:pPr>
              <w:ind w:left="140"/>
              <w:spacing w:after="0"/>
              <w:rPr>
                <w:sz w:val="20"/>
                <w:szCs w:val="20"/>
                <w:color w:val="auto"/>
              </w:rPr>
            </w:pPr>
            <w:r>
              <w:rPr>
                <w:rFonts w:ascii="Arial" w:cs="Arial" w:eastAsia="Arial" w:hAnsi="Arial"/>
                <w:sz w:val="14"/>
                <w:szCs w:val="14"/>
                <w:color w:val="auto"/>
              </w:rPr>
              <w:t>EQT</w:t>
            </w:r>
          </w:p>
        </w:tc>
      </w:tr>
      <w:tr>
        <w:trPr>
          <w:trHeight w:val="23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KMI</w:t>
            </w:r>
          </w:p>
        </w:tc>
        <w:tc>
          <w:tcPr>
            <w:tcW w:w="2100" w:type="dxa"/>
            <w:vAlign w:val="bottom"/>
          </w:tcPr>
          <w:p>
            <w:pPr>
              <w:ind w:left="140"/>
              <w:spacing w:after="0"/>
              <w:rPr>
                <w:sz w:val="20"/>
                <w:szCs w:val="20"/>
                <w:color w:val="auto"/>
              </w:rPr>
            </w:pPr>
            <w:r>
              <w:rPr>
                <w:rFonts w:ascii="Arial" w:cs="Arial" w:eastAsia="Arial" w:hAnsi="Arial"/>
                <w:sz w:val="14"/>
                <w:szCs w:val="14"/>
                <w:color w:val="auto"/>
              </w:rPr>
              <w:t>KinderMorgan</w:t>
            </w:r>
          </w:p>
        </w:tc>
      </w:tr>
      <w:tr>
        <w:trPr>
          <w:trHeight w:val="23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NI</w:t>
            </w:r>
          </w:p>
        </w:tc>
        <w:tc>
          <w:tcPr>
            <w:tcW w:w="2100" w:type="dxa"/>
            <w:vAlign w:val="bottom"/>
          </w:tcPr>
          <w:p>
            <w:pPr>
              <w:ind w:left="140"/>
              <w:spacing w:after="0"/>
              <w:rPr>
                <w:sz w:val="20"/>
                <w:szCs w:val="20"/>
                <w:color w:val="auto"/>
              </w:rPr>
            </w:pPr>
            <w:r>
              <w:rPr>
                <w:rFonts w:ascii="Arial" w:cs="Arial" w:eastAsia="Arial" w:hAnsi="Arial"/>
                <w:sz w:val="14"/>
                <w:szCs w:val="14"/>
                <w:color w:val="auto"/>
              </w:rPr>
              <w:t>Nisource</w:t>
            </w:r>
          </w:p>
        </w:tc>
      </w:tr>
      <w:tr>
        <w:trPr>
          <w:trHeight w:val="23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OKE</w:t>
            </w:r>
          </w:p>
        </w:tc>
        <w:tc>
          <w:tcPr>
            <w:tcW w:w="2100" w:type="dxa"/>
            <w:vAlign w:val="bottom"/>
          </w:tcPr>
          <w:p>
            <w:pPr>
              <w:ind w:left="140"/>
              <w:spacing w:after="0"/>
              <w:rPr>
                <w:sz w:val="20"/>
                <w:szCs w:val="20"/>
                <w:color w:val="auto"/>
              </w:rPr>
            </w:pPr>
            <w:r>
              <w:rPr>
                <w:rFonts w:ascii="Arial" w:cs="Arial" w:eastAsia="Arial" w:hAnsi="Arial"/>
                <w:sz w:val="14"/>
                <w:szCs w:val="14"/>
                <w:color w:val="auto"/>
              </w:rPr>
              <w:t>ONEOK</w:t>
            </w:r>
          </w:p>
        </w:tc>
      </w:tr>
      <w:tr>
        <w:trPr>
          <w:trHeight w:val="23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PAA</w:t>
            </w:r>
          </w:p>
        </w:tc>
        <w:tc>
          <w:tcPr>
            <w:tcW w:w="2100" w:type="dxa"/>
            <w:vAlign w:val="bottom"/>
          </w:tcPr>
          <w:p>
            <w:pPr>
              <w:ind w:left="140"/>
              <w:spacing w:after="0"/>
              <w:rPr>
                <w:sz w:val="20"/>
                <w:szCs w:val="20"/>
                <w:color w:val="auto"/>
              </w:rPr>
            </w:pPr>
            <w:r>
              <w:rPr>
                <w:rFonts w:ascii="Arial" w:cs="Arial" w:eastAsia="Arial" w:hAnsi="Arial"/>
                <w:sz w:val="14"/>
                <w:szCs w:val="14"/>
                <w:color w:val="auto"/>
              </w:rPr>
              <w:t>PlainsAll American Pipeline LP</w:t>
            </w:r>
          </w:p>
        </w:tc>
      </w:tr>
      <w:tr>
        <w:trPr>
          <w:trHeight w:val="23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SRE</w:t>
            </w:r>
          </w:p>
        </w:tc>
        <w:tc>
          <w:tcPr>
            <w:tcW w:w="2100" w:type="dxa"/>
            <w:vAlign w:val="bottom"/>
          </w:tcPr>
          <w:p>
            <w:pPr>
              <w:ind w:left="140"/>
              <w:spacing w:after="0"/>
              <w:rPr>
                <w:sz w:val="20"/>
                <w:szCs w:val="20"/>
                <w:color w:val="auto"/>
              </w:rPr>
            </w:pPr>
            <w:r>
              <w:rPr>
                <w:rFonts w:ascii="Arial" w:cs="Arial" w:eastAsia="Arial" w:hAnsi="Arial"/>
                <w:sz w:val="14"/>
                <w:szCs w:val="14"/>
                <w:color w:val="auto"/>
              </w:rPr>
              <w:t>SempraEnergy</w:t>
            </w:r>
          </w:p>
        </w:tc>
      </w:tr>
      <w:tr>
        <w:trPr>
          <w:trHeight w:val="23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SO</w:t>
            </w:r>
          </w:p>
        </w:tc>
        <w:tc>
          <w:tcPr>
            <w:tcW w:w="2100" w:type="dxa"/>
            <w:vAlign w:val="bottom"/>
          </w:tcPr>
          <w:p>
            <w:pPr>
              <w:ind w:left="140"/>
              <w:spacing w:after="0"/>
              <w:rPr>
                <w:sz w:val="20"/>
                <w:szCs w:val="20"/>
                <w:color w:val="auto"/>
              </w:rPr>
            </w:pPr>
            <w:r>
              <w:rPr>
                <w:rFonts w:ascii="Arial" w:cs="Arial" w:eastAsia="Arial" w:hAnsi="Arial"/>
                <w:sz w:val="14"/>
                <w:szCs w:val="14"/>
                <w:color w:val="auto"/>
              </w:rPr>
              <w:t>Southern</w:t>
            </w:r>
          </w:p>
        </w:tc>
      </w:tr>
      <w:tr>
        <w:trPr>
          <w:trHeight w:val="23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SE</w:t>
            </w:r>
          </w:p>
        </w:tc>
        <w:tc>
          <w:tcPr>
            <w:tcW w:w="2100" w:type="dxa"/>
            <w:vAlign w:val="bottom"/>
          </w:tcPr>
          <w:p>
            <w:pPr>
              <w:ind w:left="140"/>
              <w:spacing w:after="0"/>
              <w:rPr>
                <w:sz w:val="20"/>
                <w:szCs w:val="20"/>
                <w:color w:val="auto"/>
              </w:rPr>
            </w:pPr>
            <w:r>
              <w:rPr>
                <w:rFonts w:ascii="Arial" w:cs="Arial" w:eastAsia="Arial" w:hAnsi="Arial"/>
                <w:sz w:val="14"/>
                <w:szCs w:val="14"/>
                <w:color w:val="auto"/>
              </w:rPr>
              <w:t>SpectraEnergy Corp.</w:t>
            </w:r>
          </w:p>
        </w:tc>
      </w:tr>
      <w:tr>
        <w:trPr>
          <w:trHeight w:val="230"/>
        </w:trPr>
        <w:tc>
          <w:tcPr>
            <w:tcW w:w="520" w:type="dxa"/>
            <w:vAlign w:val="bottom"/>
          </w:tcPr>
          <w:p>
            <w:pPr>
              <w:jc w:val="right"/>
              <w:ind w:right="48"/>
              <w:spacing w:after="0"/>
              <w:rPr>
                <w:sz w:val="20"/>
                <w:szCs w:val="20"/>
                <w:color w:val="auto"/>
              </w:rPr>
            </w:pPr>
            <w:r>
              <w:rPr>
                <w:rFonts w:ascii="Arial" w:cs="Arial" w:eastAsia="Arial" w:hAnsi="Arial"/>
                <w:sz w:val="14"/>
                <w:szCs w:val="14"/>
                <w:color w:val="auto"/>
                <w:w w:val="97"/>
              </w:rPr>
              <w:t>TRGP</w:t>
            </w:r>
          </w:p>
        </w:tc>
        <w:tc>
          <w:tcPr>
            <w:tcW w:w="2100" w:type="dxa"/>
            <w:vAlign w:val="bottom"/>
          </w:tcPr>
          <w:p>
            <w:pPr>
              <w:ind w:left="120"/>
              <w:spacing w:after="0"/>
              <w:rPr>
                <w:sz w:val="20"/>
                <w:szCs w:val="20"/>
                <w:color w:val="auto"/>
              </w:rPr>
            </w:pPr>
            <w:r>
              <w:rPr>
                <w:rFonts w:ascii="Arial" w:cs="Arial" w:eastAsia="Arial" w:hAnsi="Arial"/>
                <w:sz w:val="14"/>
                <w:szCs w:val="14"/>
                <w:color w:val="auto"/>
              </w:rPr>
              <w:t>TargaResources Corp.</w:t>
            </w:r>
          </w:p>
        </w:tc>
      </w:tr>
      <w:tr>
        <w:trPr>
          <w:trHeight w:val="23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TRP</w:t>
            </w:r>
          </w:p>
        </w:tc>
        <w:tc>
          <w:tcPr>
            <w:tcW w:w="2100" w:type="dxa"/>
            <w:vAlign w:val="bottom"/>
          </w:tcPr>
          <w:p>
            <w:pPr>
              <w:ind w:left="120"/>
              <w:spacing w:after="0"/>
              <w:rPr>
                <w:sz w:val="20"/>
                <w:szCs w:val="20"/>
                <w:color w:val="auto"/>
              </w:rPr>
            </w:pPr>
            <w:r>
              <w:rPr>
                <w:rFonts w:ascii="Arial" w:cs="Arial" w:eastAsia="Arial" w:hAnsi="Arial"/>
                <w:sz w:val="14"/>
                <w:szCs w:val="14"/>
                <w:color w:val="auto"/>
              </w:rPr>
              <w:t>TranscanadaCorp.</w:t>
            </w:r>
          </w:p>
        </w:tc>
      </w:tr>
      <w:tr>
        <w:trPr>
          <w:trHeight w:val="23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WPX</w:t>
            </w:r>
          </w:p>
        </w:tc>
        <w:tc>
          <w:tcPr>
            <w:tcW w:w="2100" w:type="dxa"/>
            <w:vAlign w:val="bottom"/>
          </w:tcPr>
          <w:p>
            <w:pPr>
              <w:ind w:left="140"/>
              <w:spacing w:after="0"/>
              <w:rPr>
                <w:sz w:val="20"/>
                <w:szCs w:val="20"/>
                <w:color w:val="auto"/>
              </w:rPr>
            </w:pPr>
            <w:r>
              <w:rPr>
                <w:rFonts w:ascii="Arial" w:cs="Arial" w:eastAsia="Arial" w:hAnsi="Arial"/>
                <w:sz w:val="14"/>
                <w:szCs w:val="14"/>
                <w:color w:val="auto"/>
              </w:rPr>
              <w:t>WPXEnergy</w:t>
            </w:r>
          </w:p>
        </w:tc>
      </w:tr>
    </w:tbl>
    <w:p>
      <w:pPr>
        <w:spacing w:after="0" w:line="200" w:lineRule="exact"/>
        <w:rPr>
          <w:sz w:val="20"/>
          <w:szCs w:val="20"/>
          <w:color w:val="auto"/>
        </w:rPr>
      </w:pPr>
    </w:p>
    <w:p>
      <w:pPr>
        <w:sectPr>
          <w:pgSz w:w="11900" w:h="16838" w:orient="portrait"/>
          <w:cols w:equalWidth="0" w:num="2">
            <w:col w:w="7280" w:space="260"/>
            <w:col w:w="3420"/>
          </w:cols>
          <w:pgMar w:left="240" w:top="459" w:right="699" w:bottom="1440" w:gutter="0" w:footer="0" w:header="0"/>
        </w:sectPr>
      </w:pPr>
    </w:p>
    <w:p>
      <w:pPr>
        <w:spacing w:after="0" w:line="44" w:lineRule="exact"/>
        <w:rPr>
          <w:sz w:val="20"/>
          <w:szCs w:val="20"/>
          <w:color w:val="auto"/>
        </w:rPr>
      </w:pPr>
    </w:p>
    <w:p>
      <w:pPr>
        <w:jc w:val="both"/>
        <w:ind w:left="460"/>
        <w:spacing w:after="0" w:line="249" w:lineRule="auto"/>
        <w:rPr>
          <w:sz w:val="20"/>
          <w:szCs w:val="20"/>
          <w:color w:val="auto"/>
        </w:rPr>
      </w:pPr>
      <w:r>
        <w:rPr>
          <w:rFonts w:ascii="Arial" w:cs="Arial" w:eastAsia="Arial" w:hAnsi="Arial"/>
          <w:sz w:val="16"/>
          <w:szCs w:val="16"/>
          <w:color w:val="auto"/>
        </w:rPr>
        <w:t>ensure competitiveness and appropriateness of proposed compensation packages. When setting pay, the Committee uses market median information of our comparator group, as opposed to market averages, to ensure that the impact of any unusual events that may occur at one or two companies during any particular year is diminished from the analysis. If an event is particularly unusual and surrounded by unique circumstances, the data is completely removed from the assessment. Two of our comparator companies are not considered in our aggregate pay statistics due to significant pay practice differences, but are still considered in the analysis of company performance with regard to our performance-based equity awards.</w:t>
      </w:r>
    </w:p>
    <w:p>
      <w:pPr>
        <w:spacing w:after="0" w:line="132"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42</w:t>
            </w:r>
          </w:p>
        </w:tc>
      </w:tr>
    </w:tbl>
    <w:p>
      <w:pPr>
        <w:sectPr>
          <w:pgSz w:w="11900" w:h="16838" w:orient="portrait"/>
          <w:cols w:equalWidth="0" w:num="1">
            <w:col w:w="10960"/>
          </w:cols>
          <w:pgMar w:left="240" w:top="459" w:right="69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shows the range of our 2014 comparator companies’ revenues, assets, market capitalization, and enterprise value as reported for 2013. (</w:t>
      </w:r>
      <w:r>
        <w:rPr>
          <w:rFonts w:ascii="Arial" w:cs="Arial" w:eastAsia="Arial" w:hAnsi="Arial"/>
          <w:sz w:val="16"/>
          <w:szCs w:val="16"/>
          <w:i w:val="1"/>
          <w:iCs w:val="1"/>
          <w:color w:val="auto"/>
        </w:rPr>
        <w:t>dollars in millions</w:t>
      </w:r>
      <w:r>
        <w:rPr>
          <w:rFonts w:ascii="Arial" w:cs="Arial" w:eastAsia="Arial" w:hAnsi="Arial"/>
          <w:sz w:val="16"/>
          <w:szCs w:val="16"/>
          <w:color w:val="auto"/>
        </w:rPr>
        <w:t>)</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360" w:type="dxa"/>
            <w:vAlign w:val="bottom"/>
            <w:tcBorders>
              <w:top w:val="single" w:sz="8" w:color="auto"/>
              <w:left w:val="single" w:sz="8" w:color="auto"/>
              <w:right w:val="single" w:sz="8" w:color="auto"/>
            </w:tcBorders>
          </w:tcPr>
          <w:p>
            <w:pPr>
              <w:spacing w:after="0"/>
              <w:rPr>
                <w:sz w:val="16"/>
                <w:szCs w:val="16"/>
                <w:color w:val="auto"/>
              </w:rPr>
            </w:pPr>
          </w:p>
        </w:tc>
        <w:tc>
          <w:tcPr>
            <w:tcW w:w="1140" w:type="dxa"/>
            <w:vAlign w:val="bottom"/>
            <w:tcBorders>
              <w:top w:val="single" w:sz="8" w:color="auto"/>
              <w:right w:val="single" w:sz="8" w:color="auto"/>
            </w:tcBorders>
          </w:tcPr>
          <w:p>
            <w:pPr>
              <w:spacing w:after="0"/>
              <w:rPr>
                <w:sz w:val="16"/>
                <w:szCs w:val="16"/>
                <w:color w:val="auto"/>
              </w:rPr>
            </w:pPr>
          </w:p>
        </w:tc>
        <w:tc>
          <w:tcPr>
            <w:tcW w:w="1380" w:type="dxa"/>
            <w:vAlign w:val="bottom"/>
            <w:tcBorders>
              <w:top w:val="single" w:sz="8" w:color="auto"/>
              <w:right w:val="single" w:sz="8" w:color="auto"/>
            </w:tcBorders>
          </w:tcPr>
          <w:p>
            <w:pPr>
              <w:spacing w:after="0"/>
              <w:rPr>
                <w:sz w:val="16"/>
                <w:szCs w:val="16"/>
                <w:color w:val="auto"/>
              </w:rPr>
            </w:pPr>
          </w:p>
        </w:tc>
        <w:tc>
          <w:tcPr>
            <w:tcW w:w="1740" w:type="dxa"/>
            <w:vAlign w:val="bottom"/>
            <w:tcBorders>
              <w:top w:val="single" w:sz="8" w:color="auto"/>
              <w:right w:val="single" w:sz="8" w:color="auto"/>
            </w:tcBorders>
          </w:tcPr>
          <w:p>
            <w:pPr>
              <w:spacing w:after="0"/>
              <w:rPr>
                <w:sz w:val="16"/>
                <w:szCs w:val="16"/>
                <w:color w:val="auto"/>
              </w:rPr>
            </w:pPr>
          </w:p>
        </w:tc>
        <w:tc>
          <w:tcPr>
            <w:tcW w:w="1860" w:type="dxa"/>
            <w:vAlign w:val="bottom"/>
            <w:tcBorders>
              <w:top w:val="single" w:sz="8" w:color="auto"/>
              <w:right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Market</w:t>
            </w:r>
          </w:p>
        </w:tc>
        <w:tc>
          <w:tcPr>
            <w:tcW w:w="1960" w:type="dxa"/>
            <w:vAlign w:val="bottom"/>
            <w:tcBorders>
              <w:top w:val="single" w:sz="8" w:color="auto"/>
              <w:right w:val="single" w:sz="8" w:color="auto"/>
            </w:tcBorders>
          </w:tcPr>
          <w:p>
            <w:pPr>
              <w:spacing w:after="0"/>
              <w:rPr>
                <w:sz w:val="16"/>
                <w:szCs w:val="16"/>
                <w:color w:val="auto"/>
              </w:rPr>
            </w:pPr>
          </w:p>
        </w:tc>
      </w:tr>
      <w:tr>
        <w:trPr>
          <w:trHeight w:val="207"/>
        </w:trPr>
        <w:tc>
          <w:tcPr>
            <w:tcW w:w="3360" w:type="dxa"/>
            <w:vAlign w:val="bottom"/>
            <w:tcBorders>
              <w:left w:val="single" w:sz="8" w:color="auto"/>
              <w:bottom w:val="single" w:sz="8" w:color="auto"/>
              <w:right w:val="single" w:sz="8" w:color="auto"/>
            </w:tcBorders>
          </w:tcPr>
          <w:p>
            <w:pPr>
              <w:ind w:left="1140"/>
              <w:spacing w:after="0"/>
              <w:rPr>
                <w:sz w:val="20"/>
                <w:szCs w:val="20"/>
                <w:color w:val="auto"/>
              </w:rPr>
            </w:pPr>
            <w:r>
              <w:rPr>
                <w:rFonts w:ascii="Arial" w:cs="Arial" w:eastAsia="Arial" w:hAnsi="Arial"/>
                <w:sz w:val="16"/>
                <w:szCs w:val="16"/>
                <w:b w:val="1"/>
                <w:bCs w:val="1"/>
                <w:color w:val="auto"/>
              </w:rPr>
              <w:t>Company Name</w:t>
            </w:r>
          </w:p>
        </w:tc>
        <w:tc>
          <w:tcPr>
            <w:tcW w:w="11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Ticker</w:t>
            </w:r>
          </w:p>
        </w:tc>
        <w:tc>
          <w:tcPr>
            <w:tcW w:w="138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Revenue</w:t>
            </w:r>
          </w:p>
        </w:tc>
        <w:tc>
          <w:tcPr>
            <w:tcW w:w="174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Total Assets</w:t>
            </w:r>
          </w:p>
        </w:tc>
        <w:tc>
          <w:tcPr>
            <w:tcW w:w="186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Capitalization</w:t>
            </w:r>
          </w:p>
        </w:tc>
        <w:tc>
          <w:tcPr>
            <w:tcW w:w="196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Enterprise Value</w:t>
            </w:r>
          </w:p>
        </w:tc>
      </w:tr>
      <w:tr>
        <w:trPr>
          <w:trHeight w:val="183"/>
        </w:trPr>
        <w:tc>
          <w:tcPr>
            <w:tcW w:w="3360" w:type="dxa"/>
            <w:vAlign w:val="bottom"/>
            <w:tcBorders>
              <w:left w:val="single" w:sz="8" w:color="auto"/>
              <w:bottom w:val="single" w:sz="8" w:color="auto"/>
              <w:right w:val="single" w:sz="8" w:color="auto"/>
            </w:tcBorders>
            <w:shd w:val="clear" w:color="auto" w:fill="CCEEFF"/>
          </w:tcPr>
          <w:p>
            <w:pPr>
              <w:ind w:left="160"/>
              <w:spacing w:after="0" w:line="183" w:lineRule="exact"/>
              <w:rPr>
                <w:sz w:val="20"/>
                <w:szCs w:val="20"/>
                <w:color w:val="auto"/>
              </w:rPr>
            </w:pPr>
            <w:r>
              <w:rPr>
                <w:rFonts w:ascii="Arial" w:cs="Arial" w:eastAsia="Arial" w:hAnsi="Arial"/>
                <w:sz w:val="16"/>
                <w:szCs w:val="16"/>
                <w:color w:val="auto"/>
              </w:rPr>
              <w:t>Atmos Energy</w:t>
            </w:r>
          </w:p>
        </w:tc>
        <w:tc>
          <w:tcPr>
            <w:tcW w:w="1140" w:type="dxa"/>
            <w:vAlign w:val="bottom"/>
            <w:tcBorders>
              <w:bottom w:val="single" w:sz="8" w:color="auto"/>
              <w:right w:val="single" w:sz="8" w:color="auto"/>
            </w:tcBorders>
            <w:shd w:val="clear" w:color="auto" w:fill="CCEEFF"/>
          </w:tcPr>
          <w:p>
            <w:pPr>
              <w:jc w:val="center"/>
              <w:ind w:left="459"/>
              <w:spacing w:after="0" w:line="183" w:lineRule="exact"/>
              <w:rPr>
                <w:sz w:val="20"/>
                <w:szCs w:val="20"/>
                <w:color w:val="auto"/>
              </w:rPr>
            </w:pPr>
            <w:r>
              <w:rPr>
                <w:rFonts w:ascii="Arial" w:cs="Arial" w:eastAsia="Arial" w:hAnsi="Arial"/>
                <w:sz w:val="16"/>
                <w:szCs w:val="16"/>
                <w:color w:val="auto"/>
                <w:w w:val="97"/>
              </w:rPr>
              <w:t>ATO</w:t>
            </w:r>
          </w:p>
        </w:tc>
        <w:tc>
          <w:tcPr>
            <w:tcW w:w="1380" w:type="dxa"/>
            <w:vAlign w:val="bottom"/>
            <w:tcBorders>
              <w:bottom w:val="single" w:sz="8" w:color="auto"/>
              <w:right w:val="single" w:sz="8" w:color="auto"/>
            </w:tcBorders>
            <w:shd w:val="clear" w:color="auto" w:fill="CCEEFF"/>
          </w:tcPr>
          <w:p>
            <w:pPr>
              <w:jc w:val="right"/>
              <w:ind w:right="239"/>
              <w:spacing w:after="0" w:line="183" w:lineRule="exact"/>
              <w:rPr>
                <w:sz w:val="20"/>
                <w:szCs w:val="20"/>
                <w:color w:val="auto"/>
              </w:rPr>
            </w:pPr>
            <w:r>
              <w:rPr>
                <w:rFonts w:ascii="Arial" w:cs="Arial" w:eastAsia="Arial" w:hAnsi="Arial"/>
                <w:sz w:val="16"/>
                <w:szCs w:val="16"/>
                <w:color w:val="auto"/>
              </w:rPr>
              <w:t>$3,875.5</w:t>
            </w:r>
          </w:p>
        </w:tc>
        <w:tc>
          <w:tcPr>
            <w:tcW w:w="174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$7,934.3</w:t>
            </w:r>
          </w:p>
        </w:tc>
        <w:tc>
          <w:tcPr>
            <w:tcW w:w="1860" w:type="dxa"/>
            <w:vAlign w:val="bottom"/>
            <w:tcBorders>
              <w:bottom w:val="single" w:sz="8" w:color="auto"/>
              <w:right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6"/>
                <w:szCs w:val="16"/>
                <w:color w:val="auto"/>
              </w:rPr>
              <w:t>$4,131.3</w:t>
            </w:r>
          </w:p>
        </w:tc>
        <w:tc>
          <w:tcPr>
            <w:tcW w:w="196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$7,082.3</w:t>
            </w:r>
          </w:p>
        </w:tc>
      </w:tr>
      <w:tr>
        <w:trPr>
          <w:trHeight w:val="183"/>
        </w:trPr>
        <w:tc>
          <w:tcPr>
            <w:tcW w:w="3360" w:type="dxa"/>
            <w:vAlign w:val="bottom"/>
            <w:tcBorders>
              <w:left w:val="single" w:sz="8" w:color="auto"/>
              <w:bottom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rPr>
              <w:t>CenterPoint Energy, Inc.</w:t>
            </w:r>
          </w:p>
        </w:tc>
        <w:tc>
          <w:tcPr>
            <w:tcW w:w="1140" w:type="dxa"/>
            <w:vAlign w:val="bottom"/>
            <w:tcBorders>
              <w:bottom w:val="single" w:sz="8" w:color="auto"/>
              <w:right w:val="single" w:sz="8" w:color="auto"/>
            </w:tcBorders>
          </w:tcPr>
          <w:p>
            <w:pPr>
              <w:jc w:val="center"/>
              <w:ind w:left="439"/>
              <w:spacing w:after="0" w:line="183" w:lineRule="exact"/>
              <w:rPr>
                <w:sz w:val="20"/>
                <w:szCs w:val="20"/>
                <w:color w:val="auto"/>
              </w:rPr>
            </w:pPr>
            <w:r>
              <w:rPr>
                <w:rFonts w:ascii="Arial" w:cs="Arial" w:eastAsia="Arial" w:hAnsi="Arial"/>
                <w:sz w:val="16"/>
                <w:szCs w:val="16"/>
                <w:color w:val="auto"/>
              </w:rPr>
              <w:t>CNP</w:t>
            </w:r>
          </w:p>
        </w:tc>
        <w:tc>
          <w:tcPr>
            <w:tcW w:w="1380" w:type="dxa"/>
            <w:vAlign w:val="bottom"/>
            <w:tcBorders>
              <w:bottom w:val="single" w:sz="8" w:color="auto"/>
              <w:right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8,106.0</w:t>
            </w:r>
          </w:p>
        </w:tc>
        <w:tc>
          <w:tcPr>
            <w:tcW w:w="174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21,870.0</w:t>
            </w:r>
          </w:p>
        </w:tc>
        <w:tc>
          <w:tcPr>
            <w:tcW w:w="1860" w:type="dxa"/>
            <w:vAlign w:val="bottom"/>
            <w:tcBorders>
              <w:bottom w:val="single" w:sz="8" w:color="auto"/>
              <w:right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9,940.6</w:t>
            </w:r>
          </w:p>
        </w:tc>
        <w:tc>
          <w:tcPr>
            <w:tcW w:w="196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18,544.6</w:t>
            </w:r>
          </w:p>
        </w:tc>
      </w:tr>
      <w:tr>
        <w:trPr>
          <w:trHeight w:val="183"/>
        </w:trPr>
        <w:tc>
          <w:tcPr>
            <w:tcW w:w="3360" w:type="dxa"/>
            <w:vAlign w:val="bottom"/>
            <w:tcBorders>
              <w:left w:val="single" w:sz="8" w:color="auto"/>
              <w:bottom w:val="single" w:sz="8" w:color="auto"/>
              <w:right w:val="single" w:sz="8" w:color="auto"/>
            </w:tcBorders>
            <w:shd w:val="clear" w:color="auto" w:fill="CCEEFF"/>
          </w:tcPr>
          <w:p>
            <w:pPr>
              <w:ind w:left="160"/>
              <w:spacing w:after="0" w:line="183" w:lineRule="exact"/>
              <w:rPr>
                <w:sz w:val="20"/>
                <w:szCs w:val="20"/>
                <w:color w:val="auto"/>
              </w:rPr>
            </w:pPr>
            <w:r>
              <w:rPr>
                <w:rFonts w:ascii="Arial" w:cs="Arial" w:eastAsia="Arial" w:hAnsi="Arial"/>
                <w:sz w:val="16"/>
                <w:szCs w:val="16"/>
                <w:color w:val="auto"/>
              </w:rPr>
              <w:t>Devon Energy</w:t>
            </w:r>
          </w:p>
        </w:tc>
        <w:tc>
          <w:tcPr>
            <w:tcW w:w="1140" w:type="dxa"/>
            <w:vAlign w:val="bottom"/>
            <w:tcBorders>
              <w:bottom w:val="single" w:sz="8" w:color="auto"/>
              <w:right w:val="single" w:sz="8" w:color="auto"/>
            </w:tcBorders>
            <w:shd w:val="clear" w:color="auto" w:fill="CCEEFF"/>
          </w:tcPr>
          <w:p>
            <w:pPr>
              <w:jc w:val="center"/>
              <w:ind w:left="439"/>
              <w:spacing w:after="0" w:line="183" w:lineRule="exact"/>
              <w:rPr>
                <w:sz w:val="20"/>
                <w:szCs w:val="20"/>
                <w:color w:val="auto"/>
              </w:rPr>
            </w:pPr>
            <w:r>
              <w:rPr>
                <w:rFonts w:ascii="Arial" w:cs="Arial" w:eastAsia="Arial" w:hAnsi="Arial"/>
                <w:sz w:val="16"/>
                <w:szCs w:val="16"/>
                <w:color w:val="auto"/>
              </w:rPr>
              <w:t>DVN</w:t>
            </w:r>
          </w:p>
        </w:tc>
        <w:tc>
          <w:tcPr>
            <w:tcW w:w="1380" w:type="dxa"/>
            <w:vAlign w:val="bottom"/>
            <w:tcBorders>
              <w:bottom w:val="single" w:sz="8" w:color="auto"/>
              <w:right w:val="single" w:sz="8" w:color="auto"/>
            </w:tcBorders>
            <w:shd w:val="clear" w:color="auto" w:fill="CCEEFF"/>
          </w:tcPr>
          <w:p>
            <w:pPr>
              <w:jc w:val="right"/>
              <w:ind w:right="239"/>
              <w:spacing w:after="0" w:line="183" w:lineRule="exact"/>
              <w:rPr>
                <w:sz w:val="20"/>
                <w:szCs w:val="20"/>
                <w:color w:val="auto"/>
              </w:rPr>
            </w:pPr>
            <w:r>
              <w:rPr>
                <w:rFonts w:ascii="Arial" w:cs="Arial" w:eastAsia="Arial" w:hAnsi="Arial"/>
                <w:sz w:val="16"/>
                <w:szCs w:val="16"/>
                <w:color w:val="auto"/>
              </w:rPr>
              <w:t>10,397.0</w:t>
            </w:r>
          </w:p>
        </w:tc>
        <w:tc>
          <w:tcPr>
            <w:tcW w:w="174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42,877.0</w:t>
            </w:r>
          </w:p>
        </w:tc>
        <w:tc>
          <w:tcPr>
            <w:tcW w:w="1860" w:type="dxa"/>
            <w:vAlign w:val="bottom"/>
            <w:tcBorders>
              <w:bottom w:val="single" w:sz="8" w:color="auto"/>
              <w:right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6"/>
                <w:szCs w:val="16"/>
                <w:color w:val="auto"/>
              </w:rPr>
              <w:t>25,119.2</w:t>
            </w:r>
          </w:p>
        </w:tc>
        <w:tc>
          <w:tcPr>
            <w:tcW w:w="196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31,075.2</w:t>
            </w:r>
          </w:p>
        </w:tc>
      </w:tr>
      <w:tr>
        <w:trPr>
          <w:trHeight w:val="183"/>
        </w:trPr>
        <w:tc>
          <w:tcPr>
            <w:tcW w:w="3360" w:type="dxa"/>
            <w:vAlign w:val="bottom"/>
            <w:tcBorders>
              <w:left w:val="single" w:sz="8" w:color="auto"/>
              <w:bottom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rPr>
              <w:t>Dominion Resources</w:t>
            </w:r>
          </w:p>
        </w:tc>
        <w:tc>
          <w:tcPr>
            <w:tcW w:w="1140" w:type="dxa"/>
            <w:vAlign w:val="bottom"/>
            <w:tcBorders>
              <w:bottom w:val="single" w:sz="8" w:color="auto"/>
              <w:right w:val="single" w:sz="8" w:color="auto"/>
            </w:tcBorders>
          </w:tcPr>
          <w:p>
            <w:pPr>
              <w:jc w:val="center"/>
              <w:ind w:left="459"/>
              <w:spacing w:after="0" w:line="183" w:lineRule="exact"/>
              <w:rPr>
                <w:sz w:val="20"/>
                <w:szCs w:val="20"/>
                <w:color w:val="auto"/>
              </w:rPr>
            </w:pPr>
            <w:r>
              <w:rPr>
                <w:rFonts w:ascii="Arial" w:cs="Arial" w:eastAsia="Arial" w:hAnsi="Arial"/>
                <w:sz w:val="16"/>
                <w:szCs w:val="16"/>
                <w:color w:val="auto"/>
              </w:rPr>
              <w:t>D</w:t>
            </w:r>
          </w:p>
        </w:tc>
        <w:tc>
          <w:tcPr>
            <w:tcW w:w="1380" w:type="dxa"/>
            <w:vAlign w:val="bottom"/>
            <w:tcBorders>
              <w:bottom w:val="single" w:sz="8" w:color="auto"/>
              <w:right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13,120.0</w:t>
            </w:r>
          </w:p>
        </w:tc>
        <w:tc>
          <w:tcPr>
            <w:tcW w:w="174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50,096.0</w:t>
            </w:r>
          </w:p>
        </w:tc>
        <w:tc>
          <w:tcPr>
            <w:tcW w:w="1860" w:type="dxa"/>
            <w:vAlign w:val="bottom"/>
            <w:tcBorders>
              <w:bottom w:val="single" w:sz="8" w:color="auto"/>
              <w:right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37,584.9</w:t>
            </w:r>
          </w:p>
        </w:tc>
        <w:tc>
          <w:tcPr>
            <w:tcW w:w="196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60,301.9</w:t>
            </w:r>
          </w:p>
        </w:tc>
      </w:tr>
      <w:tr>
        <w:trPr>
          <w:trHeight w:val="183"/>
        </w:trPr>
        <w:tc>
          <w:tcPr>
            <w:tcW w:w="3360" w:type="dxa"/>
            <w:vAlign w:val="bottom"/>
            <w:tcBorders>
              <w:left w:val="single" w:sz="8" w:color="auto"/>
              <w:bottom w:val="single" w:sz="8" w:color="auto"/>
              <w:right w:val="single" w:sz="8" w:color="auto"/>
            </w:tcBorders>
            <w:shd w:val="clear" w:color="auto" w:fill="CCEEFF"/>
          </w:tcPr>
          <w:p>
            <w:pPr>
              <w:ind w:left="160"/>
              <w:spacing w:after="0" w:line="183" w:lineRule="exact"/>
              <w:rPr>
                <w:sz w:val="20"/>
                <w:szCs w:val="20"/>
                <w:color w:val="auto"/>
              </w:rPr>
            </w:pPr>
            <w:r>
              <w:rPr>
                <w:rFonts w:ascii="Arial" w:cs="Arial" w:eastAsia="Arial" w:hAnsi="Arial"/>
                <w:sz w:val="16"/>
                <w:szCs w:val="16"/>
                <w:color w:val="auto"/>
              </w:rPr>
              <w:t>Enbridge Inc.</w:t>
            </w:r>
          </w:p>
        </w:tc>
        <w:tc>
          <w:tcPr>
            <w:tcW w:w="1140" w:type="dxa"/>
            <w:vAlign w:val="bottom"/>
            <w:tcBorders>
              <w:bottom w:val="single" w:sz="8" w:color="auto"/>
              <w:right w:val="single" w:sz="8" w:color="auto"/>
            </w:tcBorders>
            <w:shd w:val="clear" w:color="auto" w:fill="CCEEFF"/>
          </w:tcPr>
          <w:p>
            <w:pPr>
              <w:jc w:val="center"/>
              <w:ind w:left="439"/>
              <w:spacing w:after="0" w:line="183" w:lineRule="exact"/>
              <w:rPr>
                <w:sz w:val="20"/>
                <w:szCs w:val="20"/>
                <w:color w:val="auto"/>
              </w:rPr>
            </w:pPr>
            <w:r>
              <w:rPr>
                <w:rFonts w:ascii="Arial" w:cs="Arial" w:eastAsia="Arial" w:hAnsi="Arial"/>
                <w:sz w:val="16"/>
                <w:szCs w:val="16"/>
                <w:color w:val="auto"/>
              </w:rPr>
              <w:t>ENB</w:t>
            </w:r>
          </w:p>
        </w:tc>
        <w:tc>
          <w:tcPr>
            <w:tcW w:w="1380" w:type="dxa"/>
            <w:vAlign w:val="bottom"/>
            <w:tcBorders>
              <w:bottom w:val="single" w:sz="8" w:color="auto"/>
              <w:right w:val="single" w:sz="8" w:color="auto"/>
            </w:tcBorders>
            <w:shd w:val="clear" w:color="auto" w:fill="CCEEFF"/>
          </w:tcPr>
          <w:p>
            <w:pPr>
              <w:jc w:val="right"/>
              <w:ind w:right="239"/>
              <w:spacing w:after="0" w:line="183" w:lineRule="exact"/>
              <w:rPr>
                <w:sz w:val="20"/>
                <w:szCs w:val="20"/>
                <w:color w:val="auto"/>
              </w:rPr>
            </w:pPr>
            <w:r>
              <w:rPr>
                <w:rFonts w:ascii="Arial" w:cs="Arial" w:eastAsia="Arial" w:hAnsi="Arial"/>
                <w:sz w:val="16"/>
                <w:szCs w:val="16"/>
                <w:color w:val="auto"/>
              </w:rPr>
              <w:t>31,976.5</w:t>
            </w:r>
          </w:p>
        </w:tc>
        <w:tc>
          <w:tcPr>
            <w:tcW w:w="174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55,921.6</w:t>
            </w:r>
          </w:p>
        </w:tc>
        <w:tc>
          <w:tcPr>
            <w:tcW w:w="1860" w:type="dxa"/>
            <w:vAlign w:val="bottom"/>
            <w:tcBorders>
              <w:bottom w:val="single" w:sz="8" w:color="auto"/>
              <w:right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6"/>
                <w:szCs w:val="16"/>
                <w:color w:val="auto"/>
              </w:rPr>
              <w:t>36,298.1</w:t>
            </w:r>
          </w:p>
        </w:tc>
        <w:tc>
          <w:tcPr>
            <w:tcW w:w="196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69,565.1</w:t>
            </w:r>
          </w:p>
        </w:tc>
      </w:tr>
      <w:tr>
        <w:trPr>
          <w:trHeight w:val="183"/>
        </w:trPr>
        <w:tc>
          <w:tcPr>
            <w:tcW w:w="3360" w:type="dxa"/>
            <w:vAlign w:val="bottom"/>
            <w:tcBorders>
              <w:left w:val="single" w:sz="8" w:color="auto"/>
              <w:bottom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rPr>
              <w:t>Energy Transfer Equity</w:t>
            </w:r>
          </w:p>
        </w:tc>
        <w:tc>
          <w:tcPr>
            <w:tcW w:w="1140" w:type="dxa"/>
            <w:vAlign w:val="bottom"/>
            <w:tcBorders>
              <w:bottom w:val="single" w:sz="8" w:color="auto"/>
              <w:right w:val="single" w:sz="8" w:color="auto"/>
            </w:tcBorders>
          </w:tcPr>
          <w:p>
            <w:pPr>
              <w:jc w:val="center"/>
              <w:ind w:left="459"/>
              <w:spacing w:after="0" w:line="183" w:lineRule="exact"/>
              <w:rPr>
                <w:sz w:val="20"/>
                <w:szCs w:val="20"/>
                <w:color w:val="auto"/>
              </w:rPr>
            </w:pPr>
            <w:r>
              <w:rPr>
                <w:rFonts w:ascii="Arial" w:cs="Arial" w:eastAsia="Arial" w:hAnsi="Arial"/>
                <w:sz w:val="16"/>
                <w:szCs w:val="16"/>
                <w:color w:val="auto"/>
              </w:rPr>
              <w:t>ETE</w:t>
            </w:r>
          </w:p>
        </w:tc>
        <w:tc>
          <w:tcPr>
            <w:tcW w:w="1380" w:type="dxa"/>
            <w:vAlign w:val="bottom"/>
            <w:tcBorders>
              <w:bottom w:val="single" w:sz="8" w:color="auto"/>
              <w:right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48,335.0</w:t>
            </w:r>
          </w:p>
        </w:tc>
        <w:tc>
          <w:tcPr>
            <w:tcW w:w="174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50,330.0</w:t>
            </w:r>
          </w:p>
        </w:tc>
        <w:tc>
          <w:tcPr>
            <w:tcW w:w="1860" w:type="dxa"/>
            <w:vAlign w:val="bottom"/>
            <w:tcBorders>
              <w:bottom w:val="single" w:sz="8" w:color="auto"/>
              <w:right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22,884.1</w:t>
            </w:r>
          </w:p>
        </w:tc>
        <w:tc>
          <w:tcPr>
            <w:tcW w:w="196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60,726.1</w:t>
            </w:r>
          </w:p>
        </w:tc>
      </w:tr>
      <w:tr>
        <w:trPr>
          <w:trHeight w:val="183"/>
        </w:trPr>
        <w:tc>
          <w:tcPr>
            <w:tcW w:w="3360" w:type="dxa"/>
            <w:vAlign w:val="bottom"/>
            <w:tcBorders>
              <w:left w:val="single" w:sz="8" w:color="auto"/>
              <w:bottom w:val="single" w:sz="8" w:color="auto"/>
              <w:right w:val="single" w:sz="8" w:color="auto"/>
            </w:tcBorders>
            <w:shd w:val="clear" w:color="auto" w:fill="CCEEFF"/>
          </w:tcPr>
          <w:p>
            <w:pPr>
              <w:ind w:left="160"/>
              <w:spacing w:after="0" w:line="183" w:lineRule="exact"/>
              <w:rPr>
                <w:sz w:val="20"/>
                <w:szCs w:val="20"/>
                <w:color w:val="auto"/>
              </w:rPr>
            </w:pPr>
            <w:r>
              <w:rPr>
                <w:rFonts w:ascii="Arial" w:cs="Arial" w:eastAsia="Arial" w:hAnsi="Arial"/>
                <w:sz w:val="16"/>
                <w:szCs w:val="16"/>
                <w:color w:val="auto"/>
              </w:rPr>
              <w:t>EQT</w:t>
            </w:r>
          </w:p>
        </w:tc>
        <w:tc>
          <w:tcPr>
            <w:tcW w:w="1140" w:type="dxa"/>
            <w:vAlign w:val="bottom"/>
            <w:tcBorders>
              <w:bottom w:val="single" w:sz="8" w:color="auto"/>
              <w:right w:val="single" w:sz="8" w:color="auto"/>
            </w:tcBorders>
            <w:shd w:val="clear" w:color="auto" w:fill="CCEEFF"/>
          </w:tcPr>
          <w:p>
            <w:pPr>
              <w:jc w:val="center"/>
              <w:ind w:left="439"/>
              <w:spacing w:after="0" w:line="183" w:lineRule="exact"/>
              <w:rPr>
                <w:sz w:val="20"/>
                <w:szCs w:val="20"/>
                <w:color w:val="auto"/>
              </w:rPr>
            </w:pPr>
            <w:r>
              <w:rPr>
                <w:rFonts w:ascii="Arial" w:cs="Arial" w:eastAsia="Arial" w:hAnsi="Arial"/>
                <w:sz w:val="16"/>
                <w:szCs w:val="16"/>
                <w:color w:val="auto"/>
              </w:rPr>
              <w:t>EQT</w:t>
            </w:r>
          </w:p>
        </w:tc>
        <w:tc>
          <w:tcPr>
            <w:tcW w:w="1380" w:type="dxa"/>
            <w:vAlign w:val="bottom"/>
            <w:tcBorders>
              <w:bottom w:val="single" w:sz="8" w:color="auto"/>
              <w:right w:val="single" w:sz="8" w:color="auto"/>
            </w:tcBorders>
            <w:shd w:val="clear" w:color="auto" w:fill="CCEEFF"/>
          </w:tcPr>
          <w:p>
            <w:pPr>
              <w:jc w:val="right"/>
              <w:ind w:right="239"/>
              <w:spacing w:after="0" w:line="183" w:lineRule="exact"/>
              <w:rPr>
                <w:sz w:val="20"/>
                <w:szCs w:val="20"/>
                <w:color w:val="auto"/>
              </w:rPr>
            </w:pPr>
            <w:r>
              <w:rPr>
                <w:rFonts w:ascii="Arial" w:cs="Arial" w:eastAsia="Arial" w:hAnsi="Arial"/>
                <w:sz w:val="16"/>
                <w:szCs w:val="16"/>
                <w:color w:val="auto"/>
              </w:rPr>
              <w:t>1,862.0</w:t>
            </w:r>
          </w:p>
        </w:tc>
        <w:tc>
          <w:tcPr>
            <w:tcW w:w="174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9,792.1</w:t>
            </w:r>
          </w:p>
        </w:tc>
        <w:tc>
          <w:tcPr>
            <w:tcW w:w="1860" w:type="dxa"/>
            <w:vAlign w:val="bottom"/>
            <w:tcBorders>
              <w:bottom w:val="single" w:sz="8" w:color="auto"/>
              <w:right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6"/>
                <w:szCs w:val="16"/>
                <w:color w:val="auto"/>
              </w:rPr>
              <w:t>13,546.4</w:t>
            </w:r>
          </w:p>
        </w:tc>
        <w:tc>
          <w:tcPr>
            <w:tcW w:w="196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16,031.6</w:t>
            </w:r>
          </w:p>
        </w:tc>
      </w:tr>
      <w:tr>
        <w:trPr>
          <w:trHeight w:val="183"/>
        </w:trPr>
        <w:tc>
          <w:tcPr>
            <w:tcW w:w="3360" w:type="dxa"/>
            <w:vAlign w:val="bottom"/>
            <w:tcBorders>
              <w:left w:val="single" w:sz="8" w:color="auto"/>
              <w:bottom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rPr>
              <w:t>Kinder Morgan</w:t>
            </w:r>
          </w:p>
        </w:tc>
        <w:tc>
          <w:tcPr>
            <w:tcW w:w="1140" w:type="dxa"/>
            <w:vAlign w:val="bottom"/>
            <w:tcBorders>
              <w:bottom w:val="single" w:sz="8" w:color="auto"/>
              <w:right w:val="single" w:sz="8" w:color="auto"/>
            </w:tcBorders>
          </w:tcPr>
          <w:p>
            <w:pPr>
              <w:jc w:val="center"/>
              <w:ind w:left="459"/>
              <w:spacing w:after="0" w:line="183" w:lineRule="exact"/>
              <w:rPr>
                <w:sz w:val="20"/>
                <w:szCs w:val="20"/>
                <w:color w:val="auto"/>
              </w:rPr>
            </w:pPr>
            <w:r>
              <w:rPr>
                <w:rFonts w:ascii="Arial" w:cs="Arial" w:eastAsia="Arial" w:hAnsi="Arial"/>
                <w:sz w:val="16"/>
                <w:szCs w:val="16"/>
                <w:color w:val="auto"/>
                <w:w w:val="98"/>
              </w:rPr>
              <w:t>KMI</w:t>
            </w:r>
          </w:p>
        </w:tc>
        <w:tc>
          <w:tcPr>
            <w:tcW w:w="1380" w:type="dxa"/>
            <w:vAlign w:val="bottom"/>
            <w:tcBorders>
              <w:bottom w:val="single" w:sz="8" w:color="auto"/>
              <w:right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14,070.0</w:t>
            </w:r>
          </w:p>
        </w:tc>
        <w:tc>
          <w:tcPr>
            <w:tcW w:w="174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75,185.0</w:t>
            </w:r>
          </w:p>
        </w:tc>
        <w:tc>
          <w:tcPr>
            <w:tcW w:w="1860" w:type="dxa"/>
            <w:vAlign w:val="bottom"/>
            <w:tcBorders>
              <w:bottom w:val="single" w:sz="8" w:color="auto"/>
              <w:right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37,104.4</w:t>
            </w:r>
          </w:p>
        </w:tc>
        <w:tc>
          <w:tcPr>
            <w:tcW w:w="196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87,891.4</w:t>
            </w:r>
          </w:p>
        </w:tc>
      </w:tr>
      <w:tr>
        <w:trPr>
          <w:trHeight w:val="183"/>
        </w:trPr>
        <w:tc>
          <w:tcPr>
            <w:tcW w:w="3360" w:type="dxa"/>
            <w:vAlign w:val="bottom"/>
            <w:tcBorders>
              <w:left w:val="single" w:sz="8" w:color="auto"/>
              <w:bottom w:val="single" w:sz="8" w:color="auto"/>
              <w:right w:val="single" w:sz="8" w:color="auto"/>
            </w:tcBorders>
            <w:shd w:val="clear" w:color="auto" w:fill="CCEEFF"/>
          </w:tcPr>
          <w:p>
            <w:pPr>
              <w:ind w:left="160"/>
              <w:spacing w:after="0" w:line="183" w:lineRule="exact"/>
              <w:rPr>
                <w:sz w:val="20"/>
                <w:szCs w:val="20"/>
                <w:color w:val="auto"/>
              </w:rPr>
            </w:pPr>
            <w:r>
              <w:rPr>
                <w:rFonts w:ascii="Arial" w:cs="Arial" w:eastAsia="Arial" w:hAnsi="Arial"/>
                <w:sz w:val="16"/>
                <w:szCs w:val="16"/>
                <w:color w:val="auto"/>
              </w:rPr>
              <w:t>NiSource</w:t>
            </w:r>
          </w:p>
        </w:tc>
        <w:tc>
          <w:tcPr>
            <w:tcW w:w="1140" w:type="dxa"/>
            <w:vAlign w:val="bottom"/>
            <w:tcBorders>
              <w:bottom w:val="single" w:sz="8" w:color="auto"/>
              <w:right w:val="single" w:sz="8" w:color="auto"/>
            </w:tcBorders>
            <w:shd w:val="clear" w:color="auto" w:fill="CCEEFF"/>
          </w:tcPr>
          <w:p>
            <w:pPr>
              <w:jc w:val="center"/>
              <w:ind w:left="459"/>
              <w:spacing w:after="0" w:line="183" w:lineRule="exact"/>
              <w:rPr>
                <w:sz w:val="20"/>
                <w:szCs w:val="20"/>
                <w:color w:val="auto"/>
              </w:rPr>
            </w:pPr>
            <w:r>
              <w:rPr>
                <w:rFonts w:ascii="Arial" w:cs="Arial" w:eastAsia="Arial" w:hAnsi="Arial"/>
                <w:sz w:val="16"/>
                <w:szCs w:val="16"/>
                <w:color w:val="auto"/>
                <w:w w:val="99"/>
              </w:rPr>
              <w:t>NI</w:t>
            </w:r>
          </w:p>
        </w:tc>
        <w:tc>
          <w:tcPr>
            <w:tcW w:w="1380" w:type="dxa"/>
            <w:vAlign w:val="bottom"/>
            <w:tcBorders>
              <w:bottom w:val="single" w:sz="8" w:color="auto"/>
              <w:right w:val="single" w:sz="8" w:color="auto"/>
            </w:tcBorders>
            <w:shd w:val="clear" w:color="auto" w:fill="CCEEFF"/>
          </w:tcPr>
          <w:p>
            <w:pPr>
              <w:jc w:val="right"/>
              <w:ind w:right="239"/>
              <w:spacing w:after="0" w:line="183" w:lineRule="exact"/>
              <w:rPr>
                <w:sz w:val="20"/>
                <w:szCs w:val="20"/>
                <w:color w:val="auto"/>
              </w:rPr>
            </w:pPr>
            <w:r>
              <w:rPr>
                <w:rFonts w:ascii="Arial" w:cs="Arial" w:eastAsia="Arial" w:hAnsi="Arial"/>
                <w:sz w:val="16"/>
                <w:szCs w:val="16"/>
                <w:color w:val="auto"/>
              </w:rPr>
              <w:t>5,657.3</w:t>
            </w:r>
          </w:p>
        </w:tc>
        <w:tc>
          <w:tcPr>
            <w:tcW w:w="174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22,653.9</w:t>
            </w:r>
          </w:p>
        </w:tc>
        <w:tc>
          <w:tcPr>
            <w:tcW w:w="1860" w:type="dxa"/>
            <w:vAlign w:val="bottom"/>
            <w:tcBorders>
              <w:bottom w:val="single" w:sz="8" w:color="auto"/>
              <w:right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6"/>
                <w:szCs w:val="16"/>
                <w:color w:val="auto"/>
              </w:rPr>
              <w:t>10,313.7</w:t>
            </w:r>
          </w:p>
        </w:tc>
        <w:tc>
          <w:tcPr>
            <w:tcW w:w="196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19,120.9</w:t>
            </w:r>
          </w:p>
        </w:tc>
      </w:tr>
      <w:tr>
        <w:trPr>
          <w:trHeight w:val="183"/>
        </w:trPr>
        <w:tc>
          <w:tcPr>
            <w:tcW w:w="3360" w:type="dxa"/>
            <w:vAlign w:val="bottom"/>
            <w:tcBorders>
              <w:left w:val="single" w:sz="8" w:color="auto"/>
              <w:bottom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rPr>
              <w:t>Oneok</w:t>
            </w:r>
          </w:p>
        </w:tc>
        <w:tc>
          <w:tcPr>
            <w:tcW w:w="1140" w:type="dxa"/>
            <w:vAlign w:val="bottom"/>
            <w:tcBorders>
              <w:bottom w:val="single" w:sz="8" w:color="auto"/>
              <w:right w:val="single" w:sz="8" w:color="auto"/>
            </w:tcBorders>
          </w:tcPr>
          <w:p>
            <w:pPr>
              <w:jc w:val="center"/>
              <w:ind w:left="439"/>
              <w:spacing w:after="0" w:line="183" w:lineRule="exact"/>
              <w:rPr>
                <w:sz w:val="20"/>
                <w:szCs w:val="20"/>
                <w:color w:val="auto"/>
              </w:rPr>
            </w:pPr>
            <w:r>
              <w:rPr>
                <w:rFonts w:ascii="Arial" w:cs="Arial" w:eastAsia="Arial" w:hAnsi="Arial"/>
                <w:sz w:val="16"/>
                <w:szCs w:val="16"/>
                <w:color w:val="auto"/>
              </w:rPr>
              <w:t>OKE</w:t>
            </w:r>
          </w:p>
        </w:tc>
        <w:tc>
          <w:tcPr>
            <w:tcW w:w="1380" w:type="dxa"/>
            <w:vAlign w:val="bottom"/>
            <w:tcBorders>
              <w:bottom w:val="single" w:sz="8" w:color="auto"/>
              <w:right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14,602.7</w:t>
            </w:r>
          </w:p>
        </w:tc>
        <w:tc>
          <w:tcPr>
            <w:tcW w:w="174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17,707.6</w:t>
            </w:r>
          </w:p>
        </w:tc>
        <w:tc>
          <w:tcPr>
            <w:tcW w:w="1860" w:type="dxa"/>
            <w:vAlign w:val="bottom"/>
            <w:tcBorders>
              <w:bottom w:val="single" w:sz="8" w:color="auto"/>
              <w:right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12,847.6</w:t>
            </w:r>
          </w:p>
        </w:tc>
        <w:tc>
          <w:tcPr>
            <w:tcW w:w="196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23,535.7</w:t>
            </w:r>
          </w:p>
        </w:tc>
      </w:tr>
      <w:tr>
        <w:trPr>
          <w:trHeight w:val="183"/>
        </w:trPr>
        <w:tc>
          <w:tcPr>
            <w:tcW w:w="3360" w:type="dxa"/>
            <w:vAlign w:val="bottom"/>
            <w:tcBorders>
              <w:left w:val="single" w:sz="8" w:color="auto"/>
              <w:bottom w:val="single" w:sz="8" w:color="auto"/>
              <w:right w:val="single" w:sz="8" w:color="auto"/>
            </w:tcBorders>
            <w:shd w:val="clear" w:color="auto" w:fill="CCEEFF"/>
          </w:tcPr>
          <w:p>
            <w:pPr>
              <w:ind w:left="160"/>
              <w:spacing w:after="0" w:line="183" w:lineRule="exact"/>
              <w:rPr>
                <w:sz w:val="20"/>
                <w:szCs w:val="20"/>
                <w:color w:val="auto"/>
              </w:rPr>
            </w:pPr>
            <w:r>
              <w:rPr>
                <w:rFonts w:ascii="Arial" w:cs="Arial" w:eastAsia="Arial" w:hAnsi="Arial"/>
                <w:sz w:val="16"/>
                <w:szCs w:val="16"/>
                <w:color w:val="auto"/>
              </w:rPr>
              <w:t>Plains All American Pipeline LP</w:t>
            </w:r>
          </w:p>
        </w:tc>
        <w:tc>
          <w:tcPr>
            <w:tcW w:w="1140" w:type="dxa"/>
            <w:vAlign w:val="bottom"/>
            <w:tcBorders>
              <w:bottom w:val="single" w:sz="8" w:color="auto"/>
              <w:right w:val="single" w:sz="8" w:color="auto"/>
            </w:tcBorders>
            <w:shd w:val="clear" w:color="auto" w:fill="CCEEFF"/>
          </w:tcPr>
          <w:p>
            <w:pPr>
              <w:jc w:val="center"/>
              <w:ind w:left="459"/>
              <w:spacing w:after="0" w:line="183" w:lineRule="exact"/>
              <w:rPr>
                <w:sz w:val="20"/>
                <w:szCs w:val="20"/>
                <w:color w:val="auto"/>
              </w:rPr>
            </w:pPr>
            <w:r>
              <w:rPr>
                <w:rFonts w:ascii="Arial" w:cs="Arial" w:eastAsia="Arial" w:hAnsi="Arial"/>
                <w:sz w:val="16"/>
                <w:szCs w:val="16"/>
                <w:color w:val="auto"/>
                <w:w w:val="99"/>
              </w:rPr>
              <w:t>PAA</w:t>
            </w:r>
          </w:p>
        </w:tc>
        <w:tc>
          <w:tcPr>
            <w:tcW w:w="1380" w:type="dxa"/>
            <w:vAlign w:val="bottom"/>
            <w:tcBorders>
              <w:bottom w:val="single" w:sz="8" w:color="auto"/>
              <w:right w:val="single" w:sz="8" w:color="auto"/>
            </w:tcBorders>
            <w:shd w:val="clear" w:color="auto" w:fill="CCEEFF"/>
          </w:tcPr>
          <w:p>
            <w:pPr>
              <w:jc w:val="right"/>
              <w:ind w:right="239"/>
              <w:spacing w:after="0" w:line="183" w:lineRule="exact"/>
              <w:rPr>
                <w:sz w:val="20"/>
                <w:szCs w:val="20"/>
                <w:color w:val="auto"/>
              </w:rPr>
            </w:pPr>
            <w:r>
              <w:rPr>
                <w:rFonts w:ascii="Arial" w:cs="Arial" w:eastAsia="Arial" w:hAnsi="Arial"/>
                <w:sz w:val="16"/>
                <w:szCs w:val="16"/>
                <w:color w:val="auto"/>
              </w:rPr>
              <w:t>42,249.0</w:t>
            </w:r>
          </w:p>
        </w:tc>
        <w:tc>
          <w:tcPr>
            <w:tcW w:w="174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20,360.0</w:t>
            </w:r>
          </w:p>
        </w:tc>
        <w:tc>
          <w:tcPr>
            <w:tcW w:w="1860" w:type="dxa"/>
            <w:vAlign w:val="bottom"/>
            <w:tcBorders>
              <w:bottom w:val="single" w:sz="8" w:color="auto"/>
              <w:right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6"/>
                <w:szCs w:val="16"/>
                <w:color w:val="auto"/>
              </w:rPr>
              <w:t>18,592.3</w:t>
            </w:r>
          </w:p>
        </w:tc>
        <w:tc>
          <w:tcPr>
            <w:tcW w:w="196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26,438.3</w:t>
            </w:r>
          </w:p>
        </w:tc>
      </w:tr>
      <w:tr>
        <w:trPr>
          <w:trHeight w:val="183"/>
        </w:trPr>
        <w:tc>
          <w:tcPr>
            <w:tcW w:w="3360" w:type="dxa"/>
            <w:vAlign w:val="bottom"/>
            <w:tcBorders>
              <w:left w:val="single" w:sz="8" w:color="auto"/>
              <w:bottom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rPr>
              <w:t>Sempra Energy</w:t>
            </w:r>
          </w:p>
        </w:tc>
        <w:tc>
          <w:tcPr>
            <w:tcW w:w="1140" w:type="dxa"/>
            <w:vAlign w:val="bottom"/>
            <w:tcBorders>
              <w:bottom w:val="single" w:sz="8" w:color="auto"/>
              <w:right w:val="single" w:sz="8" w:color="auto"/>
            </w:tcBorders>
          </w:tcPr>
          <w:p>
            <w:pPr>
              <w:jc w:val="center"/>
              <w:ind w:left="439"/>
              <w:spacing w:after="0" w:line="183" w:lineRule="exact"/>
              <w:rPr>
                <w:sz w:val="20"/>
                <w:szCs w:val="20"/>
                <w:color w:val="auto"/>
              </w:rPr>
            </w:pPr>
            <w:r>
              <w:rPr>
                <w:rFonts w:ascii="Arial" w:cs="Arial" w:eastAsia="Arial" w:hAnsi="Arial"/>
                <w:sz w:val="16"/>
                <w:szCs w:val="16"/>
                <w:color w:val="auto"/>
              </w:rPr>
              <w:t>SRE</w:t>
            </w:r>
          </w:p>
        </w:tc>
        <w:tc>
          <w:tcPr>
            <w:tcW w:w="1380" w:type="dxa"/>
            <w:vAlign w:val="bottom"/>
            <w:tcBorders>
              <w:bottom w:val="single" w:sz="8" w:color="auto"/>
              <w:right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10,557.0</w:t>
            </w:r>
          </w:p>
        </w:tc>
        <w:tc>
          <w:tcPr>
            <w:tcW w:w="174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37,244.0</w:t>
            </w:r>
          </w:p>
        </w:tc>
        <w:tc>
          <w:tcPr>
            <w:tcW w:w="1860" w:type="dxa"/>
            <w:vAlign w:val="bottom"/>
            <w:tcBorders>
              <w:bottom w:val="single" w:sz="8" w:color="auto"/>
              <w:right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21,901.4</w:t>
            </w:r>
          </w:p>
        </w:tc>
        <w:tc>
          <w:tcPr>
            <w:tcW w:w="196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34,784.4</w:t>
            </w:r>
          </w:p>
        </w:tc>
      </w:tr>
      <w:tr>
        <w:trPr>
          <w:trHeight w:val="183"/>
        </w:trPr>
        <w:tc>
          <w:tcPr>
            <w:tcW w:w="3360" w:type="dxa"/>
            <w:vAlign w:val="bottom"/>
            <w:tcBorders>
              <w:left w:val="single" w:sz="8" w:color="auto"/>
              <w:bottom w:val="single" w:sz="8" w:color="auto"/>
              <w:right w:val="single" w:sz="8" w:color="auto"/>
            </w:tcBorders>
            <w:shd w:val="clear" w:color="auto" w:fill="CCEEFF"/>
          </w:tcPr>
          <w:p>
            <w:pPr>
              <w:ind w:left="160"/>
              <w:spacing w:after="0" w:line="183" w:lineRule="exact"/>
              <w:rPr>
                <w:sz w:val="20"/>
                <w:szCs w:val="20"/>
                <w:color w:val="auto"/>
              </w:rPr>
            </w:pPr>
            <w:r>
              <w:rPr>
                <w:rFonts w:ascii="Arial" w:cs="Arial" w:eastAsia="Arial" w:hAnsi="Arial"/>
                <w:sz w:val="16"/>
                <w:szCs w:val="16"/>
                <w:color w:val="auto"/>
              </w:rPr>
              <w:t>Southern</w:t>
            </w:r>
          </w:p>
        </w:tc>
        <w:tc>
          <w:tcPr>
            <w:tcW w:w="1140" w:type="dxa"/>
            <w:vAlign w:val="bottom"/>
            <w:tcBorders>
              <w:bottom w:val="single" w:sz="8" w:color="auto"/>
              <w:right w:val="single" w:sz="8" w:color="auto"/>
            </w:tcBorders>
            <w:shd w:val="clear" w:color="auto" w:fill="CCEEFF"/>
          </w:tcPr>
          <w:p>
            <w:pPr>
              <w:jc w:val="center"/>
              <w:ind w:left="459"/>
              <w:spacing w:after="0" w:line="183" w:lineRule="exact"/>
              <w:rPr>
                <w:sz w:val="20"/>
                <w:szCs w:val="20"/>
                <w:color w:val="auto"/>
              </w:rPr>
            </w:pPr>
            <w:r>
              <w:rPr>
                <w:rFonts w:ascii="Arial" w:cs="Arial" w:eastAsia="Arial" w:hAnsi="Arial"/>
                <w:sz w:val="16"/>
                <w:szCs w:val="16"/>
                <w:color w:val="auto"/>
              </w:rPr>
              <w:t>SO</w:t>
            </w:r>
          </w:p>
        </w:tc>
        <w:tc>
          <w:tcPr>
            <w:tcW w:w="1380" w:type="dxa"/>
            <w:vAlign w:val="bottom"/>
            <w:tcBorders>
              <w:bottom w:val="single" w:sz="8" w:color="auto"/>
              <w:right w:val="single" w:sz="8" w:color="auto"/>
            </w:tcBorders>
            <w:shd w:val="clear" w:color="auto" w:fill="CCEEFF"/>
          </w:tcPr>
          <w:p>
            <w:pPr>
              <w:jc w:val="right"/>
              <w:ind w:right="239"/>
              <w:spacing w:after="0" w:line="183" w:lineRule="exact"/>
              <w:rPr>
                <w:sz w:val="20"/>
                <w:szCs w:val="20"/>
                <w:color w:val="auto"/>
              </w:rPr>
            </w:pPr>
            <w:r>
              <w:rPr>
                <w:rFonts w:ascii="Arial" w:cs="Arial" w:eastAsia="Arial" w:hAnsi="Arial"/>
                <w:sz w:val="16"/>
                <w:szCs w:val="16"/>
                <w:color w:val="auto"/>
              </w:rPr>
              <w:t>17,087.0</w:t>
            </w:r>
          </w:p>
        </w:tc>
        <w:tc>
          <w:tcPr>
            <w:tcW w:w="174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64,546.0</w:t>
            </w:r>
          </w:p>
        </w:tc>
        <w:tc>
          <w:tcPr>
            <w:tcW w:w="1860" w:type="dxa"/>
            <w:vAlign w:val="bottom"/>
            <w:tcBorders>
              <w:bottom w:val="single" w:sz="8" w:color="auto"/>
              <w:right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6"/>
                <w:szCs w:val="16"/>
                <w:color w:val="auto"/>
              </w:rPr>
              <w:t>36,476.9</w:t>
            </w:r>
          </w:p>
        </w:tc>
        <w:tc>
          <w:tcPr>
            <w:tcW w:w="196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59,487.9</w:t>
            </w:r>
          </w:p>
        </w:tc>
      </w:tr>
      <w:tr>
        <w:trPr>
          <w:trHeight w:val="183"/>
        </w:trPr>
        <w:tc>
          <w:tcPr>
            <w:tcW w:w="3360" w:type="dxa"/>
            <w:vAlign w:val="bottom"/>
            <w:tcBorders>
              <w:left w:val="single" w:sz="8" w:color="auto"/>
              <w:bottom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rPr>
              <w:t>Spectra Energy Corp.</w:t>
            </w:r>
          </w:p>
        </w:tc>
        <w:tc>
          <w:tcPr>
            <w:tcW w:w="1140" w:type="dxa"/>
            <w:vAlign w:val="bottom"/>
            <w:tcBorders>
              <w:bottom w:val="single" w:sz="8" w:color="auto"/>
              <w:right w:val="single" w:sz="8" w:color="auto"/>
            </w:tcBorders>
          </w:tcPr>
          <w:p>
            <w:pPr>
              <w:jc w:val="center"/>
              <w:ind w:left="439"/>
              <w:spacing w:after="0" w:line="183" w:lineRule="exact"/>
              <w:rPr>
                <w:sz w:val="20"/>
                <w:szCs w:val="20"/>
                <w:color w:val="auto"/>
              </w:rPr>
            </w:pPr>
            <w:r>
              <w:rPr>
                <w:rFonts w:ascii="Arial" w:cs="Arial" w:eastAsia="Arial" w:hAnsi="Arial"/>
                <w:sz w:val="16"/>
                <w:szCs w:val="16"/>
                <w:color w:val="auto"/>
              </w:rPr>
              <w:t>SE</w:t>
            </w:r>
          </w:p>
        </w:tc>
        <w:tc>
          <w:tcPr>
            <w:tcW w:w="1380" w:type="dxa"/>
            <w:vAlign w:val="bottom"/>
            <w:tcBorders>
              <w:bottom w:val="single" w:sz="8" w:color="auto"/>
              <w:right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5,518.0</w:t>
            </w:r>
          </w:p>
        </w:tc>
        <w:tc>
          <w:tcPr>
            <w:tcW w:w="174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33,533.0</w:t>
            </w:r>
          </w:p>
        </w:tc>
        <w:tc>
          <w:tcPr>
            <w:tcW w:w="1860" w:type="dxa"/>
            <w:vAlign w:val="bottom"/>
            <w:tcBorders>
              <w:bottom w:val="single" w:sz="8" w:color="auto"/>
              <w:right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23,865.4</w:t>
            </w:r>
          </w:p>
        </w:tc>
        <w:tc>
          <w:tcPr>
            <w:tcW w:w="196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40,468.4</w:t>
            </w:r>
          </w:p>
        </w:tc>
      </w:tr>
      <w:tr>
        <w:trPr>
          <w:trHeight w:val="183"/>
        </w:trPr>
        <w:tc>
          <w:tcPr>
            <w:tcW w:w="3360" w:type="dxa"/>
            <w:vAlign w:val="bottom"/>
            <w:tcBorders>
              <w:left w:val="single" w:sz="8" w:color="auto"/>
              <w:bottom w:val="single" w:sz="8" w:color="auto"/>
              <w:right w:val="single" w:sz="8" w:color="auto"/>
            </w:tcBorders>
            <w:shd w:val="clear" w:color="auto" w:fill="CCEEFF"/>
          </w:tcPr>
          <w:p>
            <w:pPr>
              <w:ind w:left="160"/>
              <w:spacing w:after="0" w:line="183" w:lineRule="exact"/>
              <w:rPr>
                <w:sz w:val="20"/>
                <w:szCs w:val="20"/>
                <w:color w:val="auto"/>
              </w:rPr>
            </w:pPr>
            <w:r>
              <w:rPr>
                <w:rFonts w:ascii="Arial" w:cs="Arial" w:eastAsia="Arial" w:hAnsi="Arial"/>
                <w:sz w:val="16"/>
                <w:szCs w:val="16"/>
                <w:color w:val="auto"/>
              </w:rPr>
              <w:t>Targa Resources Corp.</w:t>
            </w:r>
          </w:p>
        </w:tc>
        <w:tc>
          <w:tcPr>
            <w:tcW w:w="1140" w:type="dxa"/>
            <w:vAlign w:val="bottom"/>
            <w:tcBorders>
              <w:bottom w:val="single" w:sz="8" w:color="auto"/>
              <w:right w:val="single" w:sz="8" w:color="auto"/>
            </w:tcBorders>
            <w:shd w:val="clear" w:color="auto" w:fill="CCEEFF"/>
          </w:tcPr>
          <w:p>
            <w:pPr>
              <w:jc w:val="center"/>
              <w:ind w:left="439"/>
              <w:spacing w:after="0" w:line="183" w:lineRule="exact"/>
              <w:rPr>
                <w:sz w:val="20"/>
                <w:szCs w:val="20"/>
                <w:color w:val="auto"/>
              </w:rPr>
            </w:pPr>
            <w:r>
              <w:rPr>
                <w:rFonts w:ascii="Arial" w:cs="Arial" w:eastAsia="Arial" w:hAnsi="Arial"/>
                <w:sz w:val="16"/>
                <w:szCs w:val="16"/>
                <w:color w:val="auto"/>
              </w:rPr>
              <w:t>TRGP</w:t>
            </w:r>
          </w:p>
        </w:tc>
        <w:tc>
          <w:tcPr>
            <w:tcW w:w="1380" w:type="dxa"/>
            <w:vAlign w:val="bottom"/>
            <w:tcBorders>
              <w:bottom w:val="single" w:sz="8" w:color="auto"/>
              <w:right w:val="single" w:sz="8" w:color="auto"/>
            </w:tcBorders>
            <w:shd w:val="clear" w:color="auto" w:fill="CCEEFF"/>
          </w:tcPr>
          <w:p>
            <w:pPr>
              <w:jc w:val="right"/>
              <w:ind w:right="239"/>
              <w:spacing w:after="0" w:line="183" w:lineRule="exact"/>
              <w:rPr>
                <w:sz w:val="20"/>
                <w:szCs w:val="20"/>
                <w:color w:val="auto"/>
              </w:rPr>
            </w:pPr>
            <w:r>
              <w:rPr>
                <w:rFonts w:ascii="Arial" w:cs="Arial" w:eastAsia="Arial" w:hAnsi="Arial"/>
                <w:sz w:val="16"/>
                <w:szCs w:val="16"/>
                <w:color w:val="auto"/>
              </w:rPr>
              <w:t>6,556.0</w:t>
            </w:r>
          </w:p>
        </w:tc>
        <w:tc>
          <w:tcPr>
            <w:tcW w:w="174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6,048.6</w:t>
            </w:r>
          </w:p>
        </w:tc>
        <w:tc>
          <w:tcPr>
            <w:tcW w:w="1860" w:type="dxa"/>
            <w:vAlign w:val="bottom"/>
            <w:tcBorders>
              <w:bottom w:val="single" w:sz="8" w:color="auto"/>
              <w:right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6"/>
                <w:szCs w:val="16"/>
                <w:color w:val="auto"/>
              </w:rPr>
              <w:t>3,717.4</w:t>
            </w:r>
          </w:p>
        </w:tc>
        <w:tc>
          <w:tcPr>
            <w:tcW w:w="196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8,582.5</w:t>
            </w:r>
          </w:p>
        </w:tc>
      </w:tr>
      <w:tr>
        <w:trPr>
          <w:trHeight w:val="183"/>
        </w:trPr>
        <w:tc>
          <w:tcPr>
            <w:tcW w:w="3360" w:type="dxa"/>
            <w:vAlign w:val="bottom"/>
            <w:tcBorders>
              <w:left w:val="single" w:sz="8" w:color="auto"/>
              <w:bottom w:val="single" w:sz="8" w:color="auto"/>
              <w:right w:val="single" w:sz="8" w:color="auto"/>
            </w:tcBorders>
          </w:tcPr>
          <w:p>
            <w:pPr>
              <w:ind w:left="160"/>
              <w:spacing w:after="0" w:line="183" w:lineRule="exact"/>
              <w:rPr>
                <w:sz w:val="20"/>
                <w:szCs w:val="20"/>
                <w:color w:val="auto"/>
              </w:rPr>
            </w:pPr>
            <w:r>
              <w:rPr>
                <w:rFonts w:ascii="Arial" w:cs="Arial" w:eastAsia="Arial" w:hAnsi="Arial"/>
                <w:sz w:val="16"/>
                <w:szCs w:val="16"/>
                <w:color w:val="auto"/>
              </w:rPr>
              <w:t>Transcanada Corp.</w:t>
            </w:r>
          </w:p>
        </w:tc>
        <w:tc>
          <w:tcPr>
            <w:tcW w:w="1140" w:type="dxa"/>
            <w:vAlign w:val="bottom"/>
            <w:tcBorders>
              <w:bottom w:val="single" w:sz="8" w:color="auto"/>
              <w:right w:val="single" w:sz="8" w:color="auto"/>
            </w:tcBorders>
          </w:tcPr>
          <w:p>
            <w:pPr>
              <w:jc w:val="center"/>
              <w:ind w:left="459"/>
              <w:spacing w:after="0" w:line="183" w:lineRule="exact"/>
              <w:rPr>
                <w:sz w:val="20"/>
                <w:szCs w:val="20"/>
                <w:color w:val="auto"/>
              </w:rPr>
            </w:pPr>
            <w:r>
              <w:rPr>
                <w:rFonts w:ascii="Arial" w:cs="Arial" w:eastAsia="Arial" w:hAnsi="Arial"/>
                <w:sz w:val="16"/>
                <w:szCs w:val="16"/>
                <w:color w:val="auto"/>
                <w:w w:val="99"/>
              </w:rPr>
              <w:t>TRP</w:t>
            </w:r>
          </w:p>
        </w:tc>
        <w:tc>
          <w:tcPr>
            <w:tcW w:w="1380" w:type="dxa"/>
            <w:vAlign w:val="bottom"/>
            <w:tcBorders>
              <w:bottom w:val="single" w:sz="8" w:color="auto"/>
              <w:right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8,545.4</w:t>
            </w:r>
          </w:p>
        </w:tc>
        <w:tc>
          <w:tcPr>
            <w:tcW w:w="174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52,356.5</w:t>
            </w:r>
          </w:p>
        </w:tc>
        <w:tc>
          <w:tcPr>
            <w:tcW w:w="1860" w:type="dxa"/>
            <w:vAlign w:val="bottom"/>
            <w:tcBorders>
              <w:bottom w:val="single" w:sz="8" w:color="auto"/>
              <w:right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32,281.6</w:t>
            </w:r>
          </w:p>
        </w:tc>
        <w:tc>
          <w:tcPr>
            <w:tcW w:w="196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59,739.1</w:t>
            </w:r>
          </w:p>
        </w:tc>
      </w:tr>
      <w:tr>
        <w:trPr>
          <w:trHeight w:val="183"/>
        </w:trPr>
        <w:tc>
          <w:tcPr>
            <w:tcW w:w="3360" w:type="dxa"/>
            <w:vAlign w:val="bottom"/>
            <w:tcBorders>
              <w:left w:val="single" w:sz="8" w:color="auto"/>
              <w:bottom w:val="single" w:sz="8" w:color="auto"/>
              <w:right w:val="single" w:sz="8" w:color="auto"/>
            </w:tcBorders>
            <w:shd w:val="clear" w:color="auto" w:fill="CCEEFF"/>
          </w:tcPr>
          <w:p>
            <w:pPr>
              <w:ind w:left="160"/>
              <w:spacing w:after="0" w:line="183" w:lineRule="exact"/>
              <w:rPr>
                <w:sz w:val="20"/>
                <w:szCs w:val="20"/>
                <w:color w:val="auto"/>
              </w:rPr>
            </w:pPr>
            <w:r>
              <w:rPr>
                <w:rFonts w:ascii="Arial" w:cs="Arial" w:eastAsia="Arial" w:hAnsi="Arial"/>
                <w:sz w:val="16"/>
                <w:szCs w:val="16"/>
                <w:color w:val="auto"/>
              </w:rPr>
              <w:t>WPX Energy</w:t>
            </w:r>
          </w:p>
        </w:tc>
        <w:tc>
          <w:tcPr>
            <w:tcW w:w="1140" w:type="dxa"/>
            <w:vAlign w:val="bottom"/>
            <w:tcBorders>
              <w:bottom w:val="single" w:sz="8" w:color="auto"/>
              <w:right w:val="single" w:sz="8" w:color="auto"/>
            </w:tcBorders>
            <w:shd w:val="clear" w:color="auto" w:fill="CCEEFF"/>
          </w:tcPr>
          <w:p>
            <w:pPr>
              <w:jc w:val="center"/>
              <w:ind w:left="459"/>
              <w:spacing w:after="0" w:line="183" w:lineRule="exact"/>
              <w:rPr>
                <w:sz w:val="20"/>
                <w:szCs w:val="20"/>
                <w:color w:val="auto"/>
              </w:rPr>
            </w:pPr>
            <w:r>
              <w:rPr>
                <w:rFonts w:ascii="Arial" w:cs="Arial" w:eastAsia="Arial" w:hAnsi="Arial"/>
                <w:sz w:val="16"/>
                <w:szCs w:val="16"/>
                <w:color w:val="auto"/>
                <w:w w:val="98"/>
              </w:rPr>
              <w:t>WPX</w:t>
            </w:r>
          </w:p>
        </w:tc>
        <w:tc>
          <w:tcPr>
            <w:tcW w:w="1380" w:type="dxa"/>
            <w:vAlign w:val="bottom"/>
            <w:tcBorders>
              <w:bottom w:val="single" w:sz="8" w:color="auto"/>
              <w:right w:val="single" w:sz="8" w:color="auto"/>
            </w:tcBorders>
            <w:shd w:val="clear" w:color="auto" w:fill="CCEEFF"/>
          </w:tcPr>
          <w:p>
            <w:pPr>
              <w:jc w:val="right"/>
              <w:ind w:right="239"/>
              <w:spacing w:after="0" w:line="183" w:lineRule="exact"/>
              <w:rPr>
                <w:sz w:val="20"/>
                <w:szCs w:val="20"/>
                <w:color w:val="auto"/>
              </w:rPr>
            </w:pPr>
            <w:r>
              <w:rPr>
                <w:rFonts w:ascii="Arial" w:cs="Arial" w:eastAsia="Arial" w:hAnsi="Arial"/>
                <w:sz w:val="16"/>
                <w:szCs w:val="16"/>
                <w:color w:val="auto"/>
              </w:rPr>
              <w:t>2,761.0</w:t>
            </w:r>
          </w:p>
        </w:tc>
        <w:tc>
          <w:tcPr>
            <w:tcW w:w="174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8,429.0</w:t>
            </w:r>
          </w:p>
        </w:tc>
        <w:tc>
          <w:tcPr>
            <w:tcW w:w="1860" w:type="dxa"/>
            <w:vAlign w:val="bottom"/>
            <w:tcBorders>
              <w:bottom w:val="single" w:sz="8" w:color="auto"/>
              <w:right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6"/>
                <w:szCs w:val="16"/>
                <w:color w:val="auto"/>
              </w:rPr>
              <w:t>4,096.4</w:t>
            </w:r>
          </w:p>
        </w:tc>
        <w:tc>
          <w:tcPr>
            <w:tcW w:w="196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6,014.4</w:t>
            </w:r>
          </w:p>
        </w:tc>
      </w:tr>
      <w:tr>
        <w:trPr>
          <w:trHeight w:val="387"/>
        </w:trPr>
        <w:tc>
          <w:tcPr>
            <w:tcW w:w="3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75th percentile</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$14,602.7</w:t>
            </w:r>
          </w:p>
        </w:tc>
        <w:tc>
          <w:tcPr>
            <w:tcW w:w="1740" w:type="dxa"/>
            <w:vAlign w:val="bottom"/>
          </w:tcPr>
          <w:p>
            <w:pPr>
              <w:jc w:val="right"/>
              <w:ind w:right="259"/>
              <w:spacing w:after="0"/>
              <w:rPr>
                <w:sz w:val="20"/>
                <w:szCs w:val="20"/>
                <w:color w:val="auto"/>
              </w:rPr>
            </w:pPr>
            <w:r>
              <w:rPr>
                <w:rFonts w:ascii="Arial" w:cs="Arial" w:eastAsia="Arial" w:hAnsi="Arial"/>
                <w:sz w:val="16"/>
                <w:szCs w:val="16"/>
                <w:color w:val="auto"/>
              </w:rPr>
              <w:t>$50,330.0</w:t>
            </w:r>
          </w:p>
        </w:tc>
        <w:tc>
          <w:tcPr>
            <w:tcW w:w="1860" w:type="dxa"/>
            <w:vAlign w:val="bottom"/>
          </w:tcPr>
          <w:p>
            <w:pPr>
              <w:jc w:val="right"/>
              <w:ind w:right="279"/>
              <w:spacing w:after="0"/>
              <w:rPr>
                <w:sz w:val="20"/>
                <w:szCs w:val="20"/>
                <w:color w:val="auto"/>
              </w:rPr>
            </w:pPr>
            <w:r>
              <w:rPr>
                <w:rFonts w:ascii="Arial" w:cs="Arial" w:eastAsia="Arial" w:hAnsi="Arial"/>
                <w:sz w:val="16"/>
                <w:szCs w:val="16"/>
                <w:color w:val="auto"/>
              </w:rPr>
              <w:t>$32,281.6</w:t>
            </w:r>
          </w:p>
        </w:tc>
        <w:tc>
          <w:tcPr>
            <w:tcW w:w="1960" w:type="dxa"/>
            <w:vAlign w:val="bottom"/>
          </w:tcPr>
          <w:p>
            <w:pPr>
              <w:jc w:val="right"/>
              <w:ind w:right="259"/>
              <w:spacing w:after="0"/>
              <w:rPr>
                <w:sz w:val="20"/>
                <w:szCs w:val="20"/>
                <w:color w:val="auto"/>
              </w:rPr>
            </w:pPr>
            <w:r>
              <w:rPr>
                <w:rFonts w:ascii="Arial" w:cs="Arial" w:eastAsia="Arial" w:hAnsi="Arial"/>
                <w:sz w:val="16"/>
                <w:szCs w:val="16"/>
                <w:color w:val="auto"/>
              </w:rPr>
              <w:t>$59,739.1</w:t>
            </w:r>
          </w:p>
        </w:tc>
      </w:tr>
      <w:tr>
        <w:trPr>
          <w:trHeight w:val="189"/>
        </w:trPr>
        <w:tc>
          <w:tcPr>
            <w:tcW w:w="3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50th percentile</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$10,397.0</w:t>
            </w:r>
          </w:p>
        </w:tc>
        <w:tc>
          <w:tcPr>
            <w:tcW w:w="1740" w:type="dxa"/>
            <w:vAlign w:val="bottom"/>
          </w:tcPr>
          <w:p>
            <w:pPr>
              <w:jc w:val="right"/>
              <w:ind w:right="259"/>
              <w:spacing w:after="0"/>
              <w:rPr>
                <w:sz w:val="20"/>
                <w:szCs w:val="20"/>
                <w:color w:val="auto"/>
              </w:rPr>
            </w:pPr>
            <w:r>
              <w:rPr>
                <w:rFonts w:ascii="Arial" w:cs="Arial" w:eastAsia="Arial" w:hAnsi="Arial"/>
                <w:sz w:val="16"/>
                <w:szCs w:val="16"/>
                <w:color w:val="auto"/>
              </w:rPr>
              <w:t>$33,533.0</w:t>
            </w:r>
          </w:p>
        </w:tc>
        <w:tc>
          <w:tcPr>
            <w:tcW w:w="1860" w:type="dxa"/>
            <w:vAlign w:val="bottom"/>
          </w:tcPr>
          <w:p>
            <w:pPr>
              <w:jc w:val="right"/>
              <w:ind w:right="279"/>
              <w:spacing w:after="0"/>
              <w:rPr>
                <w:sz w:val="20"/>
                <w:szCs w:val="20"/>
                <w:color w:val="auto"/>
              </w:rPr>
            </w:pPr>
            <w:r>
              <w:rPr>
                <w:rFonts w:ascii="Arial" w:cs="Arial" w:eastAsia="Arial" w:hAnsi="Arial"/>
                <w:sz w:val="16"/>
                <w:szCs w:val="16"/>
                <w:color w:val="auto"/>
              </w:rPr>
              <w:t>$21,901.4</w:t>
            </w:r>
          </w:p>
        </w:tc>
        <w:tc>
          <w:tcPr>
            <w:tcW w:w="1960" w:type="dxa"/>
            <w:vAlign w:val="bottom"/>
          </w:tcPr>
          <w:p>
            <w:pPr>
              <w:jc w:val="right"/>
              <w:ind w:right="259"/>
              <w:spacing w:after="0"/>
              <w:rPr>
                <w:sz w:val="20"/>
                <w:szCs w:val="20"/>
                <w:color w:val="auto"/>
              </w:rPr>
            </w:pPr>
            <w:r>
              <w:rPr>
                <w:rFonts w:ascii="Arial" w:cs="Arial" w:eastAsia="Arial" w:hAnsi="Arial"/>
                <w:sz w:val="16"/>
                <w:szCs w:val="16"/>
                <w:color w:val="auto"/>
              </w:rPr>
              <w:t>$31,075.2</w:t>
            </w:r>
          </w:p>
        </w:tc>
      </w:tr>
      <w:tr>
        <w:trPr>
          <w:trHeight w:val="187"/>
        </w:trPr>
        <w:tc>
          <w:tcPr>
            <w:tcW w:w="3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25th percentile</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$5,657.3</w:t>
            </w:r>
          </w:p>
        </w:tc>
        <w:tc>
          <w:tcPr>
            <w:tcW w:w="1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$17,707.6</w:t>
            </w:r>
          </w:p>
        </w:tc>
        <w:tc>
          <w:tcPr>
            <w:tcW w:w="1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$10,313.7</w:t>
            </w:r>
          </w:p>
        </w:tc>
        <w:tc>
          <w:tcPr>
            <w:tcW w:w="1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$18,544.6</w:t>
            </w:r>
          </w:p>
        </w:tc>
      </w:tr>
      <w:tr>
        <w:trPr>
          <w:trHeight w:val="183"/>
        </w:trPr>
        <w:tc>
          <w:tcPr>
            <w:tcW w:w="3360" w:type="dxa"/>
            <w:vAlign w:val="bottom"/>
            <w:tcBorders>
              <w:left w:val="single" w:sz="8" w:color="auto"/>
              <w:bottom w:val="single" w:sz="8" w:color="auto"/>
              <w:right w:val="single" w:sz="8" w:color="auto"/>
            </w:tcBorders>
            <w:shd w:val="clear" w:color="auto" w:fill="CCEEFF"/>
          </w:tcPr>
          <w:p>
            <w:pPr>
              <w:ind w:left="160"/>
              <w:spacing w:after="0" w:line="183" w:lineRule="exact"/>
              <w:rPr>
                <w:sz w:val="20"/>
                <w:szCs w:val="20"/>
                <w:color w:val="auto"/>
              </w:rPr>
            </w:pPr>
            <w:r>
              <w:rPr>
                <w:rFonts w:ascii="Arial" w:cs="Arial" w:eastAsia="Arial" w:hAnsi="Arial"/>
                <w:sz w:val="16"/>
                <w:szCs w:val="16"/>
                <w:color w:val="auto"/>
              </w:rPr>
              <w:t>The Williams Companies, Inc.</w:t>
            </w:r>
          </w:p>
        </w:tc>
        <w:tc>
          <w:tcPr>
            <w:tcW w:w="1140" w:type="dxa"/>
            <w:vAlign w:val="bottom"/>
            <w:tcBorders>
              <w:bottom w:val="single" w:sz="8" w:color="auto"/>
              <w:right w:val="single" w:sz="8" w:color="auto"/>
            </w:tcBorders>
            <w:shd w:val="clear" w:color="auto" w:fill="CCEEFF"/>
          </w:tcPr>
          <w:p>
            <w:pPr>
              <w:jc w:val="center"/>
              <w:ind w:left="459"/>
              <w:spacing w:after="0" w:line="183" w:lineRule="exact"/>
              <w:rPr>
                <w:sz w:val="20"/>
                <w:szCs w:val="20"/>
                <w:color w:val="auto"/>
              </w:rPr>
            </w:pPr>
            <w:r>
              <w:rPr>
                <w:rFonts w:ascii="Arial" w:cs="Arial" w:eastAsia="Arial" w:hAnsi="Arial"/>
                <w:sz w:val="16"/>
                <w:szCs w:val="16"/>
                <w:color w:val="auto"/>
              </w:rPr>
              <w:t>WMB</w:t>
            </w:r>
          </w:p>
        </w:tc>
        <w:tc>
          <w:tcPr>
            <w:tcW w:w="1380" w:type="dxa"/>
            <w:vAlign w:val="bottom"/>
            <w:tcBorders>
              <w:bottom w:val="single" w:sz="8" w:color="auto"/>
              <w:right w:val="single" w:sz="8" w:color="auto"/>
            </w:tcBorders>
            <w:shd w:val="clear" w:color="auto" w:fill="CCEEFF"/>
          </w:tcPr>
          <w:p>
            <w:pPr>
              <w:jc w:val="right"/>
              <w:ind w:right="239"/>
              <w:spacing w:after="0" w:line="183" w:lineRule="exact"/>
              <w:rPr>
                <w:sz w:val="20"/>
                <w:szCs w:val="20"/>
                <w:color w:val="auto"/>
              </w:rPr>
            </w:pPr>
            <w:r>
              <w:rPr>
                <w:rFonts w:ascii="Arial" w:cs="Arial" w:eastAsia="Arial" w:hAnsi="Arial"/>
                <w:sz w:val="16"/>
                <w:szCs w:val="16"/>
                <w:color w:val="auto"/>
              </w:rPr>
              <w:t>$6,860.0</w:t>
            </w:r>
          </w:p>
        </w:tc>
        <w:tc>
          <w:tcPr>
            <w:tcW w:w="174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$27,142.0</w:t>
            </w:r>
          </w:p>
        </w:tc>
        <w:tc>
          <w:tcPr>
            <w:tcW w:w="1860" w:type="dxa"/>
            <w:vAlign w:val="bottom"/>
            <w:tcBorders>
              <w:bottom w:val="single" w:sz="8" w:color="auto"/>
              <w:right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6"/>
                <w:szCs w:val="16"/>
                <w:color w:val="auto"/>
              </w:rPr>
              <w:t>$26,343.3</w:t>
            </w:r>
          </w:p>
        </w:tc>
        <w:tc>
          <w:tcPr>
            <w:tcW w:w="1960" w:type="dxa"/>
            <w:vAlign w:val="bottom"/>
            <w:tcBorders>
              <w:bottom w:val="single" w:sz="8" w:color="auto"/>
              <w:right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$41,298.3</w:t>
            </w:r>
          </w:p>
        </w:tc>
      </w:tr>
      <w:tr>
        <w:trPr>
          <w:trHeight w:val="190"/>
        </w:trPr>
        <w:tc>
          <w:tcPr>
            <w:tcW w:w="3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Percent rank</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32.4%</w:t>
            </w:r>
          </w:p>
        </w:tc>
        <w:tc>
          <w:tcPr>
            <w:tcW w:w="1740" w:type="dxa"/>
            <w:vAlign w:val="bottom"/>
          </w:tcPr>
          <w:p>
            <w:pPr>
              <w:jc w:val="right"/>
              <w:ind w:right="259"/>
              <w:spacing w:after="0"/>
              <w:rPr>
                <w:sz w:val="20"/>
                <w:szCs w:val="20"/>
                <w:color w:val="auto"/>
              </w:rPr>
            </w:pPr>
            <w:r>
              <w:rPr>
                <w:rFonts w:ascii="Arial" w:cs="Arial" w:eastAsia="Arial" w:hAnsi="Arial"/>
                <w:sz w:val="16"/>
                <w:szCs w:val="16"/>
                <w:color w:val="auto"/>
              </w:rPr>
              <w:t>46.3%</w:t>
            </w:r>
          </w:p>
        </w:tc>
        <w:tc>
          <w:tcPr>
            <w:tcW w:w="1860" w:type="dxa"/>
            <w:vAlign w:val="bottom"/>
          </w:tcPr>
          <w:p>
            <w:pPr>
              <w:jc w:val="right"/>
              <w:ind w:right="279"/>
              <w:spacing w:after="0"/>
              <w:rPr>
                <w:sz w:val="20"/>
                <w:szCs w:val="20"/>
                <w:color w:val="auto"/>
              </w:rPr>
            </w:pPr>
            <w:r>
              <w:rPr>
                <w:rFonts w:ascii="Arial" w:cs="Arial" w:eastAsia="Arial" w:hAnsi="Arial"/>
                <w:sz w:val="16"/>
                <w:szCs w:val="16"/>
                <w:color w:val="auto"/>
              </w:rPr>
              <w:t>69.8%</w:t>
            </w:r>
          </w:p>
        </w:tc>
        <w:tc>
          <w:tcPr>
            <w:tcW w:w="1960" w:type="dxa"/>
            <w:vAlign w:val="bottom"/>
          </w:tcPr>
          <w:p>
            <w:pPr>
              <w:jc w:val="right"/>
              <w:ind w:right="259"/>
              <w:spacing w:after="0"/>
              <w:rPr>
                <w:sz w:val="20"/>
                <w:szCs w:val="20"/>
                <w:color w:val="auto"/>
              </w:rPr>
            </w:pPr>
            <w:r>
              <w:rPr>
                <w:rFonts w:ascii="Arial" w:cs="Arial" w:eastAsia="Arial" w:hAnsi="Arial"/>
                <w:sz w:val="16"/>
                <w:szCs w:val="16"/>
                <w:color w:val="auto"/>
              </w:rPr>
              <w:t>62.7%</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committee determined to use the following 19 companies for the 2015 comparator group.</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CenterPoint Energy</w:t>
            </w:r>
          </w:p>
        </w:tc>
        <w:tc>
          <w:tcPr>
            <w:tcW w:w="3220" w:type="dxa"/>
            <w:vAlign w:val="bottom"/>
          </w:tcPr>
          <w:p>
            <w:pPr>
              <w:ind w:left="580"/>
              <w:spacing w:after="0"/>
              <w:rPr>
                <w:sz w:val="20"/>
                <w:szCs w:val="20"/>
                <w:color w:val="auto"/>
              </w:rPr>
            </w:pPr>
            <w:r>
              <w:rPr>
                <w:rFonts w:ascii="Arial" w:cs="Arial" w:eastAsia="Arial" w:hAnsi="Arial"/>
                <w:sz w:val="14"/>
                <w:szCs w:val="14"/>
                <w:color w:val="auto"/>
              </w:rPr>
              <w:t>Enterprise Products Partners</w:t>
            </w:r>
          </w:p>
        </w:tc>
        <w:tc>
          <w:tcPr>
            <w:tcW w:w="3320" w:type="dxa"/>
            <w:vAlign w:val="bottom"/>
          </w:tcPr>
          <w:p>
            <w:pPr>
              <w:ind w:left="800"/>
              <w:spacing w:after="0"/>
              <w:rPr>
                <w:sz w:val="20"/>
                <w:szCs w:val="20"/>
                <w:color w:val="auto"/>
              </w:rPr>
            </w:pPr>
            <w:r>
              <w:rPr>
                <w:rFonts w:ascii="Arial" w:cs="Arial" w:eastAsia="Arial" w:hAnsi="Arial"/>
                <w:sz w:val="14"/>
                <w:szCs w:val="14"/>
                <w:color w:val="auto"/>
              </w:rPr>
              <w:t>ONEOK</w:t>
            </w:r>
          </w:p>
        </w:tc>
        <w:tc>
          <w:tcPr>
            <w:tcW w:w="1860" w:type="dxa"/>
            <w:vAlign w:val="bottom"/>
          </w:tcPr>
          <w:p>
            <w:pPr>
              <w:ind w:left="760"/>
              <w:spacing w:after="0"/>
              <w:rPr>
                <w:sz w:val="20"/>
                <w:szCs w:val="20"/>
                <w:color w:val="auto"/>
              </w:rPr>
            </w:pPr>
            <w:r>
              <w:rPr>
                <w:rFonts w:ascii="Arial" w:cs="Arial" w:eastAsia="Arial" w:hAnsi="Arial"/>
                <w:sz w:val="14"/>
                <w:szCs w:val="14"/>
                <w:color w:val="auto"/>
              </w:rPr>
              <w:t>Southern Co</w:t>
            </w: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Devon Energy</w:t>
            </w:r>
          </w:p>
        </w:tc>
        <w:tc>
          <w:tcPr>
            <w:tcW w:w="3220" w:type="dxa"/>
            <w:vAlign w:val="bottom"/>
          </w:tcPr>
          <w:p>
            <w:pPr>
              <w:ind w:left="580"/>
              <w:spacing w:after="0"/>
              <w:rPr>
                <w:sz w:val="20"/>
                <w:szCs w:val="20"/>
                <w:color w:val="auto"/>
              </w:rPr>
            </w:pPr>
            <w:r>
              <w:rPr>
                <w:rFonts w:ascii="Arial" w:cs="Arial" w:eastAsia="Arial" w:hAnsi="Arial"/>
                <w:sz w:val="14"/>
                <w:szCs w:val="14"/>
                <w:color w:val="auto"/>
              </w:rPr>
              <w:t>EOG Resources</w:t>
            </w:r>
          </w:p>
        </w:tc>
        <w:tc>
          <w:tcPr>
            <w:tcW w:w="3320" w:type="dxa"/>
            <w:vAlign w:val="bottom"/>
          </w:tcPr>
          <w:p>
            <w:pPr>
              <w:ind w:left="800"/>
              <w:spacing w:after="0"/>
              <w:rPr>
                <w:sz w:val="20"/>
                <w:szCs w:val="20"/>
                <w:color w:val="auto"/>
              </w:rPr>
            </w:pPr>
            <w:r>
              <w:rPr>
                <w:rFonts w:ascii="Arial" w:cs="Arial" w:eastAsia="Arial" w:hAnsi="Arial"/>
                <w:sz w:val="14"/>
                <w:szCs w:val="14"/>
                <w:color w:val="auto"/>
              </w:rPr>
              <w:t>PG&amp;E</w:t>
            </w:r>
          </w:p>
        </w:tc>
        <w:tc>
          <w:tcPr>
            <w:tcW w:w="1860" w:type="dxa"/>
            <w:vAlign w:val="bottom"/>
          </w:tcPr>
          <w:p>
            <w:pPr>
              <w:ind w:left="760"/>
              <w:spacing w:after="0"/>
              <w:rPr>
                <w:sz w:val="20"/>
                <w:szCs w:val="20"/>
                <w:color w:val="auto"/>
              </w:rPr>
            </w:pPr>
            <w:r>
              <w:rPr>
                <w:rFonts w:ascii="Arial" w:cs="Arial" w:eastAsia="Arial" w:hAnsi="Arial"/>
                <w:sz w:val="14"/>
                <w:szCs w:val="14"/>
                <w:color w:val="auto"/>
              </w:rPr>
              <w:t>Spectra Energy</w:t>
            </w: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Dominion Resources</w:t>
            </w:r>
          </w:p>
        </w:tc>
        <w:tc>
          <w:tcPr>
            <w:tcW w:w="3220" w:type="dxa"/>
            <w:vAlign w:val="bottom"/>
          </w:tcPr>
          <w:p>
            <w:pPr>
              <w:ind w:left="580"/>
              <w:spacing w:after="0"/>
              <w:rPr>
                <w:sz w:val="20"/>
                <w:szCs w:val="20"/>
                <w:color w:val="auto"/>
              </w:rPr>
            </w:pPr>
            <w:r>
              <w:rPr>
                <w:rFonts w:ascii="Arial" w:cs="Arial" w:eastAsia="Arial" w:hAnsi="Arial"/>
                <w:sz w:val="14"/>
                <w:szCs w:val="14"/>
                <w:color w:val="auto"/>
              </w:rPr>
              <w:t>Kinder Morgan</w:t>
            </w:r>
          </w:p>
        </w:tc>
        <w:tc>
          <w:tcPr>
            <w:tcW w:w="3320" w:type="dxa"/>
            <w:vAlign w:val="bottom"/>
          </w:tcPr>
          <w:p>
            <w:pPr>
              <w:ind w:left="800"/>
              <w:spacing w:after="0"/>
              <w:rPr>
                <w:sz w:val="20"/>
                <w:szCs w:val="20"/>
                <w:color w:val="auto"/>
              </w:rPr>
            </w:pPr>
            <w:r>
              <w:rPr>
                <w:rFonts w:ascii="Arial" w:cs="Arial" w:eastAsia="Arial" w:hAnsi="Arial"/>
                <w:sz w:val="14"/>
                <w:szCs w:val="14"/>
                <w:color w:val="auto"/>
              </w:rPr>
              <w:t>Pioneer Natural Resources</w:t>
            </w:r>
          </w:p>
        </w:tc>
        <w:tc>
          <w:tcPr>
            <w:tcW w:w="1860" w:type="dxa"/>
            <w:vAlign w:val="bottom"/>
          </w:tcPr>
          <w:p>
            <w:pPr>
              <w:ind w:left="760"/>
              <w:spacing w:after="0"/>
              <w:rPr>
                <w:sz w:val="20"/>
                <w:szCs w:val="20"/>
                <w:color w:val="auto"/>
              </w:rPr>
            </w:pPr>
            <w:r>
              <w:rPr>
                <w:rFonts w:ascii="Arial" w:cs="Arial" w:eastAsia="Arial" w:hAnsi="Arial"/>
                <w:sz w:val="14"/>
                <w:szCs w:val="14"/>
                <w:color w:val="auto"/>
              </w:rPr>
              <w:t>Targa Resources</w:t>
            </w: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Enbridge</w:t>
            </w:r>
          </w:p>
        </w:tc>
        <w:tc>
          <w:tcPr>
            <w:tcW w:w="3220" w:type="dxa"/>
            <w:vAlign w:val="bottom"/>
          </w:tcPr>
          <w:p>
            <w:pPr>
              <w:ind w:left="580"/>
              <w:spacing w:after="0"/>
              <w:rPr>
                <w:sz w:val="20"/>
                <w:szCs w:val="20"/>
                <w:color w:val="auto"/>
              </w:rPr>
            </w:pPr>
            <w:r>
              <w:rPr>
                <w:rFonts w:ascii="Arial" w:cs="Arial" w:eastAsia="Arial" w:hAnsi="Arial"/>
                <w:sz w:val="14"/>
                <w:szCs w:val="14"/>
                <w:color w:val="auto"/>
              </w:rPr>
              <w:t>MarkWest Energy Partners</w:t>
            </w:r>
          </w:p>
        </w:tc>
        <w:tc>
          <w:tcPr>
            <w:tcW w:w="3320" w:type="dxa"/>
            <w:vAlign w:val="bottom"/>
          </w:tcPr>
          <w:p>
            <w:pPr>
              <w:ind w:left="800"/>
              <w:spacing w:after="0"/>
              <w:rPr>
                <w:sz w:val="20"/>
                <w:szCs w:val="20"/>
                <w:color w:val="auto"/>
              </w:rPr>
            </w:pPr>
            <w:r>
              <w:rPr>
                <w:rFonts w:ascii="Arial" w:cs="Arial" w:eastAsia="Arial" w:hAnsi="Arial"/>
                <w:sz w:val="14"/>
                <w:szCs w:val="14"/>
                <w:color w:val="auto"/>
              </w:rPr>
              <w:t>Plains All American Pipeline</w:t>
            </w:r>
          </w:p>
        </w:tc>
        <w:tc>
          <w:tcPr>
            <w:tcW w:w="1860" w:type="dxa"/>
            <w:vAlign w:val="bottom"/>
          </w:tcPr>
          <w:p>
            <w:pPr>
              <w:ind w:left="760"/>
              <w:spacing w:after="0"/>
              <w:rPr>
                <w:sz w:val="20"/>
                <w:szCs w:val="20"/>
                <w:color w:val="auto"/>
              </w:rPr>
            </w:pPr>
            <w:r>
              <w:rPr>
                <w:rFonts w:ascii="Arial" w:cs="Arial" w:eastAsia="Arial" w:hAnsi="Arial"/>
                <w:sz w:val="14"/>
                <w:szCs w:val="14"/>
                <w:color w:val="auto"/>
              </w:rPr>
              <w:t>TransCanada</w:t>
            </w:r>
          </w:p>
        </w:tc>
      </w:tr>
      <w:tr>
        <w:trPr>
          <w:trHeight w:val="172"/>
        </w:trPr>
        <w:tc>
          <w:tcPr>
            <w:tcW w:w="2060" w:type="dxa"/>
            <w:vAlign w:val="bottom"/>
          </w:tcPr>
          <w:p>
            <w:pPr>
              <w:spacing w:after="0"/>
              <w:rPr>
                <w:sz w:val="20"/>
                <w:szCs w:val="20"/>
                <w:color w:val="auto"/>
              </w:rPr>
            </w:pPr>
            <w:r>
              <w:rPr>
                <w:rFonts w:ascii="Arial" w:cs="Arial" w:eastAsia="Arial" w:hAnsi="Arial"/>
                <w:sz w:val="14"/>
                <w:szCs w:val="14"/>
                <w:color w:val="auto"/>
              </w:rPr>
              <w:t>Energy Transfer Equity</w:t>
            </w:r>
          </w:p>
        </w:tc>
        <w:tc>
          <w:tcPr>
            <w:tcW w:w="3220" w:type="dxa"/>
            <w:vAlign w:val="bottom"/>
          </w:tcPr>
          <w:p>
            <w:pPr>
              <w:ind w:left="580"/>
              <w:spacing w:after="0"/>
              <w:rPr>
                <w:sz w:val="20"/>
                <w:szCs w:val="20"/>
                <w:color w:val="auto"/>
              </w:rPr>
            </w:pPr>
            <w:r>
              <w:rPr>
                <w:rFonts w:ascii="Arial" w:cs="Arial" w:eastAsia="Arial" w:hAnsi="Arial"/>
                <w:sz w:val="14"/>
                <w:szCs w:val="14"/>
                <w:color w:val="auto"/>
              </w:rPr>
              <w:t>NiSource</w:t>
            </w:r>
          </w:p>
        </w:tc>
        <w:tc>
          <w:tcPr>
            <w:tcW w:w="3320" w:type="dxa"/>
            <w:vAlign w:val="bottom"/>
          </w:tcPr>
          <w:p>
            <w:pPr>
              <w:ind w:left="800"/>
              <w:spacing w:after="0"/>
              <w:rPr>
                <w:sz w:val="20"/>
                <w:szCs w:val="20"/>
                <w:color w:val="auto"/>
              </w:rPr>
            </w:pPr>
            <w:r>
              <w:rPr>
                <w:rFonts w:ascii="Arial" w:cs="Arial" w:eastAsia="Arial" w:hAnsi="Arial"/>
                <w:sz w:val="14"/>
                <w:szCs w:val="14"/>
                <w:color w:val="auto"/>
              </w:rPr>
              <w:t>Sempra Energy</w:t>
            </w:r>
          </w:p>
        </w:tc>
        <w:tc>
          <w:tcPr>
            <w:tcW w:w="1860" w:type="dxa"/>
            <w:vAlign w:val="bottom"/>
          </w:tcPr>
          <w:p>
            <w:pPr>
              <w:spacing w:after="0"/>
              <w:rPr>
                <w:sz w:val="14"/>
                <w:szCs w:val="14"/>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Pay Setting Process</w:t>
      </w:r>
    </w:p>
    <w:p>
      <w:pPr>
        <w:spacing w:after="0" w:line="12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During the first quarter of the year, the Committee completes a review to ensure we are paying competitively, equitably, and in a way that encourages and rewards performance.</w:t>
      </w:r>
    </w:p>
    <w:p>
      <w:pPr>
        <w:spacing w:after="0" w:line="19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compensation data of our comparator group, disclosed in proxy statements, is the primary market data we use when benchmarking the competitive pay of our NEOs. Aggregate market data obtained from recognized third-</w:t>
      </w:r>
    </w:p>
    <w:p>
      <w:pPr>
        <w:spacing w:after="0" w:line="123"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43</w:t>
            </w:r>
          </w:p>
        </w:tc>
      </w:tr>
    </w:tbl>
    <w:p>
      <w:pPr>
        <w:sectPr>
          <w:pgSz w:w="11900" w:h="16838" w:orient="portrait"/>
          <w:cols w:equalWidth="0" w:num="1">
            <w:col w:w="11440"/>
          </w:cols>
          <w:pgMar w:left="240" w:top="459" w:right="2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party executive compensation survey companies is used to supplement and validate comparator group market data.</w:t>
      </w:r>
    </w:p>
    <w:p>
      <w:pPr>
        <w:spacing w:after="0" w:line="248"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Although the Committee reviews relevant data as it designs compensation packages, setting pay is not an exact science. Because market data alone does not reflect the strategic competitive value of various roles within our Company, internal pay equity is also considered when making pay decisions. Other considerations when making pay decisions for the NEOs include individual experience, sustained performance, historical pay, realized and realizable pay over three-years, and tally sheets that include annual pay and benefit amounts, wealth accumulated over the past five-years, and the total aggregate value of the NEOs’ equity awards and holdings.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20"/>
        <w:spacing w:after="0" w:line="237" w:lineRule="auto"/>
        <w:rPr>
          <w:sz w:val="20"/>
          <w:szCs w:val="20"/>
          <w:color w:val="auto"/>
        </w:rPr>
      </w:pPr>
      <w:r>
        <w:rPr>
          <w:rFonts w:ascii="Arial" w:cs="Arial" w:eastAsia="Arial" w:hAnsi="Arial"/>
          <w:sz w:val="18"/>
          <w:szCs w:val="18"/>
          <w:color w:val="auto"/>
        </w:rPr>
        <w:t>Multiple internal and external factors are considered when determining NEO compensation packages.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-786130</wp:posOffset>
            </wp:positionV>
            <wp:extent cx="1612265" cy="7886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12265" cy="788670"/>
                    </a:xfrm>
                    <a:prstGeom prst="rect">
                      <a:avLst/>
                    </a:prstGeom>
                    <a:noFill/>
                  </pic:spPr>
                </pic:pic>
              </a:graphicData>
            </a:graphic>
          </wp:anchor>
        </w:drawing>
        <w:drawing>
          <wp:anchor simplePos="0" relativeHeight="251657728" behindDoc="1" locked="0" layoutInCell="0" allowOverlap="1">
            <wp:simplePos x="0" y="0"/>
            <wp:positionH relativeFrom="column">
              <wp:posOffset>-573405</wp:posOffset>
            </wp:positionH>
            <wp:positionV relativeFrom="paragraph">
              <wp:posOffset>-1334770</wp:posOffset>
            </wp:positionV>
            <wp:extent cx="184404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00" w:space="720"/>
            <w:col w:w="2020"/>
          </w:cols>
          <w:pgMar w:left="240" w:top="459" w:right="219" w:bottom="1440" w:gutter="0" w:footer="0" w:header="0"/>
        </w:sectPr>
      </w:pPr>
    </w:p>
    <w:p>
      <w:pPr>
        <w:spacing w:after="0" w:line="21"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When setting pay, we determine a target pay mix (distribution of pay among long-term incentives, annual incentives, base pay, and other forms of compensation) for the NEOs. The target pay mix for each NEO can be found in the Named Executive Officer Profile section included in this proxy statement. Consistent with our pay-for-performance philosophy, the actual amounts paid, excluding benefits, are determined based on Company and individual performance. Because performance is a factor, the target versus actual pay mix will vary, specifically as it relates to the annual cash incentives and performance-based RSUs.</w:t>
      </w:r>
    </w:p>
    <w:p>
      <w:pPr>
        <w:spacing w:after="0" w:line="40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500" w:type="dxa"/>
            <w:vAlign w:val="bottom"/>
            <w:tcBorders>
              <w:top w:val="single" w:sz="8" w:color="auto"/>
              <w:left w:val="single" w:sz="8" w:color="auto"/>
              <w:right w:val="single" w:sz="8" w:color="auto"/>
            </w:tcBorders>
          </w:tcPr>
          <w:p>
            <w:pPr>
              <w:jc w:val="center"/>
              <w:ind w:left="50"/>
              <w:spacing w:after="0" w:line="211" w:lineRule="exact"/>
              <w:rPr>
                <w:sz w:val="20"/>
                <w:szCs w:val="20"/>
                <w:color w:val="auto"/>
              </w:rPr>
            </w:pPr>
            <w:r>
              <w:rPr>
                <w:rFonts w:ascii="Arial" w:cs="Arial" w:eastAsia="Arial" w:hAnsi="Arial"/>
                <w:sz w:val="20"/>
                <w:szCs w:val="20"/>
                <w:b w:val="1"/>
                <w:bCs w:val="1"/>
                <w:color w:val="225CAB"/>
              </w:rPr>
              <w:t>CEO</w:t>
            </w:r>
          </w:p>
        </w:tc>
        <w:tc>
          <w:tcPr>
            <w:tcW w:w="940" w:type="dxa"/>
            <w:vAlign w:val="bottom"/>
            <w:tcBorders>
              <w:right w:val="single" w:sz="8" w:color="auto"/>
            </w:tcBorders>
          </w:tcPr>
          <w:p>
            <w:pPr>
              <w:spacing w:after="0"/>
              <w:rPr>
                <w:sz w:val="18"/>
                <w:szCs w:val="18"/>
                <w:color w:val="auto"/>
              </w:rPr>
            </w:pPr>
          </w:p>
        </w:tc>
        <w:tc>
          <w:tcPr>
            <w:tcW w:w="5000" w:type="dxa"/>
            <w:vAlign w:val="bottom"/>
            <w:tcBorders>
              <w:top w:val="single" w:sz="8" w:color="auto"/>
              <w:right w:val="single" w:sz="8" w:color="auto"/>
            </w:tcBorders>
          </w:tcPr>
          <w:p>
            <w:pPr>
              <w:jc w:val="center"/>
              <w:spacing w:after="0" w:line="211" w:lineRule="exact"/>
              <w:rPr>
                <w:sz w:val="20"/>
                <w:szCs w:val="20"/>
                <w:color w:val="auto"/>
              </w:rPr>
            </w:pPr>
            <w:r>
              <w:rPr>
                <w:rFonts w:ascii="Arial" w:cs="Arial" w:eastAsia="Arial" w:hAnsi="Arial"/>
                <w:sz w:val="20"/>
                <w:szCs w:val="20"/>
                <w:b w:val="1"/>
                <w:bCs w:val="1"/>
                <w:color w:val="225CAB"/>
                <w:w w:val="98"/>
              </w:rPr>
              <w:t>NEO Average</w:t>
            </w:r>
          </w:p>
        </w:tc>
      </w:tr>
      <w:tr>
        <w:trPr>
          <w:trHeight w:val="189"/>
        </w:trPr>
        <w:tc>
          <w:tcPr>
            <w:tcW w:w="550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6"/>
                <w:szCs w:val="16"/>
                <w:b w:val="1"/>
                <w:bCs w:val="1"/>
                <w:color w:val="auto"/>
              </w:rPr>
              <w:t>2014 Total Compensation at Target Pay Mix</w:t>
            </w:r>
          </w:p>
        </w:tc>
        <w:tc>
          <w:tcPr>
            <w:tcW w:w="940" w:type="dxa"/>
            <w:vAlign w:val="bottom"/>
            <w:tcBorders>
              <w:right w:val="single" w:sz="8" w:color="auto"/>
            </w:tcBorders>
          </w:tcPr>
          <w:p>
            <w:pPr>
              <w:spacing w:after="0"/>
              <w:rPr>
                <w:sz w:val="16"/>
                <w:szCs w:val="16"/>
                <w:color w:val="auto"/>
              </w:rPr>
            </w:pPr>
          </w:p>
        </w:tc>
        <w:tc>
          <w:tcPr>
            <w:tcW w:w="50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225CAB"/>
              </w:rPr>
              <w:t>(Excluding CEO)</w:t>
            </w:r>
          </w:p>
        </w:tc>
      </w:tr>
      <w:tr>
        <w:trPr>
          <w:trHeight w:val="218"/>
        </w:trPr>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2014 Total Compensation at Target Pay Mix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128905</wp:posOffset>
            </wp:positionV>
            <wp:extent cx="2195195" cy="2564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95195" cy="256413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128905</wp:posOffset>
            </wp:positionV>
            <wp:extent cx="2263775" cy="26416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263775"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44</w:t>
            </w:r>
          </w:p>
        </w:tc>
      </w:tr>
    </w:tbl>
    <w:p>
      <w:pPr>
        <w:sectPr>
          <w:pgSz w:w="11900" w:h="16838" w:orient="portrait"/>
          <w:cols w:equalWidth="0" w:num="1">
            <w:col w:w="11440"/>
          </w:cols>
          <w:pgMar w:left="240" w:top="459" w:right="21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Determine the Amount for Each Type of Pay</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Long-term incentives, annual cash incentives, base pay, and benefits accomplish different objectives. The table below illustrates a summary of the primary objectives associated with each component of pay listed in the order of most significant to the NEO’s total compensation. The table is followed by specific details regarding each pay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144145</wp:posOffset>
            </wp:positionV>
            <wp:extent cx="4776470" cy="31642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7647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To determine the value for long-term incentives granted to an NEO each year, we consider the following factors:</w:t>
      </w:r>
    </w:p>
    <w:p>
      <w:pPr>
        <w:spacing w:after="0" w:line="127" w:lineRule="exact"/>
        <w:rPr>
          <w:sz w:val="20"/>
          <w:szCs w:val="20"/>
          <w:color w:val="auto"/>
        </w:rPr>
      </w:pPr>
    </w:p>
    <w:p>
      <w:pPr>
        <w:ind w:left="880" w:hanging="426"/>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proportion of long-term incentives relative to base pay;</w:t>
      </w:r>
    </w:p>
    <w:p>
      <w:pPr>
        <w:spacing w:after="0" w:line="5" w:lineRule="exact"/>
        <w:rPr>
          <w:rFonts w:ascii="Arial" w:cs="Arial" w:eastAsia="Arial" w:hAnsi="Arial"/>
          <w:sz w:val="16"/>
          <w:szCs w:val="16"/>
          <w:color w:val="auto"/>
        </w:rPr>
      </w:pPr>
    </w:p>
    <w:p>
      <w:pPr>
        <w:ind w:left="880" w:hanging="426"/>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NEO’s impact on Company performance and ability to create value;</w:t>
      </w:r>
    </w:p>
    <w:p>
      <w:pPr>
        <w:spacing w:after="0" w:line="5" w:lineRule="exact"/>
        <w:rPr>
          <w:rFonts w:ascii="Arial" w:cs="Arial" w:eastAsia="Arial" w:hAnsi="Arial"/>
          <w:sz w:val="16"/>
          <w:szCs w:val="16"/>
          <w:color w:val="auto"/>
        </w:rPr>
      </w:pPr>
    </w:p>
    <w:p>
      <w:pPr>
        <w:ind w:left="880" w:hanging="426"/>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long-term business objectives;</w:t>
      </w:r>
    </w:p>
    <w:p>
      <w:pPr>
        <w:spacing w:after="0" w:line="5" w:lineRule="exact"/>
        <w:rPr>
          <w:rFonts w:ascii="Arial" w:cs="Arial" w:eastAsia="Arial" w:hAnsi="Arial"/>
          <w:sz w:val="16"/>
          <w:szCs w:val="16"/>
          <w:color w:val="auto"/>
        </w:rPr>
      </w:pPr>
    </w:p>
    <w:p>
      <w:pPr>
        <w:ind w:left="880" w:hanging="426"/>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awards made to executives in similar positions within our comparator group of companies;</w:t>
      </w:r>
    </w:p>
    <w:p>
      <w:pPr>
        <w:spacing w:after="0" w:line="5" w:lineRule="exact"/>
        <w:rPr>
          <w:rFonts w:ascii="Arial" w:cs="Arial" w:eastAsia="Arial" w:hAnsi="Arial"/>
          <w:sz w:val="16"/>
          <w:szCs w:val="16"/>
          <w:color w:val="auto"/>
        </w:rPr>
      </w:pPr>
    </w:p>
    <w:p>
      <w:pPr>
        <w:ind w:left="880" w:hanging="426"/>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market demand for the NEO’s particular skills and experience;</w:t>
      </w:r>
    </w:p>
    <w:p>
      <w:pPr>
        <w:spacing w:after="0" w:line="5" w:lineRule="exact"/>
        <w:rPr>
          <w:rFonts w:ascii="Arial" w:cs="Arial" w:eastAsia="Arial" w:hAnsi="Arial"/>
          <w:sz w:val="16"/>
          <w:szCs w:val="16"/>
          <w:color w:val="auto"/>
        </w:rPr>
      </w:pPr>
    </w:p>
    <w:p>
      <w:pPr>
        <w:ind w:left="880" w:hanging="426"/>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amount granted to other NEOs in comparable positions at the Company;</w:t>
      </w:r>
    </w:p>
    <w:p>
      <w:pPr>
        <w:spacing w:after="0" w:line="5" w:lineRule="exact"/>
        <w:rPr>
          <w:rFonts w:ascii="Arial" w:cs="Arial" w:eastAsia="Arial" w:hAnsi="Arial"/>
          <w:sz w:val="16"/>
          <w:szCs w:val="16"/>
          <w:color w:val="auto"/>
        </w:rPr>
      </w:pPr>
    </w:p>
    <w:p>
      <w:pPr>
        <w:ind w:left="880" w:hanging="426"/>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NEO’s demonstrated performance over the past few years; and</w:t>
      </w:r>
    </w:p>
    <w:p>
      <w:pPr>
        <w:spacing w:after="0" w:line="5" w:lineRule="exact"/>
        <w:rPr>
          <w:rFonts w:ascii="Arial" w:cs="Arial" w:eastAsia="Arial" w:hAnsi="Arial"/>
          <w:sz w:val="16"/>
          <w:szCs w:val="16"/>
          <w:color w:val="auto"/>
        </w:rPr>
      </w:pPr>
    </w:p>
    <w:p>
      <w:pPr>
        <w:ind w:left="880" w:hanging="426"/>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NEO’s leadership performance.</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 summary of the long-term incentive program details for 2014 and 2015 are shown in the table below. The long-term incentive mix for the CEO differs from the mix for the other NEOs. Since the CEO has more opportunity to influence our financial results, the Committee considers it appropriate that a greater percentage of his long-term incentives are directly tied to the performance of the Company’s stock price.</w:t>
      </w:r>
    </w:p>
    <w:p>
      <w:pPr>
        <w:spacing w:after="0" w:line="12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45</w:t>
            </w: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640" w:type="dxa"/>
            <w:vAlign w:val="bottom"/>
            <w:tcBorders>
              <w:bottom w:val="single" w:sz="8" w:color="auto"/>
              <w:right w:val="single" w:sz="8" w:color="auto"/>
            </w:tcBorders>
          </w:tcPr>
          <w:p>
            <w:pPr>
              <w:spacing w:after="0"/>
              <w:rPr>
                <w:sz w:val="18"/>
                <w:szCs w:val="18"/>
                <w:color w:val="auto"/>
              </w:rPr>
            </w:pPr>
          </w:p>
        </w:tc>
        <w:tc>
          <w:tcPr>
            <w:tcW w:w="2960" w:type="dxa"/>
            <w:vAlign w:val="bottom"/>
            <w:tcBorders>
              <w:top w:val="single" w:sz="8" w:color="auto"/>
              <w:bottom w:val="single" w:sz="8" w:color="auto"/>
            </w:tcBorders>
            <w:shd w:val="clear" w:color="auto" w:fill="225CAB"/>
          </w:tcPr>
          <w:p>
            <w:pPr>
              <w:jc w:val="center"/>
              <w:ind w:left="19"/>
              <w:spacing w:after="0"/>
              <w:rPr>
                <w:sz w:val="20"/>
                <w:szCs w:val="20"/>
                <w:color w:val="auto"/>
              </w:rPr>
            </w:pPr>
            <w:r>
              <w:rPr>
                <w:rFonts w:ascii="Arial" w:cs="Arial" w:eastAsia="Arial" w:hAnsi="Arial"/>
                <w:sz w:val="16"/>
                <w:szCs w:val="16"/>
                <w:b w:val="1"/>
                <w:bCs w:val="1"/>
                <w:color w:val="FFFFFF"/>
              </w:rPr>
              <w:t>Performance-based RSUs</w:t>
            </w:r>
          </w:p>
        </w:tc>
        <w:tc>
          <w:tcPr>
            <w:tcW w:w="3180" w:type="dxa"/>
            <w:vAlign w:val="bottom"/>
            <w:tcBorders>
              <w:top w:val="single" w:sz="8" w:color="auto"/>
              <w:bottom w:val="single" w:sz="8" w:color="auto"/>
            </w:tcBorders>
            <w:shd w:val="clear" w:color="auto" w:fill="90ADD5"/>
          </w:tcPr>
          <w:p>
            <w:pPr>
              <w:jc w:val="center"/>
              <w:ind w:left="40"/>
              <w:spacing w:after="0"/>
              <w:rPr>
                <w:sz w:val="20"/>
                <w:szCs w:val="20"/>
                <w:color w:val="auto"/>
              </w:rPr>
            </w:pPr>
            <w:r>
              <w:rPr>
                <w:rFonts w:ascii="Arial" w:cs="Arial" w:eastAsia="Arial" w:hAnsi="Arial"/>
                <w:sz w:val="16"/>
                <w:szCs w:val="16"/>
                <w:b w:val="1"/>
                <w:bCs w:val="1"/>
                <w:color w:val="FFFFFF"/>
              </w:rPr>
              <w:t>Time-based RSUs</w:t>
            </w:r>
          </w:p>
        </w:tc>
        <w:tc>
          <w:tcPr>
            <w:tcW w:w="3660" w:type="dxa"/>
            <w:vAlign w:val="bottom"/>
            <w:tcBorders>
              <w:top w:val="single" w:sz="8" w:color="auto"/>
              <w:bottom w:val="single" w:sz="8" w:color="auto"/>
              <w:right w:val="single" w:sz="8" w:color="auto"/>
            </w:tcBorders>
            <w:shd w:val="clear" w:color="auto" w:fill="C7D6EA"/>
          </w:tcPr>
          <w:p>
            <w:pPr>
              <w:jc w:val="center"/>
              <w:spacing w:after="0"/>
              <w:rPr>
                <w:sz w:val="20"/>
                <w:szCs w:val="20"/>
                <w:color w:val="auto"/>
              </w:rPr>
            </w:pPr>
            <w:r>
              <w:rPr>
                <w:rFonts w:ascii="Arial" w:cs="Arial" w:eastAsia="Arial" w:hAnsi="Arial"/>
                <w:sz w:val="16"/>
                <w:szCs w:val="16"/>
                <w:b w:val="1"/>
                <w:bCs w:val="1"/>
                <w:color w:val="FFFFFF"/>
              </w:rPr>
              <w:t>Stock Options</w:t>
            </w:r>
          </w:p>
        </w:tc>
      </w:tr>
      <w:tr>
        <w:trPr>
          <w:trHeight w:val="183"/>
        </w:trPr>
        <w:tc>
          <w:tcPr>
            <w:tcW w:w="1640" w:type="dxa"/>
            <w:vAlign w:val="bottom"/>
            <w:tcBorders>
              <w:left w:val="single" w:sz="8" w:color="auto"/>
            </w:tcBorders>
          </w:tcPr>
          <w:p>
            <w:pPr>
              <w:jc w:val="center"/>
              <w:ind w:left="59"/>
              <w:spacing w:after="0" w:line="183" w:lineRule="exact"/>
              <w:rPr>
                <w:sz w:val="20"/>
                <w:szCs w:val="20"/>
                <w:color w:val="auto"/>
              </w:rPr>
            </w:pPr>
            <w:r>
              <w:rPr>
                <w:rFonts w:ascii="Arial" w:cs="Arial" w:eastAsia="Arial" w:hAnsi="Arial"/>
                <w:sz w:val="16"/>
                <w:szCs w:val="16"/>
                <w:color w:val="auto"/>
              </w:rPr>
              <w:t>CEO Equity Mix</w:t>
            </w:r>
          </w:p>
        </w:tc>
        <w:tc>
          <w:tcPr>
            <w:tcW w:w="2960" w:type="dxa"/>
            <w:vAlign w:val="bottom"/>
          </w:tcPr>
          <w:p>
            <w:pPr>
              <w:jc w:val="center"/>
              <w:ind w:left="19"/>
              <w:spacing w:after="0" w:line="183" w:lineRule="exact"/>
              <w:rPr>
                <w:sz w:val="20"/>
                <w:szCs w:val="20"/>
                <w:color w:val="auto"/>
              </w:rPr>
            </w:pPr>
            <w:r>
              <w:rPr>
                <w:rFonts w:ascii="Arial" w:cs="Arial" w:eastAsia="Arial" w:hAnsi="Arial"/>
                <w:sz w:val="16"/>
                <w:szCs w:val="16"/>
                <w:color w:val="auto"/>
              </w:rPr>
              <w:t>55%</w:t>
            </w:r>
          </w:p>
        </w:tc>
        <w:tc>
          <w:tcPr>
            <w:tcW w:w="3180" w:type="dxa"/>
            <w:vAlign w:val="bottom"/>
          </w:tcPr>
          <w:p>
            <w:pPr>
              <w:jc w:val="center"/>
              <w:ind w:left="20"/>
              <w:spacing w:after="0" w:line="183" w:lineRule="exact"/>
              <w:rPr>
                <w:sz w:val="20"/>
                <w:szCs w:val="20"/>
                <w:color w:val="auto"/>
              </w:rPr>
            </w:pPr>
            <w:r>
              <w:rPr>
                <w:rFonts w:ascii="Arial" w:cs="Arial" w:eastAsia="Arial" w:hAnsi="Arial"/>
                <w:sz w:val="16"/>
                <w:szCs w:val="16"/>
                <w:color w:val="auto"/>
                <w:w w:val="99"/>
              </w:rPr>
              <w:t>25%</w:t>
            </w:r>
          </w:p>
        </w:tc>
        <w:tc>
          <w:tcPr>
            <w:tcW w:w="36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20%</w:t>
            </w:r>
          </w:p>
        </w:tc>
      </w:tr>
      <w:tr>
        <w:trPr>
          <w:trHeight w:val="189"/>
        </w:trPr>
        <w:tc>
          <w:tcPr>
            <w:tcW w:w="1640" w:type="dxa"/>
            <w:vAlign w:val="bottom"/>
            <w:tcBorders>
              <w:left w:val="single" w:sz="8" w:color="auto"/>
              <w:right w:val="single" w:sz="8" w:color="DDE6F2"/>
            </w:tcBorders>
            <w:shd w:val="clear" w:color="auto" w:fill="DDE6F2"/>
          </w:tcPr>
          <w:p>
            <w:pPr>
              <w:jc w:val="center"/>
              <w:ind w:left="59"/>
              <w:spacing w:after="0"/>
              <w:rPr>
                <w:sz w:val="20"/>
                <w:szCs w:val="20"/>
                <w:color w:val="auto"/>
              </w:rPr>
            </w:pPr>
            <w:r>
              <w:rPr>
                <w:rFonts w:ascii="Arial" w:cs="Arial" w:eastAsia="Arial" w:hAnsi="Arial"/>
                <w:sz w:val="16"/>
                <w:szCs w:val="16"/>
                <w:color w:val="auto"/>
              </w:rPr>
              <w:t>NEO Equity Mix</w:t>
            </w:r>
          </w:p>
        </w:tc>
        <w:tc>
          <w:tcPr>
            <w:tcW w:w="2960" w:type="dxa"/>
            <w:vAlign w:val="bottom"/>
            <w:shd w:val="clear" w:color="auto" w:fill="DDE6F2"/>
          </w:tcPr>
          <w:p>
            <w:pPr>
              <w:jc w:val="center"/>
              <w:ind w:left="19"/>
              <w:spacing w:after="0"/>
              <w:rPr>
                <w:sz w:val="20"/>
                <w:szCs w:val="20"/>
                <w:color w:val="auto"/>
              </w:rPr>
            </w:pPr>
            <w:r>
              <w:rPr>
                <w:rFonts w:ascii="Arial" w:cs="Arial" w:eastAsia="Arial" w:hAnsi="Arial"/>
                <w:sz w:val="16"/>
                <w:szCs w:val="16"/>
                <w:color w:val="auto"/>
              </w:rPr>
              <w:t>45%</w:t>
            </w:r>
          </w:p>
        </w:tc>
        <w:tc>
          <w:tcPr>
            <w:tcW w:w="3180" w:type="dxa"/>
            <w:vAlign w:val="bottom"/>
            <w:shd w:val="clear" w:color="auto" w:fill="DDE6F2"/>
          </w:tcPr>
          <w:p>
            <w:pPr>
              <w:jc w:val="center"/>
              <w:ind w:left="20"/>
              <w:spacing w:after="0"/>
              <w:rPr>
                <w:sz w:val="20"/>
                <w:szCs w:val="20"/>
                <w:color w:val="auto"/>
              </w:rPr>
            </w:pPr>
            <w:r>
              <w:rPr>
                <w:rFonts w:ascii="Arial" w:cs="Arial" w:eastAsia="Arial" w:hAnsi="Arial"/>
                <w:sz w:val="16"/>
                <w:szCs w:val="16"/>
                <w:color w:val="auto"/>
                <w:w w:val="99"/>
              </w:rPr>
              <w:t>35%</w:t>
            </w:r>
          </w:p>
        </w:tc>
        <w:tc>
          <w:tcPr>
            <w:tcW w:w="3660" w:type="dxa"/>
            <w:vAlign w:val="bottom"/>
            <w:tcBorders>
              <w:right w:val="single" w:sz="8" w:color="auto"/>
            </w:tcBorders>
            <w:shd w:val="clear" w:color="auto" w:fill="DDE6F2"/>
          </w:tcPr>
          <w:p>
            <w:pPr>
              <w:jc w:val="center"/>
              <w:spacing w:after="0"/>
              <w:rPr>
                <w:sz w:val="20"/>
                <w:szCs w:val="20"/>
                <w:color w:val="auto"/>
              </w:rPr>
            </w:pPr>
            <w:r>
              <w:rPr>
                <w:rFonts w:ascii="Arial" w:cs="Arial" w:eastAsia="Arial" w:hAnsi="Arial"/>
                <w:sz w:val="16"/>
                <w:szCs w:val="16"/>
                <w:color w:val="auto"/>
                <w:w w:val="99"/>
              </w:rPr>
              <w:t>20%</w:t>
            </w:r>
          </w:p>
        </w:tc>
      </w:tr>
      <w:tr>
        <w:trPr>
          <w:trHeight w:val="189"/>
        </w:trPr>
        <w:tc>
          <w:tcPr>
            <w:tcW w:w="1640" w:type="dxa"/>
            <w:vAlign w:val="bottom"/>
            <w:tcBorders>
              <w:left w:val="single" w:sz="8" w:color="auto"/>
            </w:tcBorders>
          </w:tcPr>
          <w:p>
            <w:pPr>
              <w:jc w:val="center"/>
              <w:ind w:left="79"/>
              <w:spacing w:after="0"/>
              <w:rPr>
                <w:sz w:val="20"/>
                <w:szCs w:val="20"/>
                <w:color w:val="auto"/>
              </w:rPr>
            </w:pPr>
            <w:r>
              <w:rPr>
                <w:rFonts w:ascii="Arial" w:cs="Arial" w:eastAsia="Arial" w:hAnsi="Arial"/>
                <w:sz w:val="16"/>
                <w:szCs w:val="16"/>
                <w:color w:val="auto"/>
                <w:w w:val="96"/>
              </w:rPr>
              <w:t>Term</w:t>
            </w:r>
          </w:p>
        </w:tc>
        <w:tc>
          <w:tcPr>
            <w:tcW w:w="2960" w:type="dxa"/>
            <w:vAlign w:val="bottom"/>
          </w:tcPr>
          <w:p>
            <w:pPr>
              <w:jc w:val="center"/>
              <w:ind w:left="19"/>
              <w:spacing w:after="0"/>
              <w:rPr>
                <w:sz w:val="20"/>
                <w:szCs w:val="20"/>
                <w:color w:val="auto"/>
              </w:rPr>
            </w:pPr>
            <w:r>
              <w:rPr>
                <w:rFonts w:ascii="Arial" w:cs="Arial" w:eastAsia="Arial" w:hAnsi="Arial"/>
                <w:sz w:val="16"/>
                <w:szCs w:val="16"/>
                <w:color w:val="auto"/>
              </w:rPr>
              <w:t>Three years</w:t>
            </w:r>
          </w:p>
        </w:tc>
        <w:tc>
          <w:tcPr>
            <w:tcW w:w="3180" w:type="dxa"/>
            <w:vAlign w:val="bottom"/>
          </w:tcPr>
          <w:p>
            <w:pPr>
              <w:jc w:val="center"/>
              <w:ind w:left="40"/>
              <w:spacing w:after="0"/>
              <w:rPr>
                <w:sz w:val="20"/>
                <w:szCs w:val="20"/>
                <w:color w:val="auto"/>
              </w:rPr>
            </w:pPr>
            <w:r>
              <w:rPr>
                <w:rFonts w:ascii="Arial" w:cs="Arial" w:eastAsia="Arial" w:hAnsi="Arial"/>
                <w:sz w:val="16"/>
                <w:szCs w:val="16"/>
                <w:color w:val="auto"/>
              </w:rPr>
              <w:t>Three years</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189"/>
        </w:trPr>
        <w:tc>
          <w:tcPr>
            <w:tcW w:w="1640" w:type="dxa"/>
            <w:vAlign w:val="bottom"/>
            <w:tcBorders>
              <w:left w:val="single" w:sz="8" w:color="auto"/>
              <w:right w:val="single" w:sz="8" w:color="DDE6F2"/>
            </w:tcBorders>
            <w:shd w:val="clear" w:color="auto" w:fill="DDE6F2"/>
          </w:tcPr>
          <w:p>
            <w:pPr>
              <w:jc w:val="center"/>
              <w:ind w:left="59"/>
              <w:spacing w:after="0"/>
              <w:rPr>
                <w:sz w:val="20"/>
                <w:szCs w:val="20"/>
                <w:color w:val="auto"/>
              </w:rPr>
            </w:pPr>
            <w:r>
              <w:rPr>
                <w:rFonts w:ascii="Arial" w:cs="Arial" w:eastAsia="Arial" w:hAnsi="Arial"/>
                <w:sz w:val="16"/>
                <w:szCs w:val="16"/>
                <w:color w:val="auto"/>
              </w:rPr>
              <w:t>Frequency</w:t>
            </w:r>
          </w:p>
        </w:tc>
        <w:tc>
          <w:tcPr>
            <w:tcW w:w="2960" w:type="dxa"/>
            <w:vAlign w:val="bottom"/>
            <w:shd w:val="clear" w:color="auto" w:fill="DDE6F2"/>
          </w:tcPr>
          <w:p>
            <w:pPr>
              <w:jc w:val="center"/>
              <w:ind w:left="19"/>
              <w:spacing w:after="0"/>
              <w:rPr>
                <w:sz w:val="20"/>
                <w:szCs w:val="20"/>
                <w:color w:val="auto"/>
              </w:rPr>
            </w:pPr>
            <w:r>
              <w:rPr>
                <w:rFonts w:ascii="Arial" w:cs="Arial" w:eastAsia="Arial" w:hAnsi="Arial"/>
                <w:sz w:val="16"/>
                <w:szCs w:val="16"/>
                <w:color w:val="auto"/>
              </w:rPr>
              <w:t>Granted annually</w:t>
            </w:r>
          </w:p>
        </w:tc>
        <w:tc>
          <w:tcPr>
            <w:tcW w:w="3180" w:type="dxa"/>
            <w:vAlign w:val="bottom"/>
            <w:shd w:val="clear" w:color="auto" w:fill="DDE6F2"/>
          </w:tcPr>
          <w:p>
            <w:pPr>
              <w:jc w:val="center"/>
              <w:ind w:left="40"/>
              <w:spacing w:after="0"/>
              <w:rPr>
                <w:sz w:val="20"/>
                <w:szCs w:val="20"/>
                <w:color w:val="auto"/>
              </w:rPr>
            </w:pPr>
            <w:r>
              <w:rPr>
                <w:rFonts w:ascii="Arial" w:cs="Arial" w:eastAsia="Arial" w:hAnsi="Arial"/>
                <w:sz w:val="16"/>
                <w:szCs w:val="16"/>
                <w:color w:val="auto"/>
              </w:rPr>
              <w:t>Granted annually</w:t>
            </w:r>
          </w:p>
        </w:tc>
        <w:tc>
          <w:tcPr>
            <w:tcW w:w="3660" w:type="dxa"/>
            <w:vAlign w:val="bottom"/>
            <w:tcBorders>
              <w:right w:val="single" w:sz="8" w:color="auto"/>
            </w:tcBorders>
            <w:shd w:val="clear" w:color="auto" w:fill="DDE6F2"/>
          </w:tcPr>
          <w:p>
            <w:pPr>
              <w:jc w:val="center"/>
              <w:spacing w:after="0"/>
              <w:rPr>
                <w:sz w:val="20"/>
                <w:szCs w:val="20"/>
                <w:color w:val="auto"/>
              </w:rPr>
            </w:pPr>
            <w:r>
              <w:rPr>
                <w:rFonts w:ascii="Arial" w:cs="Arial" w:eastAsia="Arial" w:hAnsi="Arial"/>
                <w:sz w:val="16"/>
                <w:szCs w:val="16"/>
                <w:color w:val="auto"/>
              </w:rPr>
              <w:t>Granted annually</w:t>
            </w:r>
          </w:p>
        </w:tc>
      </w:tr>
      <w:tr>
        <w:trPr>
          <w:trHeight w:val="191"/>
        </w:trPr>
        <w:tc>
          <w:tcPr>
            <w:tcW w:w="1640" w:type="dxa"/>
            <w:vAlign w:val="bottom"/>
            <w:tcBorders>
              <w:left w:val="single" w:sz="8" w:color="auto"/>
            </w:tcBorders>
          </w:tcPr>
          <w:p>
            <w:pPr>
              <w:jc w:val="center"/>
              <w:ind w:left="59"/>
              <w:spacing w:after="0"/>
              <w:rPr>
                <w:sz w:val="20"/>
                <w:szCs w:val="20"/>
                <w:color w:val="auto"/>
              </w:rPr>
            </w:pPr>
            <w:r>
              <w:rPr>
                <w:rFonts w:ascii="Arial" w:cs="Arial" w:eastAsia="Arial" w:hAnsi="Arial"/>
                <w:sz w:val="16"/>
                <w:szCs w:val="16"/>
                <w:color w:val="auto"/>
              </w:rPr>
              <w:t>Performance</w:t>
            </w:r>
          </w:p>
        </w:tc>
        <w:tc>
          <w:tcPr>
            <w:tcW w:w="2960" w:type="dxa"/>
            <w:vAlign w:val="bottom"/>
          </w:tcPr>
          <w:p>
            <w:pPr>
              <w:jc w:val="center"/>
              <w:ind w:left="19"/>
              <w:spacing w:after="0"/>
              <w:rPr>
                <w:sz w:val="20"/>
                <w:szCs w:val="20"/>
                <w:color w:val="auto"/>
              </w:rPr>
            </w:pPr>
            <w:r>
              <w:rPr>
                <w:rFonts w:ascii="Arial" w:cs="Arial" w:eastAsia="Arial" w:hAnsi="Arial"/>
                <w:sz w:val="16"/>
                <w:szCs w:val="16"/>
                <w:color w:val="auto"/>
              </w:rPr>
              <w:t>Absolute TSR and</w:t>
            </w:r>
          </w:p>
        </w:tc>
        <w:tc>
          <w:tcPr>
            <w:tcW w:w="3180" w:type="dxa"/>
            <w:vAlign w:val="bottom"/>
          </w:tcPr>
          <w:p>
            <w:pPr>
              <w:spacing w:after="0"/>
              <w:rPr>
                <w:sz w:val="16"/>
                <w:szCs w:val="16"/>
                <w:color w:val="auto"/>
              </w:rPr>
            </w:pPr>
          </w:p>
        </w:tc>
        <w:tc>
          <w:tcPr>
            <w:tcW w:w="3660" w:type="dxa"/>
            <w:vAlign w:val="bottom"/>
            <w:tcBorders>
              <w:right w:val="single" w:sz="8" w:color="auto"/>
            </w:tcBorders>
          </w:tcPr>
          <w:p>
            <w:pPr>
              <w:spacing w:after="0"/>
              <w:rPr>
                <w:sz w:val="16"/>
                <w:szCs w:val="16"/>
                <w:color w:val="auto"/>
              </w:rPr>
            </w:pPr>
          </w:p>
        </w:tc>
      </w:tr>
      <w:tr>
        <w:trPr>
          <w:trHeight w:val="201"/>
        </w:trPr>
        <w:tc>
          <w:tcPr>
            <w:tcW w:w="1640" w:type="dxa"/>
            <w:vAlign w:val="bottom"/>
            <w:tcBorders>
              <w:left w:val="single" w:sz="8" w:color="auto"/>
            </w:tcBorders>
          </w:tcPr>
          <w:p>
            <w:pPr>
              <w:jc w:val="center"/>
              <w:ind w:left="59"/>
              <w:spacing w:after="0"/>
              <w:rPr>
                <w:sz w:val="20"/>
                <w:szCs w:val="20"/>
                <w:color w:val="auto"/>
              </w:rPr>
            </w:pPr>
            <w:r>
              <w:rPr>
                <w:rFonts w:ascii="Arial" w:cs="Arial" w:eastAsia="Arial" w:hAnsi="Arial"/>
                <w:sz w:val="16"/>
                <w:szCs w:val="16"/>
                <w:color w:val="auto"/>
              </w:rPr>
              <w:t>criteria</w:t>
            </w:r>
          </w:p>
        </w:tc>
        <w:tc>
          <w:tcPr>
            <w:tcW w:w="2960" w:type="dxa"/>
            <w:vAlign w:val="bottom"/>
          </w:tcPr>
          <w:p>
            <w:pPr>
              <w:jc w:val="center"/>
              <w:ind w:left="19"/>
              <w:spacing w:after="0"/>
              <w:rPr>
                <w:sz w:val="20"/>
                <w:szCs w:val="20"/>
                <w:color w:val="auto"/>
              </w:rPr>
            </w:pPr>
            <w:r>
              <w:rPr>
                <w:rFonts w:ascii="Arial" w:cs="Arial" w:eastAsia="Arial" w:hAnsi="Arial"/>
                <w:sz w:val="16"/>
                <w:szCs w:val="16"/>
                <w:color w:val="auto"/>
                <w:w w:val="99"/>
              </w:rPr>
              <w:t>Relative TSR</w:t>
            </w:r>
          </w:p>
        </w:tc>
        <w:tc>
          <w:tcPr>
            <w:tcW w:w="3180" w:type="dxa"/>
            <w:vAlign w:val="bottom"/>
          </w:tcPr>
          <w:p>
            <w:pPr>
              <w:jc w:val="center"/>
              <w:ind w:left="40"/>
              <w:spacing w:after="0"/>
              <w:rPr>
                <w:sz w:val="20"/>
                <w:szCs w:val="20"/>
                <w:color w:val="auto"/>
              </w:rPr>
            </w:pPr>
            <w:r>
              <w:rPr>
                <w:rFonts w:ascii="Arial" w:cs="Arial" w:eastAsia="Arial" w:hAnsi="Arial"/>
                <w:sz w:val="16"/>
                <w:szCs w:val="16"/>
                <w:color w:val="auto"/>
              </w:rPr>
              <w:t>Retention</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Stock price appreciation</w:t>
            </w:r>
          </w:p>
        </w:tc>
      </w:tr>
      <w:tr>
        <w:trPr>
          <w:trHeight w:val="189"/>
        </w:trPr>
        <w:tc>
          <w:tcPr>
            <w:tcW w:w="1640" w:type="dxa"/>
            <w:vAlign w:val="bottom"/>
            <w:tcBorders>
              <w:left w:val="single" w:sz="8" w:color="auto"/>
              <w:right w:val="single" w:sz="8" w:color="DDE6F2"/>
            </w:tcBorders>
            <w:shd w:val="clear" w:color="auto" w:fill="DDE6F2"/>
          </w:tcPr>
          <w:p>
            <w:pPr>
              <w:jc w:val="center"/>
              <w:ind w:left="59"/>
              <w:spacing w:after="0"/>
              <w:rPr>
                <w:sz w:val="20"/>
                <w:szCs w:val="20"/>
                <w:color w:val="auto"/>
              </w:rPr>
            </w:pPr>
            <w:r>
              <w:rPr>
                <w:rFonts w:ascii="Arial" w:cs="Arial" w:eastAsia="Arial" w:hAnsi="Arial"/>
                <w:sz w:val="16"/>
                <w:szCs w:val="16"/>
                <w:color w:val="auto"/>
              </w:rPr>
              <w:t>Vesting</w:t>
            </w:r>
          </w:p>
        </w:tc>
        <w:tc>
          <w:tcPr>
            <w:tcW w:w="2960" w:type="dxa"/>
            <w:vAlign w:val="bottom"/>
            <w:shd w:val="clear" w:color="auto" w:fill="DDE6F2"/>
          </w:tcPr>
          <w:p>
            <w:pPr>
              <w:jc w:val="center"/>
              <w:ind w:left="19"/>
              <w:spacing w:after="0"/>
              <w:rPr>
                <w:sz w:val="20"/>
                <w:szCs w:val="20"/>
                <w:color w:val="auto"/>
              </w:rPr>
            </w:pPr>
            <w:r>
              <w:rPr>
                <w:rFonts w:ascii="Arial" w:cs="Arial" w:eastAsia="Arial" w:hAnsi="Arial"/>
                <w:sz w:val="16"/>
                <w:szCs w:val="16"/>
                <w:color w:val="auto"/>
              </w:rPr>
              <w:t>Cliff vesting after three years</w:t>
            </w:r>
          </w:p>
        </w:tc>
        <w:tc>
          <w:tcPr>
            <w:tcW w:w="3180" w:type="dxa"/>
            <w:vAlign w:val="bottom"/>
            <w:shd w:val="clear" w:color="auto" w:fill="DDE6F2"/>
          </w:tcPr>
          <w:p>
            <w:pPr>
              <w:jc w:val="center"/>
              <w:ind w:left="40"/>
              <w:spacing w:after="0"/>
              <w:rPr>
                <w:sz w:val="20"/>
                <w:szCs w:val="20"/>
                <w:color w:val="auto"/>
              </w:rPr>
            </w:pPr>
            <w:r>
              <w:rPr>
                <w:rFonts w:ascii="Arial" w:cs="Arial" w:eastAsia="Arial" w:hAnsi="Arial"/>
                <w:sz w:val="16"/>
                <w:szCs w:val="16"/>
                <w:color w:val="auto"/>
              </w:rPr>
              <w:t>Cliff vesting after three years</w:t>
            </w:r>
          </w:p>
        </w:tc>
        <w:tc>
          <w:tcPr>
            <w:tcW w:w="3660" w:type="dxa"/>
            <w:vAlign w:val="bottom"/>
            <w:tcBorders>
              <w:right w:val="single" w:sz="8" w:color="auto"/>
            </w:tcBorders>
            <w:shd w:val="clear" w:color="auto" w:fill="DDE6F2"/>
          </w:tcPr>
          <w:p>
            <w:pPr>
              <w:jc w:val="center"/>
              <w:spacing w:after="0"/>
              <w:rPr>
                <w:sz w:val="20"/>
                <w:szCs w:val="20"/>
                <w:color w:val="auto"/>
              </w:rPr>
            </w:pPr>
            <w:r>
              <w:rPr>
                <w:rFonts w:ascii="Arial" w:cs="Arial" w:eastAsia="Arial" w:hAnsi="Arial"/>
                <w:sz w:val="16"/>
                <w:szCs w:val="16"/>
                <w:color w:val="auto"/>
              </w:rPr>
              <w:t>Ratable vesting over three years</w:t>
            </w:r>
          </w:p>
        </w:tc>
      </w:tr>
      <w:tr>
        <w:trPr>
          <w:trHeight w:val="191"/>
        </w:trPr>
        <w:tc>
          <w:tcPr>
            <w:tcW w:w="1640" w:type="dxa"/>
            <w:vAlign w:val="bottom"/>
            <w:tcBorders>
              <w:left w:val="single" w:sz="8" w:color="auto"/>
            </w:tcBorders>
          </w:tcPr>
          <w:p>
            <w:pPr>
              <w:spacing w:after="0"/>
              <w:rPr>
                <w:sz w:val="16"/>
                <w:szCs w:val="16"/>
                <w:color w:val="auto"/>
              </w:rPr>
            </w:pPr>
          </w:p>
        </w:tc>
        <w:tc>
          <w:tcPr>
            <w:tcW w:w="2960" w:type="dxa"/>
            <w:vAlign w:val="bottom"/>
          </w:tcPr>
          <w:p>
            <w:pPr>
              <w:jc w:val="center"/>
              <w:ind w:left="19"/>
              <w:spacing w:after="0"/>
              <w:rPr>
                <w:sz w:val="20"/>
                <w:szCs w:val="20"/>
                <w:color w:val="auto"/>
              </w:rPr>
            </w:pPr>
            <w:r>
              <w:rPr>
                <w:rFonts w:ascii="Arial" w:cs="Arial" w:eastAsia="Arial" w:hAnsi="Arial"/>
                <w:sz w:val="16"/>
                <w:szCs w:val="16"/>
                <w:color w:val="auto"/>
              </w:rPr>
              <w:t>Upon vesting, shares are distributed</w:t>
            </w:r>
          </w:p>
        </w:tc>
        <w:tc>
          <w:tcPr>
            <w:tcW w:w="3180" w:type="dxa"/>
            <w:vAlign w:val="bottom"/>
          </w:tcPr>
          <w:p>
            <w:pPr>
              <w:spacing w:after="0"/>
              <w:rPr>
                <w:sz w:val="16"/>
                <w:szCs w:val="16"/>
                <w:color w:val="auto"/>
              </w:rPr>
            </w:pPr>
          </w:p>
        </w:tc>
        <w:tc>
          <w:tcPr>
            <w:tcW w:w="3660" w:type="dxa"/>
            <w:vAlign w:val="bottom"/>
            <w:tcBorders>
              <w:right w:val="single" w:sz="8" w:color="auto"/>
            </w:tcBorders>
          </w:tcPr>
          <w:p>
            <w:pPr>
              <w:spacing w:after="0"/>
              <w:rPr>
                <w:sz w:val="16"/>
                <w:szCs w:val="16"/>
                <w:color w:val="auto"/>
              </w:rPr>
            </w:pPr>
          </w:p>
        </w:tc>
      </w:tr>
      <w:tr>
        <w:trPr>
          <w:trHeight w:val="189"/>
        </w:trPr>
        <w:tc>
          <w:tcPr>
            <w:tcW w:w="1640" w:type="dxa"/>
            <w:vAlign w:val="bottom"/>
            <w:tcBorders>
              <w:left w:val="single" w:sz="8" w:color="auto"/>
            </w:tcBorders>
          </w:tcPr>
          <w:p>
            <w:pPr>
              <w:spacing w:after="0"/>
              <w:rPr>
                <w:sz w:val="16"/>
                <w:szCs w:val="16"/>
                <w:color w:val="auto"/>
              </w:rPr>
            </w:pPr>
          </w:p>
        </w:tc>
        <w:tc>
          <w:tcPr>
            <w:tcW w:w="2960" w:type="dxa"/>
            <w:vAlign w:val="bottom"/>
          </w:tcPr>
          <w:p>
            <w:pPr>
              <w:jc w:val="center"/>
              <w:ind w:left="19"/>
              <w:spacing w:after="0"/>
              <w:rPr>
                <w:sz w:val="20"/>
                <w:szCs w:val="20"/>
                <w:color w:val="auto"/>
              </w:rPr>
            </w:pPr>
            <w:r>
              <w:rPr>
                <w:rFonts w:ascii="Arial" w:cs="Arial" w:eastAsia="Arial" w:hAnsi="Arial"/>
                <w:sz w:val="16"/>
                <w:szCs w:val="16"/>
                <w:color w:val="auto"/>
              </w:rPr>
              <w:t>based on performance certification</w:t>
            </w:r>
          </w:p>
        </w:tc>
        <w:tc>
          <w:tcPr>
            <w:tcW w:w="3180" w:type="dxa"/>
            <w:vAlign w:val="bottom"/>
          </w:tcPr>
          <w:p>
            <w:pPr>
              <w:spacing w:after="0"/>
              <w:rPr>
                <w:sz w:val="16"/>
                <w:szCs w:val="16"/>
                <w:color w:val="auto"/>
              </w:rPr>
            </w:pP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Upon vesting, options are</w:t>
            </w:r>
          </w:p>
        </w:tc>
      </w:tr>
      <w:tr>
        <w:trPr>
          <w:trHeight w:val="201"/>
        </w:trPr>
        <w:tc>
          <w:tcPr>
            <w:tcW w:w="1640" w:type="dxa"/>
            <w:vAlign w:val="bottom"/>
            <w:tcBorders>
              <w:left w:val="single" w:sz="8" w:color="auto"/>
            </w:tcBorders>
          </w:tcPr>
          <w:p>
            <w:pPr>
              <w:jc w:val="center"/>
              <w:ind w:left="59"/>
              <w:spacing w:after="0"/>
              <w:rPr>
                <w:sz w:val="20"/>
                <w:szCs w:val="20"/>
                <w:color w:val="auto"/>
              </w:rPr>
            </w:pPr>
            <w:r>
              <w:rPr>
                <w:rFonts w:ascii="Arial" w:cs="Arial" w:eastAsia="Arial" w:hAnsi="Arial"/>
                <w:sz w:val="16"/>
                <w:szCs w:val="16"/>
                <w:color w:val="auto"/>
              </w:rPr>
              <w:t>Payout</w:t>
            </w:r>
          </w:p>
        </w:tc>
        <w:tc>
          <w:tcPr>
            <w:tcW w:w="2960" w:type="dxa"/>
            <w:vAlign w:val="bottom"/>
          </w:tcPr>
          <w:p>
            <w:pPr>
              <w:jc w:val="center"/>
              <w:ind w:left="19"/>
              <w:spacing w:after="0"/>
              <w:rPr>
                <w:sz w:val="20"/>
                <w:szCs w:val="20"/>
                <w:color w:val="auto"/>
              </w:rPr>
            </w:pPr>
            <w:r>
              <w:rPr>
                <w:rFonts w:ascii="Arial" w:cs="Arial" w:eastAsia="Arial" w:hAnsi="Arial"/>
                <w:sz w:val="16"/>
                <w:szCs w:val="16"/>
                <w:color w:val="auto"/>
              </w:rPr>
              <w:t>(0% - 200%)</w:t>
            </w:r>
          </w:p>
        </w:tc>
        <w:tc>
          <w:tcPr>
            <w:tcW w:w="3180" w:type="dxa"/>
            <w:vAlign w:val="bottom"/>
          </w:tcPr>
          <w:p>
            <w:pPr>
              <w:jc w:val="center"/>
              <w:ind w:left="40"/>
              <w:spacing w:after="0"/>
              <w:rPr>
                <w:sz w:val="20"/>
                <w:szCs w:val="20"/>
                <w:color w:val="auto"/>
              </w:rPr>
            </w:pPr>
            <w:r>
              <w:rPr>
                <w:rFonts w:ascii="Arial" w:cs="Arial" w:eastAsia="Arial" w:hAnsi="Arial"/>
                <w:sz w:val="16"/>
                <w:szCs w:val="16"/>
                <w:color w:val="auto"/>
              </w:rPr>
              <w:t>Upon vesting, shares are distributed</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available to exercise</w:t>
            </w:r>
          </w:p>
        </w:tc>
      </w:tr>
      <w:tr>
        <w:trPr>
          <w:trHeight w:val="186"/>
        </w:trPr>
        <w:tc>
          <w:tcPr>
            <w:tcW w:w="1640" w:type="dxa"/>
            <w:vAlign w:val="bottom"/>
            <w:tcBorders>
              <w:left w:val="single" w:sz="8" w:color="auto"/>
              <w:right w:val="single" w:sz="8" w:color="DDE6F2"/>
            </w:tcBorders>
            <w:shd w:val="clear" w:color="auto" w:fill="DDE6F2"/>
          </w:tcPr>
          <w:p>
            <w:pPr>
              <w:spacing w:after="0"/>
              <w:rPr>
                <w:sz w:val="16"/>
                <w:szCs w:val="16"/>
                <w:color w:val="auto"/>
              </w:rPr>
            </w:pPr>
          </w:p>
        </w:tc>
        <w:tc>
          <w:tcPr>
            <w:tcW w:w="2960" w:type="dxa"/>
            <w:vAlign w:val="bottom"/>
            <w:shd w:val="clear" w:color="auto" w:fill="DDE6F2"/>
          </w:tcPr>
          <w:p>
            <w:pPr>
              <w:spacing w:after="0"/>
              <w:rPr>
                <w:sz w:val="16"/>
                <w:szCs w:val="16"/>
                <w:color w:val="auto"/>
              </w:rPr>
            </w:pPr>
          </w:p>
        </w:tc>
        <w:tc>
          <w:tcPr>
            <w:tcW w:w="3180" w:type="dxa"/>
            <w:vAlign w:val="bottom"/>
            <w:shd w:val="clear" w:color="auto" w:fill="DDE6F2"/>
          </w:tcPr>
          <w:p>
            <w:pPr>
              <w:jc w:val="center"/>
              <w:ind w:left="20"/>
              <w:spacing w:after="0"/>
              <w:rPr>
                <w:sz w:val="20"/>
                <w:szCs w:val="20"/>
                <w:color w:val="auto"/>
              </w:rPr>
            </w:pPr>
            <w:r>
              <w:rPr>
                <w:rFonts w:ascii="Arial" w:cs="Arial" w:eastAsia="Arial" w:hAnsi="Arial"/>
                <w:sz w:val="16"/>
                <w:szCs w:val="16"/>
                <w:color w:val="auto"/>
              </w:rPr>
              <w:t>Dividend equivalents accrued and paid in</w:t>
            </w:r>
          </w:p>
        </w:tc>
        <w:tc>
          <w:tcPr>
            <w:tcW w:w="3660" w:type="dxa"/>
            <w:vAlign w:val="bottom"/>
            <w:tcBorders>
              <w:right w:val="single" w:sz="8" w:color="auto"/>
            </w:tcBorders>
            <w:shd w:val="clear" w:color="auto" w:fill="DDE6F2"/>
          </w:tcPr>
          <w:p>
            <w:pPr>
              <w:spacing w:after="0"/>
              <w:rPr>
                <w:sz w:val="16"/>
                <w:szCs w:val="16"/>
                <w:color w:val="auto"/>
              </w:rPr>
            </w:pPr>
          </w:p>
        </w:tc>
      </w:tr>
      <w:tr>
        <w:trPr>
          <w:trHeight w:val="192"/>
        </w:trPr>
        <w:tc>
          <w:tcPr>
            <w:tcW w:w="1640" w:type="dxa"/>
            <w:vAlign w:val="bottom"/>
            <w:tcBorders>
              <w:left w:val="single" w:sz="8" w:color="auto"/>
              <w:bottom w:val="single" w:sz="8" w:color="auto"/>
              <w:right w:val="single" w:sz="8" w:color="DDE6F2"/>
            </w:tcBorders>
            <w:shd w:val="clear" w:color="auto" w:fill="DDE6F2"/>
          </w:tcPr>
          <w:p>
            <w:pPr>
              <w:jc w:val="center"/>
              <w:ind w:left="59"/>
              <w:spacing w:after="0"/>
              <w:rPr>
                <w:sz w:val="20"/>
                <w:szCs w:val="20"/>
                <w:color w:val="auto"/>
              </w:rPr>
            </w:pPr>
            <w:r>
              <w:rPr>
                <w:rFonts w:ascii="Arial" w:cs="Arial" w:eastAsia="Arial" w:hAnsi="Arial"/>
                <w:sz w:val="16"/>
                <w:szCs w:val="16"/>
                <w:color w:val="auto"/>
                <w:w w:val="99"/>
              </w:rPr>
              <w:t>Dividends</w:t>
            </w:r>
          </w:p>
        </w:tc>
        <w:tc>
          <w:tcPr>
            <w:tcW w:w="2960" w:type="dxa"/>
            <w:vAlign w:val="bottom"/>
            <w:tcBorders>
              <w:bottom w:val="single" w:sz="8" w:color="auto"/>
            </w:tcBorders>
            <w:shd w:val="clear" w:color="auto" w:fill="DDE6F2"/>
          </w:tcPr>
          <w:p>
            <w:pPr>
              <w:jc w:val="center"/>
              <w:ind w:left="19"/>
              <w:spacing w:after="0"/>
              <w:rPr>
                <w:sz w:val="20"/>
                <w:szCs w:val="20"/>
                <w:color w:val="auto"/>
              </w:rPr>
            </w:pPr>
            <w:r>
              <w:rPr>
                <w:rFonts w:ascii="Arial" w:cs="Arial" w:eastAsia="Arial" w:hAnsi="Arial"/>
                <w:sz w:val="16"/>
                <w:szCs w:val="16"/>
                <w:color w:val="auto"/>
              </w:rPr>
              <w:t>No dividends</w:t>
            </w:r>
          </w:p>
        </w:tc>
        <w:tc>
          <w:tcPr>
            <w:tcW w:w="3180" w:type="dxa"/>
            <w:vAlign w:val="bottom"/>
            <w:tcBorders>
              <w:bottom w:val="single" w:sz="8" w:color="auto"/>
            </w:tcBorders>
            <w:shd w:val="clear" w:color="auto" w:fill="DDE6F2"/>
          </w:tcPr>
          <w:p>
            <w:pPr>
              <w:jc w:val="center"/>
              <w:ind w:left="40"/>
              <w:spacing w:after="0" w:line="192" w:lineRule="exact"/>
              <w:rPr>
                <w:sz w:val="20"/>
                <w:szCs w:val="20"/>
                <w:color w:val="auto"/>
              </w:rPr>
            </w:pPr>
            <w:r>
              <w:rPr>
                <w:rFonts w:ascii="Arial" w:cs="Arial" w:eastAsia="Arial" w:hAnsi="Arial"/>
                <w:sz w:val="14"/>
                <w:szCs w:val="14"/>
                <w:color w:val="auto"/>
              </w:rPr>
              <w:t>cash upon vesting</w:t>
            </w:r>
            <w:r>
              <w:rPr>
                <w:rFonts w:ascii="Arial" w:cs="Arial" w:eastAsia="Arial" w:hAnsi="Arial"/>
                <w:sz w:val="22"/>
                <w:szCs w:val="22"/>
                <w:color w:val="auto"/>
                <w:vertAlign w:val="superscript"/>
              </w:rPr>
              <w:t>(1)</w:t>
            </w:r>
          </w:p>
        </w:tc>
        <w:tc>
          <w:tcPr>
            <w:tcW w:w="3660" w:type="dxa"/>
            <w:vAlign w:val="bottom"/>
            <w:tcBorders>
              <w:bottom w:val="single" w:sz="8" w:color="auto"/>
              <w:right w:val="single" w:sz="8" w:color="auto"/>
            </w:tcBorders>
            <w:shd w:val="clear" w:color="auto" w:fill="DDE6F2"/>
          </w:tcPr>
          <w:p>
            <w:pPr>
              <w:jc w:val="center"/>
              <w:spacing w:after="0"/>
              <w:rPr>
                <w:sz w:val="20"/>
                <w:szCs w:val="20"/>
                <w:color w:val="auto"/>
              </w:rPr>
            </w:pPr>
            <w:r>
              <w:rPr>
                <w:rFonts w:ascii="Arial" w:cs="Arial" w:eastAsia="Arial" w:hAnsi="Arial"/>
                <w:sz w:val="16"/>
                <w:szCs w:val="16"/>
                <w:color w:val="auto"/>
              </w:rPr>
              <w:t>No dividends</w:t>
            </w:r>
          </w:p>
        </w:tc>
      </w:tr>
    </w:tbl>
    <w:p>
      <w:pPr>
        <w:spacing w:after="0" w:line="126" w:lineRule="exact"/>
        <w:rPr>
          <w:sz w:val="20"/>
          <w:szCs w:val="20"/>
          <w:color w:val="auto"/>
        </w:rPr>
      </w:pPr>
    </w:p>
    <w:p>
      <w:pPr>
        <w:ind w:left="800" w:hanging="346"/>
        <w:spacing w:after="0"/>
        <w:tabs>
          <w:tab w:leader="none" w:pos="8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Dividend equivalents began accruing with the 2012 grant</w:t>
      </w:r>
    </w:p>
    <w:p>
      <w:pPr>
        <w:spacing w:after="0" w:line="214"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We continued to grant long-term incentives in the form of (1) performance-based RSUs, (2) time-based RSUs, and (3) stock options in 2014 to emphasize our commitment to pay for performance, enable ownership in the Company, and ensure appropriate retention of our NEOs.</w:t>
      </w:r>
    </w:p>
    <w:p>
      <w:pPr>
        <w:spacing w:after="0" w:line="18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i w:val="1"/>
          <w:iCs w:val="1"/>
          <w:color w:val="auto"/>
        </w:rPr>
        <w:t xml:space="preserve">Performance-based RSUs. </w:t>
      </w:r>
      <w:r>
        <w:rPr>
          <w:rFonts w:ascii="Arial" w:cs="Arial" w:eastAsia="Arial" w:hAnsi="Arial"/>
          <w:sz w:val="16"/>
          <w:szCs w:val="16"/>
          <w:color w:val="auto"/>
        </w:rPr>
        <w:t>Performance-based RSUs awarded are only earned if we attain specific TSR results. We measure both relative TSR and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TSR as interdependent measures in determining the attainment level of our performance-based awards. Including absolute TSR ensures that we are delivering value to our stockholders, not simply performing well against our peers. Relative TSR may place us at the top of our peers; however, if we have not delivered value to our stockholders, awards would be limited. The majority of companies in our comparator group typically consider only their TSR performance relative to a defined peer group. Performance-based equity is a significant portion of our NEO compensation. The performance-based RSU matrix included in this section shows how the two metrics work together to generate a performance multiple.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 maximum payout is achieved only when we exceed our goals both in absolute and relative terms.</w:t>
      </w:r>
    </w:p>
    <w:p>
      <w:pPr>
        <w:spacing w:after="0" w:line="221" w:lineRule="exact"/>
        <w:rPr>
          <w:sz w:val="20"/>
          <w:szCs w:val="20"/>
          <w:color w:val="auto"/>
        </w:rPr>
      </w:pPr>
    </w:p>
    <w:p>
      <w:pPr>
        <w:jc w:val="both"/>
        <w:ind w:left="360" w:right="20"/>
        <w:spacing w:after="0" w:line="253" w:lineRule="auto"/>
        <w:rPr>
          <w:sz w:val="20"/>
          <w:szCs w:val="20"/>
          <w:color w:val="auto"/>
        </w:rPr>
      </w:pPr>
      <w:r>
        <w:rPr>
          <w:rFonts w:ascii="Arial" w:cs="Arial" w:eastAsia="Arial" w:hAnsi="Arial"/>
          <w:sz w:val="16"/>
          <w:szCs w:val="16"/>
          <w:color w:val="auto"/>
        </w:rPr>
        <w:t>Example 1: If our Relative TSR performance is below the median (i.e., 50 Percentile) of our comparator company group, we only deliver a payout if our Annualized Absolute TSR performance is at least 7.5% during the three-year period. At a 7.5% annualized TSR result, the payout would be between 0%-50% of the original grant.</w:t>
      </w:r>
    </w:p>
    <w:p>
      <w:pPr>
        <w:spacing w:after="0" w:line="201" w:lineRule="exact"/>
        <w:rPr>
          <w:sz w:val="20"/>
          <w:szCs w:val="20"/>
          <w:color w:val="auto"/>
        </w:rPr>
      </w:pPr>
    </w:p>
    <w:p>
      <w:pPr>
        <w:jc w:val="both"/>
        <w:ind w:left="360" w:right="20"/>
        <w:spacing w:after="0" w:line="260" w:lineRule="auto"/>
        <w:rPr>
          <w:sz w:val="20"/>
          <w:szCs w:val="20"/>
          <w:color w:val="auto"/>
        </w:rPr>
      </w:pPr>
      <w:r>
        <w:rPr>
          <w:rFonts w:ascii="Arial" w:cs="Arial" w:eastAsia="Arial" w:hAnsi="Arial"/>
          <w:sz w:val="16"/>
          <w:szCs w:val="16"/>
          <w:color w:val="auto"/>
        </w:rPr>
        <w:t>Example 2: Relative TSR performance near or at the top of our comparator group would be capped at 60% of the original grant if we fail to return at least 7.5% to our stockholders. This would result in each NEO receiving well below the targeted award despite high relative TSR compared to our peers.</w:t>
      </w:r>
    </w:p>
    <w:p>
      <w:pPr>
        <w:spacing w:after="0" w:line="123"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46</w:t>
            </w:r>
          </w:p>
        </w:tc>
      </w:tr>
    </w:tbl>
    <w:p>
      <w:pPr>
        <w:sectPr>
          <w:pgSz w:w="11900" w:h="16838" w:orient="portrait"/>
          <w:cols w:equalWidth="0" w:num="1">
            <w:col w:w="11440"/>
          </w:cols>
          <w:pgMar w:left="240" w:top="459" w:right="2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This philosophy is in contrast to the common market practice of utilizing only relative TSR. Without delivering the threshold absolute return to stockholders, relative TSR that fails to exceed the median of the comparator group will not generate any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140335</wp:posOffset>
            </wp:positionV>
            <wp:extent cx="4690745" cy="19894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69074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performance-based RSUs granted in 2011 and 2012 for the 2011-2013 and 2012-2014 performance periods exceeded targets set for both absolute and relative TSR at the beginning of each performance period resulting in strong performance scores of 182% and 169% respectively. The 2011 awards were distributed in 2014. The 2012 awards were distributed in 2015. Of note, within the past six vesting periods, including the 2012 award which vested in 2015, two of our performance-based RSU grants have not achieved the minimum threshold for payout while four have achieved above target performance.</w:t>
      </w:r>
    </w:p>
    <w:p>
      <w:pPr>
        <w:spacing w:after="0" w:line="187"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i w:val="1"/>
          <w:iCs w:val="1"/>
          <w:color w:val="auto"/>
        </w:rPr>
        <w:t>Minimum Vesting Period</w:t>
      </w:r>
      <w:r>
        <w:rPr>
          <w:rFonts w:ascii="Arial" w:cs="Arial" w:eastAsia="Arial" w:hAnsi="Arial"/>
          <w:sz w:val="16"/>
          <w:szCs w:val="16"/>
          <w:color w:val="auto"/>
        </w:rPr>
        <w:t>. The 2007 Incentive Plan requires a minimum three-year vesting period for all RSU awards and at least a portion of all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awards.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2011 Performance-based RSUs Earned</w:t>
      </w:r>
      <w:r>
        <w:rPr>
          <w:rFonts w:ascii="Arial" w:cs="Arial" w:eastAsia="Arial" w:hAnsi="Arial"/>
          <w:sz w:val="16"/>
          <w:szCs w:val="16"/>
          <w:color w:val="auto"/>
        </w:rPr>
        <w:t>. The three-year performance cycle for our 2011 performance-based RSUs was completed at the end of 2013 and</w:t>
      </w:r>
      <w:r>
        <w:rPr>
          <w:rFonts w:ascii="Arial" w:cs="Arial" w:eastAsia="Arial" w:hAnsi="Arial"/>
          <w:sz w:val="16"/>
          <w:szCs w:val="16"/>
          <w:i w:val="1"/>
          <w:iCs w:val="1"/>
          <w:color w:val="auto"/>
        </w:rPr>
        <w:t xml:space="preserve"> </w:t>
      </w:r>
      <w:r>
        <w:rPr>
          <w:rFonts w:ascii="Arial" w:cs="Arial" w:eastAsia="Arial" w:hAnsi="Arial"/>
          <w:sz w:val="16"/>
          <w:szCs w:val="16"/>
          <w:color w:val="auto"/>
        </w:rPr>
        <w:t>earned awards were distributed in 2014 upon vesting and performance certification. As discussed earlier in the CD&amp;A, we surpassed the stretch goal for the annualized TSR and performed well relative to our comparator companies achieving a relative TSR performance in the top quartile of our comparator company group. Applying these results generated a 182% of target performance result.</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2012 Performance-based RSUs Earned</w:t>
      </w:r>
      <w:r>
        <w:rPr>
          <w:rFonts w:ascii="Arial" w:cs="Arial" w:eastAsia="Arial" w:hAnsi="Arial"/>
          <w:sz w:val="16"/>
          <w:szCs w:val="16"/>
          <w:color w:val="auto"/>
        </w:rPr>
        <w:t>. We also surpassed the three-year performance targets for our 2012 performance cycle which ran through 2014 and</w:t>
      </w:r>
      <w:r>
        <w:rPr>
          <w:rFonts w:ascii="Arial" w:cs="Arial" w:eastAsia="Arial" w:hAnsi="Arial"/>
          <w:sz w:val="16"/>
          <w:szCs w:val="16"/>
          <w:i w:val="1"/>
          <w:iCs w:val="1"/>
          <w:color w:val="auto"/>
        </w:rPr>
        <w:t xml:space="preserve"> </w:t>
      </w:r>
      <w:r>
        <w:rPr>
          <w:rFonts w:ascii="Arial" w:cs="Arial" w:eastAsia="Arial" w:hAnsi="Arial"/>
          <w:sz w:val="16"/>
          <w:szCs w:val="16"/>
          <w:color w:val="auto"/>
        </w:rPr>
        <w:t>earned awards were distributed in 2015 upon vesting and performance certification. We exceeded the stretch goal for our annualized TSR and performed in the top quartile relative to our comparator company group. Applying these results to the matrix displayed in “Our Commitment to Pay for Performance” section generated a 169% performance result.</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Time-Based RSUs</w:t>
      </w:r>
      <w:r>
        <w:rPr>
          <w:rFonts w:ascii="Arial" w:cs="Arial" w:eastAsia="Arial" w:hAnsi="Arial"/>
          <w:sz w:val="16"/>
          <w:szCs w:val="16"/>
          <w:color w:val="auto"/>
        </w:rPr>
        <w:t>. We grant time-based RSUs to retain executives and to facilitate stock ownership. The use of time-based RSUs is also consistent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practices of our comparator group of companies. In 2012, we began accruing dividend equivalents on our time-based RSUs in line with transformation into a high-growth, high-dividend energy infrastructure company. Our quarterly dividend has increased since 2010, growing from $.11 to $.57. Accrued dividend equivalents will only distribute upon vesting.</w:t>
      </w:r>
    </w:p>
    <w:p>
      <w:pPr>
        <w:spacing w:after="0" w:line="18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Stock Option Awards</w:t>
      </w:r>
      <w:r>
        <w:rPr>
          <w:rFonts w:ascii="Arial" w:cs="Arial" w:eastAsia="Arial" w:hAnsi="Arial"/>
          <w:sz w:val="16"/>
          <w:szCs w:val="16"/>
          <w:color w:val="auto"/>
        </w:rPr>
        <w:t>. For recipients, stock options have value only to the extent the price of our common stock is higher on the date the options are exercised</w:t>
      </w:r>
      <w:r>
        <w:rPr>
          <w:rFonts w:ascii="Arial" w:cs="Arial" w:eastAsia="Arial" w:hAnsi="Arial"/>
          <w:sz w:val="16"/>
          <w:szCs w:val="16"/>
          <w:i w:val="1"/>
          <w:iCs w:val="1"/>
          <w:color w:val="auto"/>
        </w:rPr>
        <w:t xml:space="preserve"> </w:t>
      </w:r>
      <w:r>
        <w:rPr>
          <w:rFonts w:ascii="Arial" w:cs="Arial" w:eastAsia="Arial" w:hAnsi="Arial"/>
          <w:sz w:val="16"/>
          <w:szCs w:val="16"/>
          <w:color w:val="auto"/>
        </w:rPr>
        <w:t>than it was on the date the options were granted.</w:t>
      </w:r>
    </w:p>
    <w:p>
      <w:pPr>
        <w:spacing w:after="0" w:line="106"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47</w:t>
            </w: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i w:val="1"/>
          <w:iCs w:val="1"/>
          <w:color w:val="auto"/>
        </w:rPr>
        <w:t xml:space="preserve">Leveraged RSUs. </w:t>
      </w:r>
      <w:r>
        <w:rPr>
          <w:rFonts w:ascii="Arial" w:cs="Arial" w:eastAsia="Arial" w:hAnsi="Arial"/>
          <w:sz w:val="16"/>
          <w:szCs w:val="16"/>
          <w:color w:val="auto"/>
        </w:rPr>
        <w:t>To further strengthen the alignment between management and our stockholders during a time of tremendous growth and capital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awarded Leveraged Restricted Stock Unit awards to each NEO effective October 25, 2014. This special award is not part of Williams’ annual targeted compensation. The award incents strong growth of our TSR over a three-year period. In order for the award to generate any value for the recipient, the annualized absolute TSR over the three-year period must be at least 7%. At the 7% annualized TSR result, the recipient would receive half of the target number of units granted. A result below 7% annualized TSR will result in no award. For each full percentage point the annualized absolute TSR improves above the 7% threshold, the number of units vesting will increase by a factor of the original unit award amount. This factor amount will vary based on Williams TSR performance relative to our 2015 comparator company group. When Williams TSR over the performance period meets or exceeds the median TSR of our comparator group of companies, the number of units earned will increase by a factor of 25% of the original unit award for each 1% above a 7% annualized rate of TSR and by 50% of the original unit award for each 1% above a 12% annualized TSR. When Williams TSR over the performance period falls below the median TSR of our comparator group of companies, the number of units earned will increase by a lower factor of 10% of the original award for each 1% above a 7% annualized rate of TSR. While the awards will vest at the end of three years, any earned units will distribute one-third three years after the award date, one-third four years after the award date, and one-third five years after the award date. The award may not exceed five times the number of original units granted or eight times the target value of the award in dollars.</w:t>
      </w:r>
    </w:p>
    <w:p>
      <w:pPr>
        <w:spacing w:after="0" w:line="193"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i w:val="1"/>
          <w:iCs w:val="1"/>
          <w:color w:val="auto"/>
        </w:rPr>
        <w:t>Grant Practices</w:t>
      </w:r>
      <w:r>
        <w:rPr>
          <w:rFonts w:ascii="Arial" w:cs="Arial" w:eastAsia="Arial" w:hAnsi="Arial"/>
          <w:sz w:val="16"/>
          <w:szCs w:val="16"/>
          <w:color w:val="auto"/>
        </w:rPr>
        <w:t>. The Committee typically approves our annual equity grant in February or early March of each year, shortly after the annual earnings release.</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 date for awards is on or after the date of such approval to ensure the market has time to absorb material information disclosed in the earnings release and reflect that information in the stock price. Our grant practices in 2014 were consistent with prior years. The grant date for off-cycle grants for individuals who are not NEOs, for reasons such as retention or new hires, is the first business day of the month following the approval of the grant. By using this consistent approach, we remove grant timing from the influence of the release of material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Ownership Guidelines</w:t>
      </w:r>
      <w:r>
        <w:rPr>
          <w:rFonts w:ascii="Arial" w:cs="Arial" w:eastAsia="Arial" w:hAnsi="Arial"/>
          <w:sz w:val="16"/>
          <w:szCs w:val="16"/>
          <w:color w:val="auto"/>
        </w:rPr>
        <w:t>. Our program provides stock ownership guidelines for each of our NEOs and our Board of Directors as shown in the table below:</w:t>
      </w: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220" w:type="dxa"/>
            <w:vAlign w:val="bottom"/>
            <w:tcBorders>
              <w:top w:val="single" w:sz="8" w:color="auto"/>
              <w:left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Position</w:t>
            </w:r>
          </w:p>
        </w:tc>
        <w:tc>
          <w:tcPr>
            <w:tcW w:w="23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b w:val="1"/>
                <w:bCs w:val="1"/>
                <w:color w:val="auto"/>
              </w:rPr>
              <w:t>Ownership Multiple</w:t>
            </w:r>
          </w:p>
        </w:tc>
        <w:tc>
          <w:tcPr>
            <w:tcW w:w="252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As a Multiple of</w:t>
            </w:r>
          </w:p>
        </w:tc>
        <w:tc>
          <w:tcPr>
            <w:tcW w:w="4360" w:type="dxa"/>
            <w:vAlign w:val="bottom"/>
            <w:tcBorders>
              <w:top w:val="single" w:sz="8" w:color="auto"/>
              <w:bottom w:val="single" w:sz="8" w:color="auto"/>
              <w:right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Holding / Retention Requirement</w:t>
            </w:r>
          </w:p>
        </w:tc>
      </w:tr>
      <w:tr>
        <w:trPr>
          <w:trHeight w:val="183"/>
        </w:trPr>
        <w:tc>
          <w:tcPr>
            <w:tcW w:w="2220" w:type="dxa"/>
            <w:vAlign w:val="bottom"/>
            <w:tcBorders>
              <w:left w:val="single" w:sz="8" w:color="auto"/>
            </w:tcBorders>
            <w:shd w:val="clear" w:color="auto" w:fill="DDE6F2"/>
          </w:tcPr>
          <w:p>
            <w:pPr>
              <w:jc w:val="center"/>
              <w:ind w:right="59"/>
              <w:spacing w:after="0" w:line="183" w:lineRule="exact"/>
              <w:rPr>
                <w:sz w:val="20"/>
                <w:szCs w:val="20"/>
                <w:color w:val="auto"/>
              </w:rPr>
            </w:pPr>
            <w:r>
              <w:rPr>
                <w:rFonts w:ascii="Arial" w:cs="Arial" w:eastAsia="Arial" w:hAnsi="Arial"/>
                <w:sz w:val="16"/>
                <w:szCs w:val="16"/>
                <w:b w:val="1"/>
                <w:bCs w:val="1"/>
                <w:color w:val="auto"/>
              </w:rPr>
              <w:t>CEO</w:t>
            </w:r>
          </w:p>
        </w:tc>
        <w:tc>
          <w:tcPr>
            <w:tcW w:w="2340" w:type="dxa"/>
            <w:vAlign w:val="bottom"/>
            <w:shd w:val="clear" w:color="auto" w:fill="DDE6F2"/>
          </w:tcPr>
          <w:p>
            <w:pPr>
              <w:ind w:left="460"/>
              <w:spacing w:after="0" w:line="183" w:lineRule="exact"/>
              <w:rPr>
                <w:sz w:val="20"/>
                <w:szCs w:val="20"/>
                <w:color w:val="auto"/>
              </w:rPr>
            </w:pPr>
            <w:r>
              <w:rPr>
                <w:rFonts w:ascii="Arial" w:cs="Arial" w:eastAsia="Arial" w:hAnsi="Arial"/>
                <w:sz w:val="16"/>
                <w:szCs w:val="16"/>
                <w:color w:val="auto"/>
              </w:rPr>
              <w:t>6x</w:t>
            </w:r>
          </w:p>
        </w:tc>
        <w:tc>
          <w:tcPr>
            <w:tcW w:w="2520" w:type="dxa"/>
            <w:vAlign w:val="bottom"/>
            <w:shd w:val="clear" w:color="auto" w:fill="DDE6F2"/>
          </w:tcPr>
          <w:p>
            <w:pPr>
              <w:jc w:val="center"/>
              <w:ind w:right="59"/>
              <w:spacing w:after="0" w:line="183" w:lineRule="exact"/>
              <w:rPr>
                <w:sz w:val="20"/>
                <w:szCs w:val="20"/>
                <w:color w:val="auto"/>
              </w:rPr>
            </w:pPr>
            <w:r>
              <w:rPr>
                <w:rFonts w:ascii="Arial" w:cs="Arial" w:eastAsia="Arial" w:hAnsi="Arial"/>
                <w:sz w:val="16"/>
                <w:szCs w:val="16"/>
                <w:color w:val="auto"/>
              </w:rPr>
              <w:t>Base Pay</w:t>
            </w:r>
          </w:p>
        </w:tc>
        <w:tc>
          <w:tcPr>
            <w:tcW w:w="4360" w:type="dxa"/>
            <w:vAlign w:val="bottom"/>
            <w:tcBorders>
              <w:right w:val="single" w:sz="8" w:color="auto"/>
            </w:tcBorders>
            <w:shd w:val="clear" w:color="auto" w:fill="DDE6F2"/>
          </w:tcPr>
          <w:p>
            <w:pPr>
              <w:jc w:val="center"/>
              <w:ind w:right="279"/>
              <w:spacing w:after="0" w:line="183" w:lineRule="exact"/>
              <w:rPr>
                <w:sz w:val="20"/>
                <w:szCs w:val="20"/>
                <w:color w:val="auto"/>
              </w:rPr>
            </w:pPr>
            <w:r>
              <w:rPr>
                <w:rFonts w:ascii="Arial" w:cs="Arial" w:eastAsia="Arial" w:hAnsi="Arial"/>
                <w:sz w:val="16"/>
                <w:szCs w:val="16"/>
                <w:color w:val="auto"/>
              </w:rPr>
              <w:t>50%, after taxes, until guidelines are met</w:t>
            </w:r>
          </w:p>
        </w:tc>
      </w:tr>
      <w:tr>
        <w:trPr>
          <w:trHeight w:val="189"/>
        </w:trPr>
        <w:tc>
          <w:tcPr>
            <w:tcW w:w="2220" w:type="dxa"/>
            <w:vAlign w:val="bottom"/>
            <w:tcBorders>
              <w:left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NEO</w:t>
            </w:r>
          </w:p>
        </w:tc>
        <w:tc>
          <w:tcPr>
            <w:tcW w:w="2340" w:type="dxa"/>
            <w:vAlign w:val="bottom"/>
          </w:tcPr>
          <w:p>
            <w:pPr>
              <w:ind w:left="460"/>
              <w:spacing w:after="0"/>
              <w:rPr>
                <w:sz w:val="20"/>
                <w:szCs w:val="20"/>
                <w:color w:val="auto"/>
              </w:rPr>
            </w:pPr>
            <w:r>
              <w:rPr>
                <w:rFonts w:ascii="Arial" w:cs="Arial" w:eastAsia="Arial" w:hAnsi="Arial"/>
                <w:sz w:val="16"/>
                <w:szCs w:val="16"/>
                <w:color w:val="auto"/>
              </w:rPr>
              <w:t>3x</w:t>
            </w:r>
          </w:p>
        </w:tc>
        <w:tc>
          <w:tcPr>
            <w:tcW w:w="2520" w:type="dxa"/>
            <w:vAlign w:val="bottom"/>
          </w:tcPr>
          <w:p>
            <w:pPr>
              <w:jc w:val="center"/>
              <w:ind w:right="59"/>
              <w:spacing w:after="0"/>
              <w:rPr>
                <w:sz w:val="20"/>
                <w:szCs w:val="20"/>
                <w:color w:val="auto"/>
              </w:rPr>
            </w:pPr>
            <w:r>
              <w:rPr>
                <w:rFonts w:ascii="Arial" w:cs="Arial" w:eastAsia="Arial" w:hAnsi="Arial"/>
                <w:sz w:val="16"/>
                <w:szCs w:val="16"/>
                <w:color w:val="auto"/>
              </w:rPr>
              <w:t>Base Pay</w:t>
            </w:r>
          </w:p>
        </w:tc>
        <w:tc>
          <w:tcPr>
            <w:tcW w:w="4360" w:type="dxa"/>
            <w:vAlign w:val="bottom"/>
            <w:tcBorders>
              <w:right w:val="single" w:sz="8" w:color="auto"/>
            </w:tcBorders>
          </w:tcPr>
          <w:p>
            <w:pPr>
              <w:jc w:val="center"/>
              <w:ind w:right="279"/>
              <w:spacing w:after="0"/>
              <w:rPr>
                <w:sz w:val="20"/>
                <w:szCs w:val="20"/>
                <w:color w:val="auto"/>
              </w:rPr>
            </w:pPr>
            <w:r>
              <w:rPr>
                <w:rFonts w:ascii="Arial" w:cs="Arial" w:eastAsia="Arial" w:hAnsi="Arial"/>
                <w:sz w:val="16"/>
                <w:szCs w:val="16"/>
                <w:color w:val="auto"/>
              </w:rPr>
              <w:t>50%, after taxes, until guidelines are met</w:t>
            </w:r>
          </w:p>
        </w:tc>
      </w:tr>
      <w:tr>
        <w:trPr>
          <w:trHeight w:val="189"/>
        </w:trPr>
        <w:tc>
          <w:tcPr>
            <w:tcW w:w="2220" w:type="dxa"/>
            <w:vAlign w:val="bottom"/>
            <w:tcBorders>
              <w:left w:val="single" w:sz="8" w:color="auto"/>
              <w:bottom w:val="single" w:sz="8" w:color="auto"/>
            </w:tcBorders>
            <w:shd w:val="clear" w:color="auto" w:fill="DDE6F2"/>
          </w:tcPr>
          <w:p>
            <w:pPr>
              <w:jc w:val="center"/>
              <w:ind w:right="59"/>
              <w:spacing w:after="0"/>
              <w:rPr>
                <w:sz w:val="20"/>
                <w:szCs w:val="20"/>
                <w:color w:val="auto"/>
              </w:rPr>
            </w:pPr>
            <w:r>
              <w:rPr>
                <w:rFonts w:ascii="Arial" w:cs="Arial" w:eastAsia="Arial" w:hAnsi="Arial"/>
                <w:sz w:val="16"/>
                <w:szCs w:val="16"/>
                <w:b w:val="1"/>
                <w:bCs w:val="1"/>
                <w:color w:val="auto"/>
              </w:rPr>
              <w:t>Board of Directors</w:t>
            </w:r>
          </w:p>
        </w:tc>
        <w:tc>
          <w:tcPr>
            <w:tcW w:w="2340" w:type="dxa"/>
            <w:vAlign w:val="bottom"/>
            <w:tcBorders>
              <w:bottom w:val="single" w:sz="8" w:color="auto"/>
            </w:tcBorders>
            <w:shd w:val="clear" w:color="auto" w:fill="DDE6F2"/>
          </w:tcPr>
          <w:p>
            <w:pPr>
              <w:ind w:left="460"/>
              <w:spacing w:after="0"/>
              <w:rPr>
                <w:sz w:val="20"/>
                <w:szCs w:val="20"/>
                <w:color w:val="auto"/>
              </w:rPr>
            </w:pPr>
            <w:r>
              <w:rPr>
                <w:rFonts w:ascii="Arial" w:cs="Arial" w:eastAsia="Arial" w:hAnsi="Arial"/>
                <w:sz w:val="16"/>
                <w:szCs w:val="16"/>
                <w:color w:val="auto"/>
              </w:rPr>
              <w:t>5x</w:t>
            </w:r>
          </w:p>
        </w:tc>
        <w:tc>
          <w:tcPr>
            <w:tcW w:w="2520" w:type="dxa"/>
            <w:vAlign w:val="bottom"/>
            <w:tcBorders>
              <w:bottom w:val="single" w:sz="8" w:color="auto"/>
            </w:tcBorders>
            <w:shd w:val="clear" w:color="auto" w:fill="DDE6F2"/>
          </w:tcPr>
          <w:p>
            <w:pPr>
              <w:jc w:val="center"/>
              <w:ind w:right="59"/>
              <w:spacing w:after="0"/>
              <w:rPr>
                <w:sz w:val="20"/>
                <w:szCs w:val="20"/>
                <w:color w:val="auto"/>
              </w:rPr>
            </w:pPr>
            <w:r>
              <w:rPr>
                <w:rFonts w:ascii="Arial" w:cs="Arial" w:eastAsia="Arial" w:hAnsi="Arial"/>
                <w:sz w:val="16"/>
                <w:szCs w:val="16"/>
                <w:color w:val="auto"/>
              </w:rPr>
              <w:t>Annual Cash Retainer</w:t>
            </w:r>
          </w:p>
        </w:tc>
        <w:tc>
          <w:tcPr>
            <w:tcW w:w="4360" w:type="dxa"/>
            <w:vAlign w:val="bottom"/>
            <w:tcBorders>
              <w:bottom w:val="single" w:sz="8" w:color="auto"/>
              <w:right w:val="single" w:sz="8" w:color="auto"/>
            </w:tcBorders>
            <w:shd w:val="clear" w:color="auto" w:fill="DDE6F2"/>
          </w:tcPr>
          <w:p>
            <w:pPr>
              <w:jc w:val="center"/>
              <w:ind w:right="279"/>
              <w:spacing w:after="0"/>
              <w:rPr>
                <w:sz w:val="20"/>
                <w:szCs w:val="20"/>
                <w:color w:val="auto"/>
              </w:rPr>
            </w:pPr>
            <w:r>
              <w:rPr>
                <w:rFonts w:ascii="Arial" w:cs="Arial" w:eastAsia="Arial" w:hAnsi="Arial"/>
                <w:sz w:val="16"/>
                <w:szCs w:val="16"/>
                <w:color w:val="auto"/>
              </w:rPr>
              <w:t>60% until guidelines are met</w:t>
            </w:r>
          </w:p>
        </w:tc>
      </w:tr>
    </w:tbl>
    <w:p>
      <w:pPr>
        <w:spacing w:after="0" w:line="218"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The Committee annually reviews the guidelines for competitiveness and alignment with best practices and monitors the NEOs’ progress toward compliance. Only shares owned outright and time-based RSUs count as owned for purposes of the program. Stock options and performance-based equity are not included as owned for purposes of the program. (It is important to note that the majority of NEO’s equity grants are in the form of performance-based RSUs and stock options.) NEOs must retain 50% of any vested equity awards, net of taxes, until their ownership guidelines are met. Board members must retain 60% of distributed vested equity awards until their ownership guidelines are met. While Williams’ CEO stock ownership guideline is six-times base salary, the median CEO ownership guideline of our comparator group of companies is just five-times base salary. Additionally, the majority of our comparator companies provide a five-year window for their CEO to meet their ownership guideline. During this time, no trading or sell restrictions are in place. At Williams, NEOs must hold at least 50% of any equity transaction if they have not met their ownership guideline regardless of their time in the role.</w:t>
      </w:r>
    </w:p>
    <w:p>
      <w:pPr>
        <w:spacing w:after="0" w:line="135"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48</w:t>
            </w:r>
          </w:p>
        </w:tc>
      </w:tr>
    </w:tbl>
    <w:p>
      <w:pPr>
        <w:sectPr>
          <w:pgSz w:w="11900" w:h="16838" w:orient="portrait"/>
          <w:cols w:equalWidth="0" w:num="1">
            <w:col w:w="11440"/>
          </w:cols>
          <w:pgMar w:left="240" w:top="459" w:right="2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Cash Incentives</w:t>
      </w:r>
    </w:p>
    <w:p>
      <w:pPr>
        <w:spacing w:after="0" w:line="12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previously mentioned in the “Our Commitment to Pay for Performance” section, we pay annual cash incentives to encourage and reward our NEOs for making decisions that improve our annual operating performance through our AIP. The objectives of our AIP are to:</w:t>
      </w:r>
    </w:p>
    <w:p>
      <w:pPr>
        <w:spacing w:after="0" w:line="101"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motivate and incent management to choose strategies and investments that maximize long-term stockholder value;</w:t>
      </w:r>
    </w:p>
    <w:p>
      <w:pPr>
        <w:spacing w:after="0" w:line="5" w:lineRule="exact"/>
        <w:rPr>
          <w:rFonts w:ascii="Arial" w:cs="Arial" w:eastAsia="Arial" w:hAnsi="Arial"/>
          <w:sz w:val="16"/>
          <w:szCs w:val="16"/>
          <w:color w:val="auto"/>
        </w:rPr>
      </w:pPr>
    </w:p>
    <w:p>
      <w:pPr>
        <w:ind w:left="780" w:right="720" w:hanging="326"/>
        <w:spacing w:after="0" w:line="246" w:lineRule="auto"/>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offer sufficient incentive compensation to motivate management to put forth extra effort, take prudent risks, and make effective decisions to maximize stockholder value;</w:t>
      </w:r>
    </w:p>
    <w:p>
      <w:pPr>
        <w:ind w:left="780" w:hanging="326"/>
        <w:spacing w:after="0"/>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provide sufficient total compensation to retain management; and</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limit the cost of compensation to levels that will maximize the return of current stockholders without compromising the other objectives.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The AIP Calculation</w:t>
      </w:r>
      <w:r>
        <w:rPr>
          <w:rFonts w:ascii="Arial" w:cs="Arial" w:eastAsia="Arial" w:hAnsi="Arial"/>
          <w:sz w:val="16"/>
          <w:szCs w:val="16"/>
          <w:color w:val="auto"/>
        </w:rPr>
        <w:t>. The 2014 AIP is based on the weighted measures of adjusted operating distributable cash flow, controllable costs, and fee-based</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Each metric is directly aligned with our business strategy to operationally grow the business as well as continue to align with our dividend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258445</wp:posOffset>
            </wp:positionV>
            <wp:extent cx="5188585" cy="31299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8858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line with our commitment to safety, a safety modifier can decrease, but not increase, an NEO’s calculated 2014 AIP award by up to negative 5% based on performance relative to the established safety measures of lost time incident rate, days away from work, and motor vehicle accidents.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NEOs’ AIP business performance is based on enterprise results of these business metrics in relation to established targets. We only use enterprise-level performance metrics for our NEOs in order to promote teamwork and collaboration by creating a shared goal for the overall Company performance. Our incentive program allows the Committee to make adjustments to these business performance metrics to reflect certain</w:t>
      </w:r>
    </w:p>
    <w:p>
      <w:pPr>
        <w:spacing w:after="0" w:line="12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49</w:t>
            </w: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business events. When determining which adjustments are appropriate, we are guided by the principle that incentive payments should not result in unearned windfalls or impose undue penalties. In other words, we make adjustments to ensure NEOs are not rewarded for positive results they did not facilitate nor are they penalized for certain unusual circumstances outside their control.</w:t>
      </w:r>
    </w:p>
    <w:p>
      <w:pPr>
        <w:spacing w:after="0" w:line="20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Management regularly reviews with the Committee a supplemental scorecard reflecting the Company’s segment profit, earnings per share, cash flow from operations, stock price performance, return on capital employed, and safety to provide updates regarding the Company’s performance as well as to ensure alignment between these measures and the AIP’s business performance metrics. This scorecard provides the Committee with additional data to assist in determining final AIP awards.</w:t>
      </w:r>
    </w:p>
    <w:p>
      <w:pPr>
        <w:spacing w:after="0" w:line="20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Committee’s independent compensation consultant annually compares our relative performance on various measures, including TSR and earnings per share with our comparator group of companies. The Committee also uses this analysis to validate the reasonableness of our AIP results.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We Set the 2014 AIP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166370</wp:posOffset>
            </wp:positionV>
            <wp:extent cx="5188585" cy="131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8858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attainment percentage of AIP goals results in payment of annual cash incentives along a continuum between threshold and stretch levels, which corresponds to 0% through 200% of the NEO’s annual cash incentive target. NEOs have the possibility to exceed the stretch level up to 250% of their annual cash incentive target. The charts below show the goals for the 2014 annual cash incentive and the resulting payout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54875" cy="22294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spacing w:after="0"/>
        <w:tabs>
          <w:tab w:leader="none" w:pos="2420" w:val="left"/>
          <w:tab w:leader="none" w:pos="2680" w:val="left"/>
          <w:tab w:leader="none" w:pos="4520" w:val="left"/>
          <w:tab w:leader="none" w:pos="4760" w:val="left"/>
          <w:tab w:leader="none" w:pos="6480" w:val="left"/>
          <w:tab w:leader="none" w:pos="6720" w:val="left"/>
        </w:tabs>
        <w:rPr>
          <w:sz w:val="20"/>
          <w:szCs w:val="20"/>
          <w:color w:val="auto"/>
        </w:rPr>
      </w:pPr>
      <w:r>
        <w:rPr>
          <w:rFonts w:ascii="Arial" w:cs="Arial" w:eastAsia="Arial" w:hAnsi="Arial"/>
          <w:sz w:val="14"/>
          <w:szCs w:val="14"/>
          <w:color w:val="auto"/>
        </w:rPr>
        <w:t>ADJ. OP. DISTRIB. CASH FLOW</w:t>
        <w:tab/>
        <w:t>+</w:t>
        <w:tab/>
        <w:t>CONTROLLABLE COSTS</w:t>
        <w:tab/>
        <w:t>+</w:t>
        <w:tab/>
        <w:t>FEE-BASED REVENUE</w:t>
        <w:tab/>
        <w:t>=</w:t>
        <w:tab/>
        <w:t>WEIGHTED PAYOUT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Borders>
              <w:bottom w:val="single" w:sz="8" w:color="auto"/>
            </w:tcBorders>
          </w:tcPr>
          <w:p>
            <w:pPr>
              <w:ind w:left="1780"/>
              <w:spacing w:after="0"/>
              <w:rPr>
                <w:sz w:val="20"/>
                <w:szCs w:val="20"/>
                <w:color w:val="auto"/>
              </w:rPr>
            </w:pPr>
            <w:r>
              <w:rPr>
                <w:rFonts w:ascii="Arial" w:cs="Arial" w:eastAsia="Arial" w:hAnsi="Arial"/>
                <w:sz w:val="14"/>
                <w:szCs w:val="14"/>
                <w:color w:val="auto"/>
              </w:rPr>
              <w:t>40% x 0.0X = 0.0x</w:t>
            </w:r>
          </w:p>
        </w:tc>
        <w:tc>
          <w:tcPr>
            <w:tcW w:w="250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40% x 1.24x = 0.50x</w:t>
            </w:r>
          </w:p>
        </w:tc>
        <w:tc>
          <w:tcPr>
            <w:tcW w:w="16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20% x 0.0x = 0.0x</w:t>
            </w:r>
          </w:p>
        </w:tc>
        <w:tc>
          <w:tcPr>
            <w:tcW w:w="3980" w:type="dxa"/>
            <w:vAlign w:val="bottom"/>
            <w:tcBorders>
              <w:bottom w:val="single" w:sz="8" w:color="auto"/>
            </w:tcBorders>
          </w:tcPr>
          <w:p>
            <w:pPr>
              <w:jc w:val="right"/>
              <w:ind w:right="2675"/>
              <w:spacing w:after="0"/>
              <w:rPr>
                <w:sz w:val="20"/>
                <w:szCs w:val="20"/>
                <w:color w:val="auto"/>
              </w:rPr>
            </w:pPr>
            <w:r>
              <w:rPr>
                <w:rFonts w:ascii="Arial" w:cs="Arial" w:eastAsia="Arial" w:hAnsi="Arial"/>
                <w:sz w:val="14"/>
                <w:szCs w:val="14"/>
                <w:color w:val="auto"/>
              </w:rPr>
              <w:t>0.50x</w:t>
            </w:r>
          </w:p>
        </w:tc>
      </w:tr>
      <w:tr>
        <w:trPr>
          <w:trHeight w:val="376"/>
        </w:trPr>
        <w:tc>
          <w:tcPr>
            <w:tcW w:w="3300" w:type="dxa"/>
            <w:vAlign w:val="bottom"/>
          </w:tcPr>
          <w:p>
            <w:pPr>
              <w:spacing w:after="0"/>
              <w:rPr>
                <w:sz w:val="24"/>
                <w:szCs w:val="24"/>
                <w:color w:val="auto"/>
              </w:rPr>
            </w:pPr>
          </w:p>
        </w:tc>
        <w:tc>
          <w:tcPr>
            <w:tcW w:w="4160" w:type="dxa"/>
            <w:vAlign w:val="bottom"/>
            <w:gridSpan w:val="2"/>
          </w:tcPr>
          <w:p>
            <w:pPr>
              <w:ind w:left="340"/>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3980" w:type="dxa"/>
            <w:vAlign w:val="bottom"/>
          </w:tcPr>
          <w:p>
            <w:pPr>
              <w:jc w:val="right"/>
              <w:ind w:right="3575"/>
              <w:spacing w:after="0"/>
              <w:rPr>
                <w:sz w:val="20"/>
                <w:szCs w:val="20"/>
                <w:color w:val="auto"/>
              </w:rPr>
            </w:pPr>
            <w:r>
              <w:rPr>
                <w:rFonts w:ascii="Arial" w:cs="Arial" w:eastAsia="Arial" w:hAnsi="Arial"/>
                <w:sz w:val="20"/>
                <w:szCs w:val="20"/>
                <w:color w:val="auto"/>
              </w:rPr>
              <w:t>50</w:t>
            </w:r>
          </w:p>
        </w:tc>
      </w:tr>
    </w:tbl>
    <w:p>
      <w:pPr>
        <w:sectPr>
          <w:pgSz w:w="11900" w:h="16838" w:orient="portrait"/>
          <w:cols w:equalWidth="0" w:num="1">
            <w:col w:w="11440"/>
          </w:cols>
          <w:pgMar w:left="240" w:top="459" w:right="2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Based on business performance relative to the established goals, the Committee certified performance results of $2,204 million in adjusted operating distributable cash flow, of $1,444 million in controllable costs, and of $3,274 million fee-based revenue which resulted in an approved payment of the annual cash incentive program at 50% of target. The actual 2014 AIP awards were reduced by -3.34% due to not meeting safety improvement targets for days away from work and motor vehicle accident rate. The payout of the 2014 AIP awards occurred in early 2015.</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We calculate (a) Adjusted Operating Distributable Cash Flow as: segment profit, adjusted for certain items of income or loss that we characterize as unrepresentative of our ongoing operations; less general corporate expenses; plus </w:t>
      </w: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xml:space="preserve">; less </w:t>
      </w:r>
      <w:r>
        <w:rPr>
          <w:rFonts w:ascii="Arial" w:cs="Arial" w:eastAsia="Arial" w:hAnsi="Arial"/>
          <w:sz w:val="16"/>
          <w:szCs w:val="16"/>
          <w:i w:val="1"/>
          <w:iCs w:val="1"/>
          <w:color w:val="auto"/>
        </w:rPr>
        <w:t>maintenance capital expenditures</w:t>
      </w:r>
    </w:p>
    <w:p>
      <w:pPr>
        <w:spacing w:after="0" w:line="1" w:lineRule="exact"/>
        <w:rPr>
          <w:sz w:val="20"/>
          <w:szCs w:val="20"/>
          <w:color w:val="auto"/>
        </w:rPr>
      </w:pPr>
    </w:p>
    <w:p>
      <w:pPr>
        <w:jc w:val="both"/>
        <w:ind w:firstLine="8"/>
        <w:spacing w:after="0" w:line="249" w:lineRule="auto"/>
        <w:tabs>
          <w:tab w:leader="none" w:pos="263"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Controllable Costs as: </w:t>
      </w:r>
      <w:r>
        <w:rPr>
          <w:rFonts w:ascii="Arial" w:cs="Arial" w:eastAsia="Arial" w:hAnsi="Arial"/>
          <w:sz w:val="16"/>
          <w:szCs w:val="16"/>
          <w:i w:val="1"/>
          <w:iCs w:val="1"/>
          <w:color w:val="auto"/>
        </w:rPr>
        <w:t>operating and maintenance costs and selling</w:t>
      </w:r>
      <w:r>
        <w:rPr>
          <w:rFonts w:ascii="Arial" w:cs="Arial" w:eastAsia="Arial" w:hAnsi="Arial"/>
          <w:sz w:val="16"/>
          <w:szCs w:val="16"/>
          <w:color w:val="auto"/>
        </w:rPr>
        <w:t xml:space="preserve">, </w:t>
      </w:r>
      <w:r>
        <w:rPr>
          <w:rFonts w:ascii="Arial" w:cs="Arial" w:eastAsia="Arial" w:hAnsi="Arial"/>
          <w:sz w:val="16"/>
          <w:szCs w:val="16"/>
          <w:i w:val="1"/>
          <w:iCs w:val="1"/>
          <w:color w:val="auto"/>
        </w:rPr>
        <w:t>general and administrative costs</w:t>
      </w:r>
      <w:r>
        <w:rPr>
          <w:rFonts w:ascii="Arial" w:cs="Arial" w:eastAsia="Arial" w:hAnsi="Arial"/>
          <w:sz w:val="16"/>
          <w:szCs w:val="16"/>
          <w:color w:val="auto"/>
        </w:rPr>
        <w:t xml:space="preserve"> that are under the responsibility of a cost center manager; less certain expenses that are considered less controllable (such as pension and postretirement benefit costs) or have no net impact on financial performance (such as costs that are passed directly to customers) and (c) Fee-based Revenues as: </w:t>
      </w:r>
      <w:r>
        <w:rPr>
          <w:rFonts w:ascii="Arial" w:cs="Arial" w:eastAsia="Arial" w:hAnsi="Arial"/>
          <w:sz w:val="16"/>
          <w:szCs w:val="16"/>
          <w:i w:val="1"/>
          <w:iCs w:val="1"/>
          <w:color w:val="auto"/>
        </w:rPr>
        <w:t>total service revenues</w:t>
      </w:r>
      <w:r>
        <w:rPr>
          <w:rFonts w:ascii="Arial" w:cs="Arial" w:eastAsia="Arial" w:hAnsi="Arial"/>
          <w:sz w:val="16"/>
          <w:szCs w:val="16"/>
          <w:color w:val="auto"/>
        </w:rPr>
        <w:t xml:space="preserve"> from our reportable segments before intercompany eliminations; less certain tracked revenues that have no net impact on financial performance. In addition, each measure above may be further adjusted as appropriate to avoid undue penalties or windfalls.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components include our proportionate share of such items recognized by our equity method investees.)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2014 NEO AIP Targets</w:t>
      </w:r>
      <w:r>
        <w:rPr>
          <w:rFonts w:ascii="Arial" w:cs="Arial" w:eastAsia="Arial" w:hAnsi="Arial"/>
          <w:sz w:val="16"/>
          <w:szCs w:val="16"/>
          <w:color w:val="auto"/>
        </w:rPr>
        <w:t>. The starting point to determine annual cash incentive targets (expressed as a percentage of base pay) is competitive market</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which gives us an idea of what other companies target to pay in annual cash incentives for similar jobs. We also consider the internal value of each job—i.e., how important the job is to executing our strategy compared to other jobs in the Company- before the target is set for the year. The annual cash incentive targets as a percentage of base pay for the NEOs in 2014 were as follows:</w:t>
      </w:r>
    </w:p>
    <w:p>
      <w:pPr>
        <w:spacing w:after="0" w:line="202" w:lineRule="exact"/>
        <w:rPr>
          <w:sz w:val="20"/>
          <w:szCs w:val="20"/>
          <w:color w:val="auto"/>
        </w:rPr>
      </w:pPr>
    </w:p>
    <w:tbl>
      <w:tblPr>
        <w:tblLayout w:type="fixed"/>
        <w:tblInd w:w="1850" w:type="dxa"/>
        <w:tblCellMar>
          <w:top w:w="0" w:type="dxa"/>
          <w:left w:w="0" w:type="dxa"/>
          <w:bottom w:w="0" w:type="dxa"/>
          <w:right w:w="0" w:type="dxa"/>
        </w:tblCellMar>
      </w:tblPr>
      <w:tr>
        <w:trPr>
          <w:trHeight w:val="203"/>
        </w:trPr>
        <w:tc>
          <w:tcPr>
            <w:tcW w:w="4980" w:type="dxa"/>
            <w:vAlign w:val="bottom"/>
            <w:tcBorders>
              <w:top w:val="single" w:sz="8" w:color="auto"/>
              <w:left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Position</w:t>
            </w:r>
          </w:p>
        </w:tc>
        <w:tc>
          <w:tcPr>
            <w:tcW w:w="2800" w:type="dxa"/>
            <w:vAlign w:val="bottom"/>
            <w:tcBorders>
              <w:top w:val="single" w:sz="8" w:color="auto"/>
              <w:bottom w:val="single" w:sz="8" w:color="auto"/>
              <w:right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Target</w:t>
            </w:r>
          </w:p>
        </w:tc>
      </w:tr>
      <w:tr>
        <w:trPr>
          <w:trHeight w:val="183"/>
        </w:trPr>
        <w:tc>
          <w:tcPr>
            <w:tcW w:w="4980" w:type="dxa"/>
            <w:vAlign w:val="bottom"/>
            <w:tcBorders>
              <w:left w:val="single" w:sz="8" w:color="auto"/>
            </w:tcBorders>
            <w:shd w:val="clear" w:color="auto" w:fill="CCEEFF"/>
          </w:tcPr>
          <w:p>
            <w:pPr>
              <w:ind w:left="160"/>
              <w:spacing w:after="0" w:line="183" w:lineRule="exact"/>
              <w:rPr>
                <w:sz w:val="20"/>
                <w:szCs w:val="20"/>
                <w:color w:val="auto"/>
              </w:rPr>
            </w:pPr>
            <w:r>
              <w:rPr>
                <w:rFonts w:ascii="Arial" w:cs="Arial" w:eastAsia="Arial" w:hAnsi="Arial"/>
                <w:sz w:val="16"/>
                <w:szCs w:val="16"/>
                <w:b w:val="1"/>
                <w:bCs w:val="1"/>
                <w:color w:val="auto"/>
              </w:rPr>
              <w:t>CEO</w:t>
            </w:r>
          </w:p>
        </w:tc>
        <w:tc>
          <w:tcPr>
            <w:tcW w:w="2800" w:type="dxa"/>
            <w:vAlign w:val="bottom"/>
            <w:tcBorders>
              <w:right w:val="single" w:sz="8" w:color="auto"/>
            </w:tcBorders>
            <w:shd w:val="clear" w:color="auto" w:fill="CCEEFF"/>
          </w:tcPr>
          <w:p>
            <w:pPr>
              <w:jc w:val="right"/>
              <w:ind w:right="479"/>
              <w:spacing w:after="0" w:line="183" w:lineRule="exact"/>
              <w:rPr>
                <w:sz w:val="20"/>
                <w:szCs w:val="20"/>
                <w:color w:val="auto"/>
              </w:rPr>
            </w:pPr>
            <w:r>
              <w:rPr>
                <w:rFonts w:ascii="Arial" w:cs="Arial" w:eastAsia="Arial" w:hAnsi="Arial"/>
                <w:sz w:val="16"/>
                <w:szCs w:val="16"/>
                <w:color w:val="auto"/>
              </w:rPr>
              <w:t>125%</w:t>
            </w:r>
          </w:p>
        </w:tc>
      </w:tr>
      <w:tr>
        <w:trPr>
          <w:trHeight w:val="189"/>
        </w:trPr>
        <w:tc>
          <w:tcPr>
            <w:tcW w:w="4980" w:type="dxa"/>
            <w:vAlign w:val="bottom"/>
            <w:tcBorders>
              <w:left w:val="single" w:sz="8" w:color="auto"/>
            </w:tcBorders>
          </w:tcPr>
          <w:p>
            <w:pPr>
              <w:ind w:left="160"/>
              <w:spacing w:after="0"/>
              <w:rPr>
                <w:sz w:val="20"/>
                <w:szCs w:val="20"/>
                <w:color w:val="auto"/>
              </w:rPr>
            </w:pPr>
            <w:r>
              <w:rPr>
                <w:rFonts w:ascii="Arial" w:cs="Arial" w:eastAsia="Arial" w:hAnsi="Arial"/>
                <w:sz w:val="16"/>
                <w:szCs w:val="16"/>
                <w:b w:val="1"/>
                <w:bCs w:val="1"/>
                <w:color w:val="auto"/>
              </w:rPr>
              <w:t>CFO</w:t>
            </w:r>
          </w:p>
        </w:tc>
        <w:tc>
          <w:tcPr>
            <w:tcW w:w="2800" w:type="dxa"/>
            <w:vAlign w:val="bottom"/>
            <w:tcBorders>
              <w:right w:val="single" w:sz="8" w:color="auto"/>
            </w:tcBorders>
          </w:tcPr>
          <w:p>
            <w:pPr>
              <w:jc w:val="right"/>
              <w:ind w:right="479"/>
              <w:spacing w:after="0"/>
              <w:rPr>
                <w:sz w:val="20"/>
                <w:szCs w:val="20"/>
                <w:color w:val="auto"/>
              </w:rPr>
            </w:pPr>
            <w:r>
              <w:rPr>
                <w:rFonts w:ascii="Arial" w:cs="Arial" w:eastAsia="Arial" w:hAnsi="Arial"/>
                <w:sz w:val="16"/>
                <w:szCs w:val="16"/>
                <w:color w:val="auto"/>
              </w:rPr>
              <w:t>75%</w:t>
            </w:r>
          </w:p>
        </w:tc>
      </w:tr>
      <w:tr>
        <w:trPr>
          <w:trHeight w:val="189"/>
        </w:trPr>
        <w:tc>
          <w:tcPr>
            <w:tcW w:w="498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SVP, Atlantic - Gulf</w:t>
            </w:r>
          </w:p>
        </w:tc>
        <w:tc>
          <w:tcPr>
            <w:tcW w:w="2800" w:type="dxa"/>
            <w:vAlign w:val="bottom"/>
            <w:tcBorders>
              <w:right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70%</w:t>
            </w:r>
          </w:p>
        </w:tc>
      </w:tr>
      <w:tr>
        <w:trPr>
          <w:trHeight w:val="189"/>
        </w:trPr>
        <w:tc>
          <w:tcPr>
            <w:tcW w:w="4980" w:type="dxa"/>
            <w:vAlign w:val="bottom"/>
            <w:tcBorders>
              <w:left w:val="single" w:sz="8" w:color="auto"/>
            </w:tcBorders>
          </w:tcPr>
          <w:p>
            <w:pPr>
              <w:ind w:left="160"/>
              <w:spacing w:after="0"/>
              <w:rPr>
                <w:sz w:val="20"/>
                <w:szCs w:val="20"/>
                <w:color w:val="auto"/>
              </w:rPr>
            </w:pPr>
            <w:r>
              <w:rPr>
                <w:rFonts w:ascii="Arial" w:cs="Arial" w:eastAsia="Arial" w:hAnsi="Arial"/>
                <w:sz w:val="16"/>
                <w:szCs w:val="16"/>
                <w:b w:val="1"/>
                <w:bCs w:val="1"/>
                <w:color w:val="auto"/>
              </w:rPr>
              <w:t>SVP, NGL / Petchem Services</w:t>
            </w:r>
          </w:p>
        </w:tc>
        <w:tc>
          <w:tcPr>
            <w:tcW w:w="2800" w:type="dxa"/>
            <w:vAlign w:val="bottom"/>
            <w:tcBorders>
              <w:right w:val="single" w:sz="8" w:color="auto"/>
            </w:tcBorders>
          </w:tcPr>
          <w:p>
            <w:pPr>
              <w:jc w:val="right"/>
              <w:ind w:right="479"/>
              <w:spacing w:after="0"/>
              <w:rPr>
                <w:sz w:val="20"/>
                <w:szCs w:val="20"/>
                <w:color w:val="auto"/>
              </w:rPr>
            </w:pPr>
            <w:r>
              <w:rPr>
                <w:rFonts w:ascii="Arial" w:cs="Arial" w:eastAsia="Arial" w:hAnsi="Arial"/>
                <w:sz w:val="16"/>
                <w:szCs w:val="16"/>
                <w:color w:val="auto"/>
              </w:rPr>
              <w:t>65%</w:t>
            </w:r>
          </w:p>
        </w:tc>
      </w:tr>
      <w:tr>
        <w:trPr>
          <w:trHeight w:val="189"/>
        </w:trPr>
        <w:tc>
          <w:tcPr>
            <w:tcW w:w="4980" w:type="dxa"/>
            <w:vAlign w:val="bottom"/>
            <w:tcBorders>
              <w:left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SVP, Northeast Gathering and Processing</w:t>
            </w:r>
          </w:p>
        </w:tc>
        <w:tc>
          <w:tcPr>
            <w:tcW w:w="2800" w:type="dxa"/>
            <w:vAlign w:val="bottom"/>
            <w:tcBorders>
              <w:bottom w:val="single" w:sz="8" w:color="auto"/>
              <w:right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70%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Determining 2014 AIP Awards. </w:t>
      </w:r>
      <w:r>
        <w:rPr>
          <w:rFonts w:ascii="Arial" w:cs="Arial" w:eastAsia="Arial" w:hAnsi="Arial"/>
          <w:sz w:val="16"/>
          <w:szCs w:val="16"/>
          <w:color w:val="auto"/>
        </w:rPr>
        <w:t>To determine the funding of the annual cash incentive, we use the following calculation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166370</wp:posOffset>
            </wp:positionV>
            <wp:extent cx="5188585" cy="19380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88585"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51</w:t>
            </w: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Actual payments are modified by the safety modifier as previously described. Individual performance, such as success toward our strategic objectives and individual goals, and successful demonstration of the Company’s leadership competencies, which exceeded expectations may be recognized through adjustments. Payments may also be adjusted downward if performance warrants.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 xml:space="preserve">2015 AIP Awards. </w:t>
      </w:r>
      <w:r>
        <w:rPr>
          <w:rFonts w:ascii="Arial" w:cs="Arial" w:eastAsia="Arial" w:hAnsi="Arial"/>
          <w:sz w:val="16"/>
          <w:szCs w:val="16"/>
          <w:color w:val="auto"/>
        </w:rPr>
        <w:t>The 2015 business performance metrics and weightings will be distributable cash flow (30%), controllable costs (30%), fee-based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(30%), and safety (10%). The safety measure is determined based on the metrics of lost time incident rate, days away from work rate, and motor vehicle accident rate.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Pay</w:t>
      </w:r>
    </w:p>
    <w:p>
      <w:pPr>
        <w:spacing w:after="0" w:line="23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Base pay compensates the NEOs for carrying out the duties of their jobs and serves as the foundation of our pay program. Most other major components of pay are set based on a relationship to base pay, including long-term and annual incentives, and retirement benefits.</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Base pay for the NEOs, including the CEO, is set considering the market median, with potential individual variation from the median due to experience, skills, and sustained performance of the individual as part of our pay-for-performance philosophy. Performance is measured in two ways: through the “Right Results” obtained in the “Right Way.” Right Results considers the NEOs’ success in attaining their annual goals, operational and/or functional area strategies, and personal development plans. Right Way reflects the NEOs’ behavior as exhibited through our organizational, operational, and people leadership competencies.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Benefits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our philosophy to emphasize pay for performance, our NEOs receive very few perquisites or supplemental benefits. They are as follows:</w:t>
      </w:r>
    </w:p>
    <w:p>
      <w:pPr>
        <w:spacing w:after="0" w:line="232" w:lineRule="exact"/>
        <w:rPr>
          <w:sz w:val="20"/>
          <w:szCs w:val="20"/>
          <w:color w:val="auto"/>
        </w:rPr>
      </w:pPr>
    </w:p>
    <w:p>
      <w:pPr>
        <w:jc w:val="both"/>
        <w:ind w:left="780" w:hanging="326"/>
        <w:spacing w:after="0" w:line="251"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Retirement Restoration Benefits</w:t>
      </w:r>
      <w:r>
        <w:rPr>
          <w:rFonts w:ascii="Arial" w:cs="Arial" w:eastAsia="Arial" w:hAnsi="Arial"/>
          <w:sz w:val="16"/>
          <w:szCs w:val="16"/>
          <w:color w:val="auto"/>
        </w:rPr>
        <w:t>. NEOs participate in our qualified retirement program on the same terms as our other employees. We offer a</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restoration plan to maintain a proportional level of pension benefits to our NEOs as provided to other employees. The Internal Revenue Code of 1986, as amended (the “Internal Revenue Code”), limits qualified pension benefits based on an annual compensation limit. For 2014, the limit was $260,000. Any limitation in an NEO’s pension benefit in the tax-qualified pension plan due to this limit is made up for (subject to a cap) in the unfunded retirement restoration plan. Benefits for NEOs are not enhanced and are calculated using the same benefit formula as that used to calculate benefits for all employees in the qualified pension plan. The compensation included in the retirement restoration benefit is consistent with pay considered for all employees in the qualified pension plan. Equity compensation, including RSUs and stock options, is not considered. Additionally, we do not provide a nonqualified benefit related to our qualified 401(k) defined contribution retirement plan.</w:t>
      </w:r>
    </w:p>
    <w:p>
      <w:pPr>
        <w:spacing w:after="0" w:line="216" w:lineRule="exact"/>
        <w:rPr>
          <w:rFonts w:ascii="Arial" w:cs="Arial" w:eastAsia="Arial" w:hAnsi="Arial"/>
          <w:sz w:val="16"/>
          <w:szCs w:val="16"/>
          <w:color w:val="auto"/>
        </w:rPr>
      </w:pPr>
    </w:p>
    <w:p>
      <w:pPr>
        <w:jc w:val="both"/>
        <w:ind w:left="780" w:hanging="326"/>
        <w:spacing w:after="0" w:line="255"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Financial Planning Allowance</w:t>
      </w:r>
      <w:r>
        <w:rPr>
          <w:rFonts w:ascii="Arial" w:cs="Arial" w:eastAsia="Arial" w:hAnsi="Arial"/>
          <w:sz w:val="16"/>
          <w:szCs w:val="16"/>
          <w:color w:val="auto"/>
        </w:rPr>
        <w:t>. We offer financial planning to provide expertise on current tax laws to assist NEOs with personal financial planning</w:t>
      </w:r>
      <w:r>
        <w:rPr>
          <w:rFonts w:ascii="Arial" w:cs="Arial" w:eastAsia="Arial" w:hAnsi="Arial"/>
          <w:sz w:val="16"/>
          <w:szCs w:val="16"/>
          <w:i w:val="1"/>
          <w:iCs w:val="1"/>
          <w:color w:val="auto"/>
        </w:rPr>
        <w:t xml:space="preserve"> </w:t>
      </w:r>
      <w:r>
        <w:rPr>
          <w:rFonts w:ascii="Arial" w:cs="Arial" w:eastAsia="Arial" w:hAnsi="Arial"/>
          <w:sz w:val="16"/>
          <w:szCs w:val="16"/>
          <w:color w:val="auto"/>
        </w:rPr>
        <w:t>and preparations for contingencies such as death and disability. Covered services include estate planning, tax planning, tax return preparation, wealth accumulation planning and other personal financial planning services. In addition, by working with a financial planner, NEOs gain a better understanding of and appreciation for the programs the Company provides, which helps to maximize the retention and engagement aspects of the dollars the Company spends on these programs.</w:t>
      </w:r>
    </w:p>
    <w:p>
      <w:pPr>
        <w:spacing w:after="0" w:line="211" w:lineRule="exact"/>
        <w:rPr>
          <w:rFonts w:ascii="Arial" w:cs="Arial" w:eastAsia="Arial" w:hAnsi="Arial"/>
          <w:sz w:val="16"/>
          <w:szCs w:val="16"/>
          <w:color w:val="auto"/>
        </w:rPr>
      </w:pPr>
    </w:p>
    <w:p>
      <w:pPr>
        <w:jc w:val="both"/>
        <w:ind w:left="780" w:hanging="326"/>
        <w:spacing w:after="0" w:line="264"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Personal Use of Company Aircraft</w:t>
      </w:r>
      <w:r>
        <w:rPr>
          <w:rFonts w:ascii="Arial" w:cs="Arial" w:eastAsia="Arial" w:hAnsi="Arial"/>
          <w:sz w:val="16"/>
          <w:szCs w:val="16"/>
          <w:color w:val="auto"/>
        </w:rPr>
        <w:t>. The CEO is allowed, but not required, to use the Company’s private aircraft for personal travel. Our policy for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 executive officers is to discourage personal use of the aircraft, but the CEO retains discretion to permit its use when he deems appropriate, such as when the</w:t>
      </w:r>
    </w:p>
    <w:p>
      <w:pPr>
        <w:spacing w:after="0" w:line="119"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52</w:t>
            </w: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800" w:right="20"/>
        <w:spacing w:after="0" w:line="253" w:lineRule="auto"/>
        <w:rPr>
          <w:sz w:val="20"/>
          <w:szCs w:val="20"/>
          <w:color w:val="auto"/>
        </w:rPr>
      </w:pPr>
      <w:r>
        <w:rPr>
          <w:rFonts w:ascii="Arial" w:cs="Arial" w:eastAsia="Arial" w:hAnsi="Arial"/>
          <w:sz w:val="16"/>
          <w:szCs w:val="16"/>
          <w:color w:val="auto"/>
        </w:rPr>
        <w:t>destination is not well served by commercial airlines, personal emergencies, and the aircraft is not being used for business purposes. To the extent that NEOs use the Company’s private aircraft for personal travel, imputed income will be applied to the NEO, in compliance with Internal Revenue Code requirements.</w:t>
      </w:r>
    </w:p>
    <w:p>
      <w:pPr>
        <w:spacing w:after="0" w:line="212" w:lineRule="exact"/>
        <w:rPr>
          <w:sz w:val="20"/>
          <w:szCs w:val="20"/>
          <w:color w:val="auto"/>
        </w:rPr>
      </w:pPr>
    </w:p>
    <w:p>
      <w:pPr>
        <w:jc w:val="both"/>
        <w:ind w:left="780" w:hanging="326"/>
        <w:spacing w:after="0" w:line="264" w:lineRule="auto"/>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Executive Physicals</w:t>
      </w:r>
      <w:r>
        <w:rPr>
          <w:rFonts w:ascii="Arial" w:cs="Arial" w:eastAsia="Arial" w:hAnsi="Arial"/>
          <w:sz w:val="16"/>
          <w:szCs w:val="16"/>
          <w:color w:val="auto"/>
        </w:rPr>
        <w:t>. The Committee requires annual physicals for the NEOs. NEO physicals align with our wellness initiative as well as assist in</w:t>
      </w:r>
      <w:r>
        <w:rPr>
          <w:rFonts w:ascii="Arial" w:cs="Arial" w:eastAsia="Arial" w:hAnsi="Arial"/>
          <w:sz w:val="16"/>
          <w:szCs w:val="16"/>
          <w:i w:val="1"/>
          <w:iCs w:val="1"/>
          <w:color w:val="auto"/>
        </w:rPr>
        <w:t xml:space="preserve"> </w:t>
      </w:r>
      <w:r>
        <w:rPr>
          <w:rFonts w:ascii="Arial" w:cs="Arial" w:eastAsia="Arial" w:hAnsi="Arial"/>
          <w:sz w:val="16"/>
          <w:szCs w:val="16"/>
          <w:color w:val="auto"/>
        </w:rPr>
        <w:t>mitigating risk. NEO physicals are intended to identify any health risks and medical conditions as early as possible in an effort to achieve more effective treatment and outcomes.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 xml:space="preserve">Event Center. </w:t>
      </w:r>
      <w:r>
        <w:rPr>
          <w:rFonts w:ascii="Arial" w:cs="Arial" w:eastAsia="Arial" w:hAnsi="Arial"/>
          <w:sz w:val="16"/>
          <w:szCs w:val="16"/>
          <w:color w:val="auto"/>
        </w:rPr>
        <w:t>We have a suite and club seats at certain event centers that were purchased for business purposes. If they are not being used for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we make them available to all employees, including our NEOs, as a form of reward and recognition. This is not a perquisite to our NEOs because it is available to all employees.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Spousal Travel. </w:t>
      </w:r>
      <w:r>
        <w:rPr>
          <w:rFonts w:ascii="Arial" w:cs="Arial" w:eastAsia="Arial" w:hAnsi="Arial"/>
          <w:sz w:val="16"/>
          <w:szCs w:val="16"/>
          <w:color w:val="auto"/>
        </w:rPr>
        <w:t>When it is deemed necessary or appropriate for spouses of employees to travel for Company business purposes, we provide a tax gross-up</w:t>
      </w:r>
      <w:r>
        <w:rPr>
          <w:rFonts w:ascii="Arial" w:cs="Arial" w:eastAsia="Arial" w:hAnsi="Arial"/>
          <w:sz w:val="16"/>
          <w:szCs w:val="16"/>
          <w:i w:val="1"/>
          <w:iCs w:val="1"/>
          <w:color w:val="auto"/>
        </w:rPr>
        <w:t xml:space="preserve"> </w:t>
      </w:r>
      <w:r>
        <w:rPr>
          <w:rFonts w:ascii="Arial" w:cs="Arial" w:eastAsia="Arial" w:hAnsi="Arial"/>
          <w:sz w:val="16"/>
          <w:szCs w:val="16"/>
          <w:color w:val="auto"/>
        </w:rPr>
        <w:t>under our company-wide policy to cover the personal tax obligations associated with spousal travel for business purposes for all employees.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Additional Components of our Executive Compensation Program</w:t>
      </w:r>
    </w:p>
    <w:p>
      <w:pPr>
        <w:spacing w:after="0" w:line="23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addition to establishing the pay elements described above, we have adopted a number of policies to further the goals of the executive compensation program, particularly with respect to strengthening the alignment of our NEOs’ interests with stockholder long-term interests.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We do not have employment agreements with our NEOs.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 xml:space="preserve">Termination and Severance Arrangements. </w:t>
      </w:r>
      <w:r>
        <w:rPr>
          <w:rFonts w:ascii="Arial" w:cs="Arial" w:eastAsia="Arial" w:hAnsi="Arial"/>
          <w:sz w:val="16"/>
          <w:szCs w:val="16"/>
          <w:color w:val="auto"/>
        </w:rPr>
        <w:t>The NEOs are not covered under a severance plan. However, the Committee may exercise judgment and consider</w:t>
      </w:r>
      <w:r>
        <w:rPr>
          <w:rFonts w:ascii="Arial" w:cs="Arial" w:eastAsia="Arial" w:hAnsi="Arial"/>
          <w:sz w:val="16"/>
          <w:szCs w:val="16"/>
          <w:i w:val="1"/>
          <w:iCs w:val="1"/>
          <w:color w:val="auto"/>
        </w:rPr>
        <w:t xml:space="preserve"> </w:t>
      </w:r>
      <w:r>
        <w:rPr>
          <w:rFonts w:ascii="Arial" w:cs="Arial" w:eastAsia="Arial" w:hAnsi="Arial"/>
          <w:sz w:val="16"/>
          <w:szCs w:val="16"/>
          <w:color w:val="auto"/>
        </w:rPr>
        <w:t>the circumstances surrounding each departure and may decide a severance package is appropriate. Considerations include the NEO’s term of employment, past accomplishments, reasons for separation from the Company, and competitive market practice. The only pay or benefits an employee has a right to receive upon termination of employment are those that have already vested or which vest under the terms in place when equity was granted.</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 xml:space="preserve">Change in Control Agreements. </w:t>
      </w:r>
      <w:r>
        <w:rPr>
          <w:rFonts w:ascii="Arial" w:cs="Arial" w:eastAsia="Arial" w:hAnsi="Arial"/>
          <w:sz w:val="16"/>
          <w:szCs w:val="16"/>
          <w:color w:val="auto"/>
        </w:rPr>
        <w:t>Our change in control agreements, in conjunction with the NEOs’ RSU agreements, provide separation benefits for our NEOs.</w:t>
      </w:r>
      <w:r>
        <w:rPr>
          <w:rFonts w:ascii="Arial" w:cs="Arial" w:eastAsia="Arial" w:hAnsi="Arial"/>
          <w:sz w:val="16"/>
          <w:szCs w:val="16"/>
          <w:i w:val="1"/>
          <w:iCs w:val="1"/>
          <w:color w:val="auto"/>
        </w:rPr>
        <w:t xml:space="preserve"> </w:t>
      </w:r>
      <w:r>
        <w:rPr>
          <w:rFonts w:ascii="Arial" w:cs="Arial" w:eastAsia="Arial" w:hAnsi="Arial"/>
          <w:sz w:val="16"/>
          <w:szCs w:val="16"/>
          <w:color w:val="auto"/>
        </w:rPr>
        <w:t>Our program includes a double trigger for benefits and equity vesting. This means there must be a change in control and the NEO’s employment must terminate prior to receiving benefits under the agreement. This practice creates security for the NEOs but does not provide an incentive for the NEO to leave the Company. Our program is designed to encourage the NEOs to focus on the best interests of stockholders by alleviating their concerns about a possible detrimental impact to their compensation and benefits under a potential change in control, not to provide compensation advantages to NEOs for executing a transaction.</w:t>
      </w:r>
    </w:p>
    <w:p>
      <w:pPr>
        <w:spacing w:after="0" w:line="3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Committee reviews our change in control benefits annually to ensure they are consistent with competitive practice and aligned with our compensation philosophy. As part of the review, calculations are performed to determine the overall program cost to the Company if a change in control event were to occur and all covered NEOs were terminated as a result. An assessment of competitive norms, including the reasonableness of the elements of compensation received, is used to validate benefit levels for a change in control. We do not offer a tax gross up provision in our change in control agreements but instead include a ‘best net’ provision providing our NEOs with the better of their after-tax benefit capped at the safe harbor amount or their benefit paid in full, subjecting them to possible excise tax payments. The Committee continues to believe that offering a change in control program is appropriate and critical to attracting and retaining executive talent and keeping them aligned with stockholder interests in the event of a change in control.</w:t>
      </w:r>
    </w:p>
    <w:p>
      <w:pPr>
        <w:spacing w:after="0" w:line="136"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53</w:t>
            </w: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following chart details the benefits received if an NEO were to be terminated or resigned for a defined good reason following a change in control as well as an analysis of those benefits as it relates to the Company, stockholders, and the NEO. Please also see the “Change in Control Agreements” section following the CD&amp;A for further discussion of our change in control program.</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400" w:type="dxa"/>
            <w:vAlign w:val="bottom"/>
            <w:tcBorders>
              <w:top w:val="single" w:sz="8" w:color="auto"/>
              <w:left w:val="single" w:sz="8" w:color="auto"/>
            </w:tcBorders>
          </w:tcPr>
          <w:p>
            <w:pPr>
              <w:spacing w:after="0"/>
              <w:rPr>
                <w:sz w:val="16"/>
                <w:szCs w:val="16"/>
                <w:color w:val="auto"/>
              </w:rPr>
            </w:pPr>
          </w:p>
        </w:tc>
        <w:tc>
          <w:tcPr>
            <w:tcW w:w="40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What does the benefit provide to</w:t>
            </w:r>
          </w:p>
        </w:tc>
        <w:tc>
          <w:tcPr>
            <w:tcW w:w="3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What does the benefit provide to</w:t>
            </w:r>
          </w:p>
        </w:tc>
        <w:tc>
          <w:tcPr>
            <w:tcW w:w="0" w:type="dxa"/>
            <w:vAlign w:val="bottom"/>
          </w:tcPr>
          <w:p>
            <w:pPr>
              <w:spacing w:after="0"/>
              <w:rPr>
                <w:sz w:val="1"/>
                <w:szCs w:val="1"/>
                <w:color w:val="auto"/>
              </w:rPr>
            </w:pPr>
          </w:p>
        </w:tc>
      </w:tr>
      <w:tr>
        <w:trPr>
          <w:trHeight w:val="207"/>
        </w:trPr>
        <w:tc>
          <w:tcPr>
            <w:tcW w:w="3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 in Control Benefit</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the Company and stockholders?</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the NEO?</w:t>
            </w:r>
          </w:p>
        </w:tc>
        <w:tc>
          <w:tcPr>
            <w:tcW w:w="0" w:type="dxa"/>
            <w:vAlign w:val="bottom"/>
          </w:tcPr>
          <w:p>
            <w:pPr>
              <w:spacing w:after="0"/>
              <w:rPr>
                <w:sz w:val="1"/>
                <w:szCs w:val="1"/>
                <w:color w:val="auto"/>
              </w:rPr>
            </w:pPr>
          </w:p>
        </w:tc>
      </w:tr>
      <w:tr>
        <w:trPr>
          <w:trHeight w:val="164"/>
        </w:trPr>
        <w:tc>
          <w:tcPr>
            <w:tcW w:w="3400" w:type="dxa"/>
            <w:vAlign w:val="bottom"/>
            <w:tcBorders>
              <w:left w:val="single" w:sz="8" w:color="auto"/>
            </w:tcBorders>
            <w:shd w:val="clear" w:color="auto" w:fill="DDE6F2"/>
          </w:tcPr>
          <w:p>
            <w:pPr>
              <w:jc w:val="center"/>
              <w:spacing w:after="0" w:line="165" w:lineRule="exact"/>
              <w:rPr>
                <w:sz w:val="20"/>
                <w:szCs w:val="20"/>
                <w:color w:val="auto"/>
              </w:rPr>
            </w:pPr>
            <w:r>
              <w:rPr>
                <w:rFonts w:ascii="Arial" w:cs="Arial" w:eastAsia="Arial" w:hAnsi="Arial"/>
                <w:sz w:val="16"/>
                <w:szCs w:val="16"/>
                <w:b w:val="1"/>
                <w:bCs w:val="1"/>
                <w:color w:val="auto"/>
              </w:rPr>
              <w:t>Multiple of 2x to 3x base pay plus annual</w:t>
            </w:r>
          </w:p>
        </w:tc>
        <w:tc>
          <w:tcPr>
            <w:tcW w:w="4060" w:type="dxa"/>
            <w:vAlign w:val="bottom"/>
            <w:shd w:val="clear" w:color="auto" w:fill="DDE6F2"/>
          </w:tcPr>
          <w:p>
            <w:pPr>
              <w:jc w:val="center"/>
              <w:spacing w:after="0" w:line="165" w:lineRule="exact"/>
              <w:rPr>
                <w:sz w:val="20"/>
                <w:szCs w:val="20"/>
                <w:color w:val="auto"/>
              </w:rPr>
            </w:pPr>
            <w:r>
              <w:rPr>
                <w:rFonts w:ascii="Arial" w:cs="Arial" w:eastAsia="Arial" w:hAnsi="Arial"/>
                <w:sz w:val="16"/>
                <w:szCs w:val="16"/>
                <w:color w:val="auto"/>
              </w:rPr>
              <w:t>Encourages NEOs to remain engaged and stay</w:t>
            </w:r>
          </w:p>
        </w:tc>
        <w:tc>
          <w:tcPr>
            <w:tcW w:w="3980" w:type="dxa"/>
            <w:vAlign w:val="bottom"/>
            <w:tcBorders>
              <w:right w:val="single" w:sz="8" w:color="auto"/>
            </w:tcBorders>
            <w:shd w:val="clear" w:color="auto" w:fill="DDE6F2"/>
          </w:tcPr>
          <w:p>
            <w:pPr>
              <w:jc w:val="center"/>
              <w:spacing w:after="0" w:line="165" w:lineRule="exact"/>
              <w:rPr>
                <w:sz w:val="20"/>
                <w:szCs w:val="20"/>
                <w:color w:val="auto"/>
              </w:rPr>
            </w:pPr>
            <w:r>
              <w:rPr>
                <w:rFonts w:ascii="Arial" w:cs="Arial" w:eastAsia="Arial" w:hAnsi="Arial"/>
                <w:sz w:val="16"/>
                <w:szCs w:val="16"/>
                <w:color w:val="auto"/>
              </w:rPr>
              <w:t>Financial security for the NEO equivalent to two or</w:t>
            </w:r>
          </w:p>
        </w:tc>
        <w:tc>
          <w:tcPr>
            <w:tcW w:w="0" w:type="dxa"/>
            <w:vAlign w:val="bottom"/>
          </w:tcPr>
          <w:p>
            <w:pPr>
              <w:spacing w:after="0"/>
              <w:rPr>
                <w:sz w:val="1"/>
                <w:szCs w:val="1"/>
                <w:color w:val="auto"/>
              </w:rPr>
            </w:pPr>
          </w:p>
        </w:tc>
      </w:tr>
      <w:tr>
        <w:trPr>
          <w:trHeight w:val="207"/>
        </w:trPr>
        <w:tc>
          <w:tcPr>
            <w:tcW w:w="3400" w:type="dxa"/>
            <w:vAlign w:val="bottom"/>
            <w:tcBorders>
              <w:left w:val="single" w:sz="8" w:color="auto"/>
            </w:tcBorders>
            <w:shd w:val="clear" w:color="auto" w:fill="DDE6F2"/>
          </w:tcPr>
          <w:p>
            <w:pPr>
              <w:jc w:val="center"/>
              <w:spacing w:after="0"/>
              <w:rPr>
                <w:sz w:val="20"/>
                <w:szCs w:val="20"/>
                <w:color w:val="auto"/>
              </w:rPr>
            </w:pPr>
            <w:r>
              <w:rPr>
                <w:rFonts w:ascii="Arial" w:cs="Arial" w:eastAsia="Arial" w:hAnsi="Arial"/>
                <w:sz w:val="16"/>
                <w:szCs w:val="16"/>
                <w:b w:val="1"/>
                <w:bCs w:val="1"/>
                <w:color w:val="auto"/>
              </w:rPr>
              <w:t>cash incentive at target</w:t>
            </w:r>
          </w:p>
        </w:tc>
        <w:tc>
          <w:tcPr>
            <w:tcW w:w="4060" w:type="dxa"/>
            <w:vAlign w:val="bottom"/>
            <w:shd w:val="clear" w:color="auto" w:fill="DDE6F2"/>
          </w:tcPr>
          <w:p>
            <w:pPr>
              <w:jc w:val="center"/>
              <w:spacing w:after="0"/>
              <w:rPr>
                <w:sz w:val="20"/>
                <w:szCs w:val="20"/>
                <w:color w:val="auto"/>
              </w:rPr>
            </w:pPr>
            <w:r>
              <w:rPr>
                <w:rFonts w:ascii="Arial" w:cs="Arial" w:eastAsia="Arial" w:hAnsi="Arial"/>
                <w:sz w:val="16"/>
                <w:szCs w:val="16"/>
                <w:color w:val="auto"/>
              </w:rPr>
              <w:t>focused on successfully closing the transaction.</w:t>
            </w:r>
          </w:p>
        </w:tc>
        <w:tc>
          <w:tcPr>
            <w:tcW w:w="3980" w:type="dxa"/>
            <w:vAlign w:val="bottom"/>
            <w:tcBorders>
              <w:right w:val="single" w:sz="8" w:color="auto"/>
            </w:tcBorders>
            <w:shd w:val="clear" w:color="auto" w:fill="DDE6F2"/>
          </w:tcPr>
          <w:p>
            <w:pPr>
              <w:jc w:val="center"/>
              <w:spacing w:after="0"/>
              <w:rPr>
                <w:sz w:val="20"/>
                <w:szCs w:val="20"/>
                <w:color w:val="auto"/>
              </w:rPr>
            </w:pPr>
            <w:r>
              <w:rPr>
                <w:rFonts w:ascii="Arial" w:cs="Arial" w:eastAsia="Arial" w:hAnsi="Arial"/>
                <w:sz w:val="16"/>
                <w:szCs w:val="16"/>
                <w:color w:val="auto"/>
              </w:rPr>
              <w:t>three-years of continued employment.</w:t>
            </w:r>
          </w:p>
        </w:tc>
        <w:tc>
          <w:tcPr>
            <w:tcW w:w="0" w:type="dxa"/>
            <w:vAlign w:val="bottom"/>
          </w:tcPr>
          <w:p>
            <w:pPr>
              <w:spacing w:after="0"/>
              <w:rPr>
                <w:sz w:val="1"/>
                <w:szCs w:val="1"/>
                <w:color w:val="auto"/>
              </w:rPr>
            </w:pPr>
          </w:p>
        </w:tc>
      </w:tr>
      <w:tr>
        <w:trPr>
          <w:trHeight w:val="191"/>
        </w:trPr>
        <w:tc>
          <w:tcPr>
            <w:tcW w:w="3400" w:type="dxa"/>
            <w:vAlign w:val="bottom"/>
            <w:tcBorders>
              <w:lef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Accelerated vesting of stock awards</w:t>
            </w:r>
          </w:p>
        </w:tc>
        <w:tc>
          <w:tcPr>
            <w:tcW w:w="4060" w:type="dxa"/>
            <w:vAlign w:val="bottom"/>
          </w:tcPr>
          <w:p>
            <w:pPr>
              <w:jc w:val="center"/>
              <w:spacing w:after="0"/>
              <w:rPr>
                <w:sz w:val="20"/>
                <w:szCs w:val="20"/>
                <w:color w:val="auto"/>
              </w:rPr>
            </w:pPr>
            <w:r>
              <w:rPr>
                <w:rFonts w:ascii="Arial" w:cs="Arial" w:eastAsia="Arial" w:hAnsi="Arial"/>
                <w:sz w:val="16"/>
                <w:szCs w:val="16"/>
                <w:color w:val="auto"/>
              </w:rPr>
              <w:t>An incentive to stay during and after a change in</w:t>
            </w:r>
          </w:p>
        </w:tc>
        <w:tc>
          <w:tcPr>
            <w:tcW w:w="3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The NEOs are kept whole, if they have a separation</w:t>
            </w:r>
          </w:p>
        </w:tc>
        <w:tc>
          <w:tcPr>
            <w:tcW w:w="0" w:type="dxa"/>
            <w:vAlign w:val="bottom"/>
          </w:tcPr>
          <w:p>
            <w:pPr>
              <w:spacing w:after="0"/>
              <w:rPr>
                <w:sz w:val="1"/>
                <w:szCs w:val="1"/>
                <w:color w:val="auto"/>
              </w:rPr>
            </w:pPr>
          </w:p>
        </w:tc>
      </w:tr>
      <w:tr>
        <w:trPr>
          <w:trHeight w:val="95"/>
        </w:trPr>
        <w:tc>
          <w:tcPr>
            <w:tcW w:w="3400" w:type="dxa"/>
            <w:vAlign w:val="bottom"/>
            <w:tcBorders>
              <w:left w:val="single" w:sz="8" w:color="auto"/>
            </w:tcBorders>
            <w:vMerge w:val="continue"/>
          </w:tcPr>
          <w:p>
            <w:pPr>
              <w:spacing w:after="0"/>
              <w:rPr>
                <w:sz w:val="8"/>
                <w:szCs w:val="8"/>
                <w:color w:val="auto"/>
              </w:rPr>
            </w:pPr>
          </w:p>
        </w:tc>
        <w:tc>
          <w:tcPr>
            <w:tcW w:w="4060" w:type="dxa"/>
            <w:vAlign w:val="bottom"/>
            <w:vMerge w:val="restart"/>
          </w:tcPr>
          <w:p>
            <w:pPr>
              <w:jc w:val="center"/>
              <w:spacing w:after="0"/>
              <w:rPr>
                <w:sz w:val="20"/>
                <w:szCs w:val="20"/>
                <w:color w:val="auto"/>
              </w:rPr>
            </w:pPr>
            <w:r>
              <w:rPr>
                <w:rFonts w:ascii="Arial" w:cs="Arial" w:eastAsia="Arial" w:hAnsi="Arial"/>
                <w:sz w:val="16"/>
                <w:szCs w:val="16"/>
                <w:color w:val="auto"/>
              </w:rPr>
              <w:t>control. If there is risk of forfeiture, NEOs may be less</w:t>
            </w:r>
          </w:p>
        </w:tc>
        <w:tc>
          <w:tcPr>
            <w:tcW w:w="3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00" w:type="dxa"/>
            <w:vAlign w:val="bottom"/>
            <w:tcBorders>
              <w:left w:val="single" w:sz="8" w:color="auto"/>
            </w:tcBorders>
            <w:vMerge w:val="continue"/>
          </w:tcPr>
          <w:p>
            <w:pPr>
              <w:spacing w:after="0"/>
              <w:rPr>
                <w:sz w:val="8"/>
                <w:szCs w:val="8"/>
                <w:color w:val="auto"/>
              </w:rPr>
            </w:pPr>
          </w:p>
        </w:tc>
        <w:tc>
          <w:tcPr>
            <w:tcW w:w="4060" w:type="dxa"/>
            <w:vAlign w:val="bottom"/>
            <w:vMerge w:val="continue"/>
          </w:tcPr>
          <w:p>
            <w:pPr>
              <w:spacing w:after="0"/>
              <w:rPr>
                <w:sz w:val="8"/>
                <w:szCs w:val="8"/>
                <w:color w:val="auto"/>
              </w:rPr>
            </w:pPr>
          </w:p>
        </w:tc>
        <w:tc>
          <w:tcPr>
            <w:tcW w:w="3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from service following a change in control.</w:t>
            </w:r>
          </w:p>
        </w:tc>
        <w:tc>
          <w:tcPr>
            <w:tcW w:w="0" w:type="dxa"/>
            <w:vAlign w:val="bottom"/>
          </w:tcPr>
          <w:p>
            <w:pPr>
              <w:spacing w:after="0"/>
              <w:rPr>
                <w:sz w:val="1"/>
                <w:szCs w:val="1"/>
                <w:color w:val="auto"/>
              </w:rPr>
            </w:pPr>
          </w:p>
        </w:tc>
      </w:tr>
      <w:tr>
        <w:trPr>
          <w:trHeight w:val="100"/>
        </w:trPr>
        <w:tc>
          <w:tcPr>
            <w:tcW w:w="3400" w:type="dxa"/>
            <w:vAlign w:val="bottom"/>
            <w:tcBorders>
              <w:left w:val="single" w:sz="8" w:color="auto"/>
            </w:tcBorders>
          </w:tcPr>
          <w:p>
            <w:pPr>
              <w:spacing w:after="0"/>
              <w:rPr>
                <w:sz w:val="8"/>
                <w:szCs w:val="8"/>
                <w:color w:val="auto"/>
              </w:rPr>
            </w:pPr>
          </w:p>
        </w:tc>
        <w:tc>
          <w:tcPr>
            <w:tcW w:w="4060" w:type="dxa"/>
            <w:vAlign w:val="bottom"/>
            <w:vMerge w:val="restart"/>
          </w:tcPr>
          <w:p>
            <w:pPr>
              <w:jc w:val="center"/>
              <w:spacing w:after="0"/>
              <w:rPr>
                <w:sz w:val="20"/>
                <w:szCs w:val="20"/>
                <w:color w:val="auto"/>
              </w:rPr>
            </w:pPr>
            <w:r>
              <w:rPr>
                <w:rFonts w:ascii="Arial" w:cs="Arial" w:eastAsia="Arial" w:hAnsi="Arial"/>
                <w:sz w:val="16"/>
                <w:szCs w:val="16"/>
                <w:color w:val="auto"/>
              </w:rPr>
              <w:t>inclined to stay or to support the transaction.</w:t>
            </w:r>
          </w:p>
        </w:tc>
        <w:tc>
          <w:tcPr>
            <w:tcW w:w="3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400" w:type="dxa"/>
            <w:vAlign w:val="bottom"/>
            <w:tcBorders>
              <w:left w:val="single" w:sz="8" w:color="auto"/>
            </w:tcBorders>
          </w:tcPr>
          <w:p>
            <w:pPr>
              <w:spacing w:after="0"/>
              <w:rPr>
                <w:sz w:val="7"/>
                <w:szCs w:val="7"/>
                <w:color w:val="auto"/>
              </w:rPr>
            </w:pPr>
          </w:p>
        </w:tc>
        <w:tc>
          <w:tcPr>
            <w:tcW w:w="4060" w:type="dxa"/>
            <w:vAlign w:val="bottom"/>
            <w:vMerge w:val="continue"/>
          </w:tcPr>
          <w:p>
            <w:pPr>
              <w:spacing w:after="0"/>
              <w:rPr>
                <w:sz w:val="7"/>
                <w:szCs w:val="7"/>
                <w:color w:val="auto"/>
              </w:rPr>
            </w:pPr>
          </w:p>
        </w:tc>
        <w:tc>
          <w:tcPr>
            <w:tcW w:w="3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400" w:type="dxa"/>
            <w:vAlign w:val="bottom"/>
            <w:tcBorders>
              <w:left w:val="single" w:sz="8" w:color="auto"/>
            </w:tcBorders>
            <w:shd w:val="clear" w:color="auto" w:fill="DDE6F2"/>
          </w:tcPr>
          <w:p>
            <w:pPr>
              <w:jc w:val="center"/>
              <w:spacing w:after="0" w:line="171" w:lineRule="exact"/>
              <w:rPr>
                <w:sz w:val="20"/>
                <w:szCs w:val="20"/>
                <w:color w:val="auto"/>
              </w:rPr>
            </w:pPr>
            <w:r>
              <w:rPr>
                <w:rFonts w:ascii="Arial" w:cs="Arial" w:eastAsia="Arial" w:hAnsi="Arial"/>
                <w:sz w:val="16"/>
                <w:szCs w:val="16"/>
                <w:b w:val="1"/>
                <w:bCs w:val="1"/>
                <w:color w:val="auto"/>
              </w:rPr>
              <w:t>Up to 18 months of medical or health</w:t>
            </w:r>
          </w:p>
        </w:tc>
        <w:tc>
          <w:tcPr>
            <w:tcW w:w="4060" w:type="dxa"/>
            <w:vAlign w:val="bottom"/>
            <w:shd w:val="clear" w:color="auto" w:fill="DDE6F2"/>
          </w:tcPr>
          <w:p>
            <w:pPr>
              <w:jc w:val="center"/>
              <w:spacing w:after="0" w:line="171" w:lineRule="exact"/>
              <w:rPr>
                <w:sz w:val="20"/>
                <w:szCs w:val="20"/>
                <w:color w:val="auto"/>
              </w:rPr>
            </w:pPr>
            <w:r>
              <w:rPr>
                <w:rFonts w:ascii="Arial" w:cs="Arial" w:eastAsia="Arial" w:hAnsi="Arial"/>
                <w:sz w:val="16"/>
                <w:szCs w:val="16"/>
                <w:color w:val="auto"/>
              </w:rPr>
              <w:t>This is a minimal cost to the Company that creates a</w:t>
            </w:r>
          </w:p>
        </w:tc>
        <w:tc>
          <w:tcPr>
            <w:tcW w:w="3980" w:type="dxa"/>
            <w:vAlign w:val="bottom"/>
            <w:tcBorders>
              <w:right w:val="single" w:sz="8" w:color="auto"/>
            </w:tcBorders>
            <w:vMerge w:val="restart"/>
            <w:shd w:val="clear" w:color="auto" w:fill="DDE6F2"/>
          </w:tcPr>
          <w:p>
            <w:pPr>
              <w:jc w:val="center"/>
              <w:spacing w:after="0"/>
              <w:rPr>
                <w:sz w:val="20"/>
                <w:szCs w:val="20"/>
                <w:color w:val="auto"/>
              </w:rPr>
            </w:pPr>
            <w:r>
              <w:rPr>
                <w:rFonts w:ascii="Arial" w:cs="Arial" w:eastAsia="Arial" w:hAnsi="Arial"/>
                <w:sz w:val="16"/>
                <w:szCs w:val="16"/>
                <w:color w:val="auto"/>
              </w:rPr>
              <w:t>Access to health coverage.</w:t>
            </w:r>
          </w:p>
        </w:tc>
        <w:tc>
          <w:tcPr>
            <w:tcW w:w="0" w:type="dxa"/>
            <w:vAlign w:val="bottom"/>
          </w:tcPr>
          <w:p>
            <w:pPr>
              <w:spacing w:after="0"/>
              <w:rPr>
                <w:sz w:val="1"/>
                <w:szCs w:val="1"/>
                <w:color w:val="auto"/>
              </w:rPr>
            </w:pPr>
          </w:p>
        </w:tc>
      </w:tr>
      <w:tr>
        <w:trPr>
          <w:trHeight w:val="120"/>
        </w:trPr>
        <w:tc>
          <w:tcPr>
            <w:tcW w:w="3400" w:type="dxa"/>
            <w:vAlign w:val="bottom"/>
            <w:tcBorders>
              <w:left w:val="single" w:sz="8" w:color="auto"/>
            </w:tcBorders>
            <w:vMerge w:val="restart"/>
            <w:shd w:val="clear" w:color="auto" w:fill="DDE6F2"/>
          </w:tcPr>
          <w:p>
            <w:pPr>
              <w:jc w:val="center"/>
              <w:spacing w:after="0"/>
              <w:rPr>
                <w:sz w:val="20"/>
                <w:szCs w:val="20"/>
                <w:color w:val="auto"/>
              </w:rPr>
            </w:pPr>
            <w:r>
              <w:rPr>
                <w:rFonts w:ascii="Arial" w:cs="Arial" w:eastAsia="Arial" w:hAnsi="Arial"/>
                <w:sz w:val="16"/>
                <w:szCs w:val="16"/>
                <w:b w:val="1"/>
                <w:bCs w:val="1"/>
                <w:color w:val="auto"/>
              </w:rPr>
              <w:t>coverage through COBRA</w:t>
            </w:r>
          </w:p>
        </w:tc>
        <w:tc>
          <w:tcPr>
            <w:tcW w:w="4060" w:type="dxa"/>
            <w:vAlign w:val="bottom"/>
            <w:vMerge w:val="restart"/>
            <w:shd w:val="clear" w:color="auto" w:fill="DDE6F2"/>
          </w:tcPr>
          <w:p>
            <w:pPr>
              <w:jc w:val="center"/>
              <w:spacing w:after="0"/>
              <w:rPr>
                <w:sz w:val="20"/>
                <w:szCs w:val="20"/>
                <w:color w:val="auto"/>
              </w:rPr>
            </w:pPr>
            <w:r>
              <w:rPr>
                <w:rFonts w:ascii="Arial" w:cs="Arial" w:eastAsia="Arial" w:hAnsi="Arial"/>
                <w:sz w:val="16"/>
                <w:szCs w:val="16"/>
                <w:color w:val="auto"/>
              </w:rPr>
              <w:t>competitive benefit.</w:t>
            </w:r>
          </w:p>
        </w:tc>
        <w:tc>
          <w:tcPr>
            <w:tcW w:w="3980" w:type="dxa"/>
            <w:vAlign w:val="bottom"/>
            <w:tcBorders>
              <w:right w:val="single" w:sz="8" w:color="auto"/>
            </w:tcBorders>
            <w:vMerge w:val="continue"/>
            <w:shd w:val="clear" w:color="auto" w:fill="DDE6F2"/>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400" w:type="dxa"/>
            <w:vAlign w:val="bottom"/>
            <w:tcBorders>
              <w:left w:val="single" w:sz="8" w:color="auto"/>
            </w:tcBorders>
            <w:vMerge w:val="continue"/>
            <w:shd w:val="clear" w:color="auto" w:fill="DDE6F2"/>
          </w:tcPr>
          <w:p>
            <w:pPr>
              <w:spacing w:after="0"/>
              <w:rPr>
                <w:sz w:val="7"/>
                <w:szCs w:val="7"/>
                <w:color w:val="auto"/>
              </w:rPr>
            </w:pPr>
          </w:p>
        </w:tc>
        <w:tc>
          <w:tcPr>
            <w:tcW w:w="4060" w:type="dxa"/>
            <w:vAlign w:val="bottom"/>
            <w:vMerge w:val="continue"/>
            <w:shd w:val="clear" w:color="auto" w:fill="DDE6F2"/>
          </w:tcPr>
          <w:p>
            <w:pPr>
              <w:spacing w:after="0"/>
              <w:rPr>
                <w:sz w:val="7"/>
                <w:szCs w:val="7"/>
                <w:color w:val="auto"/>
              </w:rPr>
            </w:pPr>
          </w:p>
        </w:tc>
        <w:tc>
          <w:tcPr>
            <w:tcW w:w="3980" w:type="dxa"/>
            <w:vAlign w:val="bottom"/>
            <w:tcBorders>
              <w:right w:val="single" w:sz="8" w:color="auto"/>
            </w:tcBorders>
            <w:shd w:val="clear" w:color="auto" w:fill="DDE6F2"/>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400" w:type="dxa"/>
            <w:vAlign w:val="bottom"/>
            <w:tcBorders>
              <w:lef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2x to 3x the previous year’s retirement</w:t>
            </w:r>
          </w:p>
        </w:tc>
        <w:tc>
          <w:tcPr>
            <w:tcW w:w="4060" w:type="dxa"/>
            <w:vAlign w:val="bottom"/>
            <w:vMerge w:val="restart"/>
          </w:tcPr>
          <w:p>
            <w:pPr>
              <w:jc w:val="center"/>
              <w:spacing w:after="0"/>
              <w:rPr>
                <w:sz w:val="20"/>
                <w:szCs w:val="20"/>
                <w:color w:val="auto"/>
              </w:rPr>
            </w:pPr>
            <w:r>
              <w:rPr>
                <w:rFonts w:ascii="Arial" w:cs="Arial" w:eastAsia="Arial" w:hAnsi="Arial"/>
                <w:sz w:val="16"/>
                <w:szCs w:val="16"/>
                <w:color w:val="auto"/>
              </w:rPr>
              <w:t>This is a minimal cost to the Company that creates a</w:t>
            </w: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May allow those NEOs who are nearing retirement</w:t>
            </w:r>
          </w:p>
        </w:tc>
        <w:tc>
          <w:tcPr>
            <w:tcW w:w="0" w:type="dxa"/>
            <w:vAlign w:val="bottom"/>
          </w:tcPr>
          <w:p>
            <w:pPr>
              <w:spacing w:after="0"/>
              <w:rPr>
                <w:sz w:val="1"/>
                <w:szCs w:val="1"/>
                <w:color w:val="auto"/>
              </w:rPr>
            </w:pPr>
          </w:p>
        </w:tc>
      </w:tr>
      <w:tr>
        <w:trPr>
          <w:trHeight w:val="75"/>
        </w:trPr>
        <w:tc>
          <w:tcPr>
            <w:tcW w:w="3400" w:type="dxa"/>
            <w:vAlign w:val="bottom"/>
            <w:tcBorders>
              <w:left w:val="single" w:sz="8" w:color="auto"/>
            </w:tcBorders>
            <w:vMerge w:val="continue"/>
          </w:tcPr>
          <w:p>
            <w:pPr>
              <w:spacing w:after="0"/>
              <w:rPr>
                <w:sz w:val="6"/>
                <w:szCs w:val="6"/>
                <w:color w:val="auto"/>
              </w:rPr>
            </w:pPr>
          </w:p>
        </w:tc>
        <w:tc>
          <w:tcPr>
            <w:tcW w:w="4060" w:type="dxa"/>
            <w:vAlign w:val="bottom"/>
            <w:vMerge w:val="continue"/>
          </w:tcPr>
          <w:p>
            <w:pPr>
              <w:spacing w:after="0"/>
              <w:rPr>
                <w:sz w:val="6"/>
                <w:szCs w:val="6"/>
                <w:color w:val="auto"/>
              </w:rPr>
            </w:pPr>
          </w:p>
        </w:tc>
        <w:tc>
          <w:tcPr>
            <w:tcW w:w="3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to receive a cash payment to make up for lost</w:t>
            </w:r>
          </w:p>
        </w:tc>
        <w:tc>
          <w:tcPr>
            <w:tcW w:w="0" w:type="dxa"/>
            <w:vAlign w:val="bottom"/>
          </w:tcPr>
          <w:p>
            <w:pPr>
              <w:spacing w:after="0"/>
              <w:rPr>
                <w:sz w:val="1"/>
                <w:szCs w:val="1"/>
                <w:color w:val="auto"/>
              </w:rPr>
            </w:pPr>
          </w:p>
        </w:tc>
      </w:tr>
      <w:tr>
        <w:trPr>
          <w:trHeight w:val="115"/>
        </w:trPr>
        <w:tc>
          <w:tcPr>
            <w:tcW w:w="3400" w:type="dxa"/>
            <w:vAlign w:val="bottom"/>
            <w:tcBorders>
              <w:lef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restoration allocation</w:t>
            </w:r>
          </w:p>
        </w:tc>
        <w:tc>
          <w:tcPr>
            <w:tcW w:w="4060" w:type="dxa"/>
            <w:vAlign w:val="bottom"/>
            <w:vMerge w:val="restart"/>
          </w:tcPr>
          <w:p>
            <w:pPr>
              <w:jc w:val="center"/>
              <w:spacing w:after="0"/>
              <w:rPr>
                <w:sz w:val="20"/>
                <w:szCs w:val="20"/>
                <w:color w:val="auto"/>
              </w:rPr>
            </w:pPr>
            <w:r>
              <w:rPr>
                <w:rFonts w:ascii="Arial" w:cs="Arial" w:eastAsia="Arial" w:hAnsi="Arial"/>
                <w:sz w:val="16"/>
                <w:szCs w:val="16"/>
                <w:color w:val="auto"/>
              </w:rPr>
              <w:t>competitive benefit.</w:t>
            </w:r>
          </w:p>
        </w:tc>
        <w:tc>
          <w:tcPr>
            <w:tcW w:w="3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400" w:type="dxa"/>
            <w:vAlign w:val="bottom"/>
            <w:tcBorders>
              <w:left w:val="single" w:sz="8" w:color="auto"/>
            </w:tcBorders>
            <w:vMerge w:val="continue"/>
          </w:tcPr>
          <w:p>
            <w:pPr>
              <w:spacing w:after="0"/>
              <w:rPr>
                <w:sz w:val="8"/>
                <w:szCs w:val="8"/>
                <w:color w:val="auto"/>
              </w:rPr>
            </w:pPr>
          </w:p>
        </w:tc>
        <w:tc>
          <w:tcPr>
            <w:tcW w:w="4060" w:type="dxa"/>
            <w:vAlign w:val="bottom"/>
            <w:vMerge w:val="continue"/>
          </w:tcPr>
          <w:p>
            <w:pPr>
              <w:spacing w:after="0"/>
              <w:rPr>
                <w:sz w:val="8"/>
                <w:szCs w:val="8"/>
                <w:color w:val="auto"/>
              </w:rPr>
            </w:pPr>
          </w:p>
        </w:tc>
        <w:tc>
          <w:tcPr>
            <w:tcW w:w="3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allocations due to a change in control.</w:t>
            </w:r>
          </w:p>
        </w:tc>
        <w:tc>
          <w:tcPr>
            <w:tcW w:w="0" w:type="dxa"/>
            <w:vAlign w:val="bottom"/>
          </w:tcPr>
          <w:p>
            <w:pPr>
              <w:spacing w:after="0"/>
              <w:rPr>
                <w:sz w:val="1"/>
                <w:szCs w:val="1"/>
                <w:color w:val="auto"/>
              </w:rPr>
            </w:pPr>
          </w:p>
        </w:tc>
      </w:tr>
      <w:tr>
        <w:trPr>
          <w:trHeight w:val="87"/>
        </w:trPr>
        <w:tc>
          <w:tcPr>
            <w:tcW w:w="3400" w:type="dxa"/>
            <w:vAlign w:val="bottom"/>
            <w:tcBorders>
              <w:left w:val="single" w:sz="8" w:color="auto"/>
            </w:tcBorders>
          </w:tcPr>
          <w:p>
            <w:pPr>
              <w:spacing w:after="0"/>
              <w:rPr>
                <w:sz w:val="7"/>
                <w:szCs w:val="7"/>
                <w:color w:val="auto"/>
              </w:rPr>
            </w:pPr>
          </w:p>
        </w:tc>
        <w:tc>
          <w:tcPr>
            <w:tcW w:w="4060" w:type="dxa"/>
            <w:vAlign w:val="bottom"/>
          </w:tcPr>
          <w:p>
            <w:pPr>
              <w:spacing w:after="0"/>
              <w:rPr>
                <w:sz w:val="7"/>
                <w:szCs w:val="7"/>
                <w:color w:val="auto"/>
              </w:rPr>
            </w:pPr>
          </w:p>
        </w:tc>
        <w:tc>
          <w:tcPr>
            <w:tcW w:w="3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400" w:type="dxa"/>
            <w:vAlign w:val="bottom"/>
            <w:tcBorders>
              <w:left w:val="single" w:sz="8" w:color="auto"/>
            </w:tcBorders>
            <w:vMerge w:val="restart"/>
            <w:shd w:val="clear" w:color="auto" w:fill="DDE6F2"/>
          </w:tcPr>
          <w:p>
            <w:pPr>
              <w:jc w:val="center"/>
              <w:spacing w:after="0"/>
              <w:rPr>
                <w:sz w:val="20"/>
                <w:szCs w:val="20"/>
                <w:color w:val="auto"/>
              </w:rPr>
            </w:pPr>
            <w:r>
              <w:rPr>
                <w:rFonts w:ascii="Arial" w:cs="Arial" w:eastAsia="Arial" w:hAnsi="Arial"/>
                <w:sz w:val="16"/>
                <w:szCs w:val="16"/>
                <w:b w:val="1"/>
                <w:bCs w:val="1"/>
                <w:color w:val="auto"/>
              </w:rPr>
              <w:t>Reimbursement of legal fees to enforce</w:t>
            </w:r>
          </w:p>
        </w:tc>
        <w:tc>
          <w:tcPr>
            <w:tcW w:w="4060" w:type="dxa"/>
            <w:vAlign w:val="bottom"/>
            <w:shd w:val="clear" w:color="auto" w:fill="DDE6F2"/>
          </w:tcPr>
          <w:p>
            <w:pPr>
              <w:jc w:val="center"/>
              <w:spacing w:after="0"/>
              <w:rPr>
                <w:sz w:val="20"/>
                <w:szCs w:val="20"/>
                <w:color w:val="auto"/>
              </w:rPr>
            </w:pPr>
            <w:r>
              <w:rPr>
                <w:rFonts w:ascii="Arial" w:cs="Arial" w:eastAsia="Arial" w:hAnsi="Arial"/>
                <w:sz w:val="16"/>
                <w:szCs w:val="16"/>
                <w:color w:val="auto"/>
              </w:rPr>
              <w:t>Keeps NEOs focused on the Company and not</w:t>
            </w:r>
          </w:p>
        </w:tc>
        <w:tc>
          <w:tcPr>
            <w:tcW w:w="3980" w:type="dxa"/>
            <w:vAlign w:val="bottom"/>
            <w:tcBorders>
              <w:right w:val="single" w:sz="8" w:color="auto"/>
            </w:tcBorders>
            <w:shd w:val="clear" w:color="auto" w:fill="DDE6F2"/>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3400" w:type="dxa"/>
            <w:vAlign w:val="bottom"/>
            <w:tcBorders>
              <w:left w:val="single" w:sz="8" w:color="auto"/>
            </w:tcBorders>
            <w:vMerge w:val="continue"/>
            <w:shd w:val="clear" w:color="auto" w:fill="DDE6F2"/>
          </w:tcPr>
          <w:p>
            <w:pPr>
              <w:spacing w:after="0"/>
              <w:rPr>
                <w:sz w:val="6"/>
                <w:szCs w:val="6"/>
                <w:color w:val="auto"/>
              </w:rPr>
            </w:pPr>
          </w:p>
        </w:tc>
        <w:tc>
          <w:tcPr>
            <w:tcW w:w="4060" w:type="dxa"/>
            <w:vAlign w:val="bottom"/>
            <w:vMerge w:val="restart"/>
            <w:shd w:val="clear" w:color="auto" w:fill="DDE6F2"/>
          </w:tcPr>
          <w:p>
            <w:pPr>
              <w:jc w:val="center"/>
              <w:spacing w:after="0"/>
              <w:rPr>
                <w:sz w:val="20"/>
                <w:szCs w:val="20"/>
                <w:color w:val="auto"/>
              </w:rPr>
            </w:pPr>
            <w:r>
              <w:rPr>
                <w:rFonts w:ascii="Arial" w:cs="Arial" w:eastAsia="Arial" w:hAnsi="Arial"/>
                <w:sz w:val="16"/>
                <w:szCs w:val="16"/>
                <w:color w:val="auto"/>
              </w:rPr>
              <w:t>concerned about whether the acquiring company will</w:t>
            </w:r>
          </w:p>
        </w:tc>
        <w:tc>
          <w:tcPr>
            <w:tcW w:w="3980" w:type="dxa"/>
            <w:vAlign w:val="bottom"/>
            <w:tcBorders>
              <w:right w:val="single" w:sz="8" w:color="auto"/>
            </w:tcBorders>
            <w:vMerge w:val="restart"/>
            <w:shd w:val="clear" w:color="auto" w:fill="DDE6F2"/>
          </w:tcPr>
          <w:p>
            <w:pPr>
              <w:jc w:val="center"/>
              <w:spacing w:after="0"/>
              <w:rPr>
                <w:sz w:val="20"/>
                <w:szCs w:val="20"/>
                <w:color w:val="auto"/>
              </w:rPr>
            </w:pPr>
            <w:r>
              <w:rPr>
                <w:rFonts w:ascii="Arial" w:cs="Arial" w:eastAsia="Arial" w:hAnsi="Arial"/>
                <w:sz w:val="16"/>
                <w:szCs w:val="16"/>
                <w:color w:val="auto"/>
              </w:rPr>
              <w:t>Security during an unstable period of time.</w:t>
            </w:r>
          </w:p>
        </w:tc>
        <w:tc>
          <w:tcPr>
            <w:tcW w:w="0" w:type="dxa"/>
            <w:vAlign w:val="bottom"/>
          </w:tcPr>
          <w:p>
            <w:pPr>
              <w:spacing w:after="0"/>
              <w:rPr>
                <w:sz w:val="1"/>
                <w:szCs w:val="1"/>
                <w:color w:val="auto"/>
              </w:rPr>
            </w:pPr>
          </w:p>
        </w:tc>
      </w:tr>
      <w:tr>
        <w:trPr>
          <w:trHeight w:val="115"/>
        </w:trPr>
        <w:tc>
          <w:tcPr>
            <w:tcW w:w="3400" w:type="dxa"/>
            <w:vAlign w:val="bottom"/>
            <w:tcBorders>
              <w:left w:val="single" w:sz="8" w:color="auto"/>
            </w:tcBorders>
            <w:vMerge w:val="restart"/>
            <w:shd w:val="clear" w:color="auto" w:fill="DDE6F2"/>
          </w:tcPr>
          <w:p>
            <w:pPr>
              <w:jc w:val="center"/>
              <w:spacing w:after="0"/>
              <w:rPr>
                <w:sz w:val="20"/>
                <w:szCs w:val="20"/>
                <w:color w:val="auto"/>
              </w:rPr>
            </w:pPr>
            <w:r>
              <w:rPr>
                <w:rFonts w:ascii="Arial" w:cs="Arial" w:eastAsia="Arial" w:hAnsi="Arial"/>
                <w:sz w:val="16"/>
                <w:szCs w:val="16"/>
                <w:b w:val="1"/>
                <w:bCs w:val="1"/>
                <w:color w:val="auto"/>
                <w:w w:val="99"/>
              </w:rPr>
              <w:t>benefit</w:t>
            </w:r>
          </w:p>
        </w:tc>
        <w:tc>
          <w:tcPr>
            <w:tcW w:w="4060" w:type="dxa"/>
            <w:vAlign w:val="bottom"/>
            <w:vMerge w:val="continue"/>
            <w:shd w:val="clear" w:color="auto" w:fill="DDE6F2"/>
          </w:tcPr>
          <w:p>
            <w:pPr>
              <w:spacing w:after="0"/>
              <w:rPr>
                <w:sz w:val="9"/>
                <w:szCs w:val="9"/>
                <w:color w:val="auto"/>
              </w:rPr>
            </w:pPr>
          </w:p>
        </w:tc>
        <w:tc>
          <w:tcPr>
            <w:tcW w:w="3980" w:type="dxa"/>
            <w:vAlign w:val="bottom"/>
            <w:tcBorders>
              <w:right w:val="single" w:sz="8" w:color="auto"/>
            </w:tcBorders>
            <w:vMerge w:val="continue"/>
            <w:shd w:val="clear" w:color="auto" w:fill="DDE6F2"/>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400" w:type="dxa"/>
            <w:vAlign w:val="bottom"/>
            <w:tcBorders>
              <w:left w:val="single" w:sz="8" w:color="auto"/>
            </w:tcBorders>
            <w:vMerge w:val="continue"/>
            <w:shd w:val="clear" w:color="auto" w:fill="DDE6F2"/>
          </w:tcPr>
          <w:p>
            <w:pPr>
              <w:spacing w:after="0"/>
              <w:rPr>
                <w:sz w:val="8"/>
                <w:szCs w:val="8"/>
                <w:color w:val="auto"/>
              </w:rPr>
            </w:pPr>
          </w:p>
        </w:tc>
        <w:tc>
          <w:tcPr>
            <w:tcW w:w="4060" w:type="dxa"/>
            <w:vAlign w:val="bottom"/>
            <w:vMerge w:val="restart"/>
            <w:shd w:val="clear" w:color="auto" w:fill="DDE6F2"/>
          </w:tcPr>
          <w:p>
            <w:pPr>
              <w:jc w:val="center"/>
              <w:spacing w:after="0"/>
              <w:rPr>
                <w:sz w:val="20"/>
                <w:szCs w:val="20"/>
                <w:color w:val="auto"/>
              </w:rPr>
            </w:pPr>
            <w:r>
              <w:rPr>
                <w:rFonts w:ascii="Arial" w:cs="Arial" w:eastAsia="Arial" w:hAnsi="Arial"/>
                <w:sz w:val="16"/>
                <w:szCs w:val="16"/>
                <w:color w:val="auto"/>
              </w:rPr>
              <w:t>honor commitments after a change in control.</w:t>
            </w:r>
          </w:p>
        </w:tc>
        <w:tc>
          <w:tcPr>
            <w:tcW w:w="3980" w:type="dxa"/>
            <w:vAlign w:val="bottom"/>
            <w:tcBorders>
              <w:right w:val="single" w:sz="8" w:color="auto"/>
            </w:tcBorders>
            <w:shd w:val="clear" w:color="auto" w:fill="DDE6F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400" w:type="dxa"/>
            <w:vAlign w:val="bottom"/>
            <w:tcBorders>
              <w:left w:val="single" w:sz="8" w:color="auto"/>
            </w:tcBorders>
            <w:shd w:val="clear" w:color="auto" w:fill="DDE6F2"/>
          </w:tcPr>
          <w:p>
            <w:pPr>
              <w:spacing w:after="0"/>
              <w:rPr>
                <w:sz w:val="7"/>
                <w:szCs w:val="7"/>
                <w:color w:val="auto"/>
              </w:rPr>
            </w:pPr>
          </w:p>
        </w:tc>
        <w:tc>
          <w:tcPr>
            <w:tcW w:w="4060" w:type="dxa"/>
            <w:vAlign w:val="bottom"/>
            <w:vMerge w:val="continue"/>
            <w:shd w:val="clear" w:color="auto" w:fill="DDE6F2"/>
          </w:tcPr>
          <w:p>
            <w:pPr>
              <w:spacing w:after="0"/>
              <w:rPr>
                <w:sz w:val="7"/>
                <w:szCs w:val="7"/>
                <w:color w:val="auto"/>
              </w:rPr>
            </w:pPr>
          </w:p>
        </w:tc>
        <w:tc>
          <w:tcPr>
            <w:tcW w:w="3980" w:type="dxa"/>
            <w:vAlign w:val="bottom"/>
            <w:tcBorders>
              <w:right w:val="single" w:sz="8" w:color="auto"/>
            </w:tcBorders>
            <w:shd w:val="clear" w:color="auto" w:fill="DDE6F2"/>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400" w:type="dxa"/>
            <w:vAlign w:val="bottom"/>
            <w:tcBorders>
              <w:lef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Outplacement assistance</w:t>
            </w:r>
          </w:p>
        </w:tc>
        <w:tc>
          <w:tcPr>
            <w:tcW w:w="4060" w:type="dxa"/>
            <w:vAlign w:val="bottom"/>
          </w:tcPr>
          <w:p>
            <w:pPr>
              <w:jc w:val="center"/>
              <w:spacing w:after="0"/>
              <w:rPr>
                <w:sz w:val="20"/>
                <w:szCs w:val="20"/>
                <w:color w:val="auto"/>
              </w:rPr>
            </w:pPr>
            <w:r>
              <w:rPr>
                <w:rFonts w:ascii="Arial" w:cs="Arial" w:eastAsia="Arial" w:hAnsi="Arial"/>
                <w:sz w:val="16"/>
                <w:szCs w:val="16"/>
                <w:color w:val="auto"/>
              </w:rPr>
              <w:t>Keeps NEOs focused on supporting the transaction</w:t>
            </w:r>
          </w:p>
        </w:tc>
        <w:tc>
          <w:tcPr>
            <w:tcW w:w="3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Assists NEOs in finding a comparable executive</w:t>
            </w:r>
          </w:p>
        </w:tc>
        <w:tc>
          <w:tcPr>
            <w:tcW w:w="0" w:type="dxa"/>
            <w:vAlign w:val="bottom"/>
          </w:tcPr>
          <w:p>
            <w:pPr>
              <w:spacing w:after="0"/>
              <w:rPr>
                <w:sz w:val="1"/>
                <w:szCs w:val="1"/>
                <w:color w:val="auto"/>
              </w:rPr>
            </w:pPr>
          </w:p>
        </w:tc>
      </w:tr>
      <w:tr>
        <w:trPr>
          <w:trHeight w:val="95"/>
        </w:trPr>
        <w:tc>
          <w:tcPr>
            <w:tcW w:w="3400" w:type="dxa"/>
            <w:vAlign w:val="bottom"/>
            <w:tcBorders>
              <w:left w:val="single" w:sz="8" w:color="auto"/>
            </w:tcBorders>
            <w:vMerge w:val="continue"/>
          </w:tcPr>
          <w:p>
            <w:pPr>
              <w:spacing w:after="0"/>
              <w:rPr>
                <w:sz w:val="8"/>
                <w:szCs w:val="8"/>
                <w:color w:val="auto"/>
              </w:rPr>
            </w:pPr>
          </w:p>
        </w:tc>
        <w:tc>
          <w:tcPr>
            <w:tcW w:w="4060" w:type="dxa"/>
            <w:vAlign w:val="bottom"/>
            <w:vMerge w:val="restart"/>
          </w:tcPr>
          <w:p>
            <w:pPr>
              <w:jc w:val="center"/>
              <w:spacing w:after="0"/>
              <w:rPr>
                <w:sz w:val="20"/>
                <w:szCs w:val="20"/>
                <w:color w:val="auto"/>
              </w:rPr>
            </w:pPr>
            <w:r>
              <w:rPr>
                <w:rFonts w:ascii="Arial" w:cs="Arial" w:eastAsia="Arial" w:hAnsi="Arial"/>
                <w:sz w:val="16"/>
                <w:szCs w:val="16"/>
                <w:color w:val="auto"/>
              </w:rPr>
              <w:t>and less concerned about trying to secure another</w:t>
            </w:r>
          </w:p>
        </w:tc>
        <w:tc>
          <w:tcPr>
            <w:tcW w:w="3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00" w:type="dxa"/>
            <w:vAlign w:val="bottom"/>
            <w:tcBorders>
              <w:left w:val="single" w:sz="8" w:color="auto"/>
            </w:tcBorders>
            <w:vMerge w:val="continue"/>
          </w:tcPr>
          <w:p>
            <w:pPr>
              <w:spacing w:after="0"/>
              <w:rPr>
                <w:sz w:val="8"/>
                <w:szCs w:val="8"/>
                <w:color w:val="auto"/>
              </w:rPr>
            </w:pPr>
          </w:p>
        </w:tc>
        <w:tc>
          <w:tcPr>
            <w:tcW w:w="4060" w:type="dxa"/>
            <w:vAlign w:val="bottom"/>
            <w:vMerge w:val="continue"/>
          </w:tcPr>
          <w:p>
            <w:pPr>
              <w:spacing w:after="0"/>
              <w:rPr>
                <w:sz w:val="8"/>
                <w:szCs w:val="8"/>
                <w:color w:val="auto"/>
              </w:rPr>
            </w:pPr>
          </w:p>
        </w:tc>
        <w:tc>
          <w:tcPr>
            <w:tcW w:w="3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position.</w:t>
            </w:r>
          </w:p>
        </w:tc>
        <w:tc>
          <w:tcPr>
            <w:tcW w:w="0" w:type="dxa"/>
            <w:vAlign w:val="bottom"/>
          </w:tcPr>
          <w:p>
            <w:pPr>
              <w:spacing w:after="0"/>
              <w:rPr>
                <w:sz w:val="1"/>
                <w:szCs w:val="1"/>
                <w:color w:val="auto"/>
              </w:rPr>
            </w:pPr>
          </w:p>
        </w:tc>
      </w:tr>
      <w:tr>
        <w:trPr>
          <w:trHeight w:val="100"/>
        </w:trPr>
        <w:tc>
          <w:tcPr>
            <w:tcW w:w="3400" w:type="dxa"/>
            <w:vAlign w:val="bottom"/>
            <w:tcBorders>
              <w:left w:val="single" w:sz="8" w:color="auto"/>
            </w:tcBorders>
          </w:tcPr>
          <w:p>
            <w:pPr>
              <w:spacing w:after="0"/>
              <w:rPr>
                <w:sz w:val="8"/>
                <w:szCs w:val="8"/>
                <w:color w:val="auto"/>
              </w:rPr>
            </w:pPr>
          </w:p>
        </w:tc>
        <w:tc>
          <w:tcPr>
            <w:tcW w:w="4060" w:type="dxa"/>
            <w:vAlign w:val="bottom"/>
            <w:vMerge w:val="restart"/>
          </w:tcPr>
          <w:p>
            <w:pPr>
              <w:jc w:val="center"/>
              <w:spacing w:after="0"/>
              <w:rPr>
                <w:sz w:val="20"/>
                <w:szCs w:val="20"/>
                <w:color w:val="auto"/>
              </w:rPr>
            </w:pPr>
            <w:r>
              <w:rPr>
                <w:rFonts w:ascii="Arial" w:cs="Arial" w:eastAsia="Arial" w:hAnsi="Arial"/>
                <w:sz w:val="16"/>
                <w:szCs w:val="16"/>
                <w:color w:val="auto"/>
              </w:rPr>
              <w:t>position.</w:t>
            </w:r>
          </w:p>
        </w:tc>
        <w:tc>
          <w:tcPr>
            <w:tcW w:w="3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400" w:type="dxa"/>
            <w:vAlign w:val="bottom"/>
            <w:tcBorders>
              <w:left w:val="single" w:sz="8" w:color="auto"/>
            </w:tcBorders>
          </w:tcPr>
          <w:p>
            <w:pPr>
              <w:spacing w:after="0"/>
              <w:rPr>
                <w:sz w:val="7"/>
                <w:szCs w:val="7"/>
                <w:color w:val="auto"/>
              </w:rPr>
            </w:pPr>
          </w:p>
        </w:tc>
        <w:tc>
          <w:tcPr>
            <w:tcW w:w="4060" w:type="dxa"/>
            <w:vAlign w:val="bottom"/>
            <w:vMerge w:val="continue"/>
          </w:tcPr>
          <w:p>
            <w:pPr>
              <w:spacing w:after="0"/>
              <w:rPr>
                <w:sz w:val="7"/>
                <w:szCs w:val="7"/>
                <w:color w:val="auto"/>
              </w:rPr>
            </w:pPr>
          </w:p>
        </w:tc>
        <w:tc>
          <w:tcPr>
            <w:tcW w:w="3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400" w:type="dxa"/>
            <w:vAlign w:val="bottom"/>
            <w:tcBorders>
              <w:left w:val="single" w:sz="8" w:color="auto"/>
            </w:tcBorders>
            <w:shd w:val="clear" w:color="auto" w:fill="DDE6F2"/>
          </w:tcPr>
          <w:p>
            <w:pPr>
              <w:spacing w:after="0"/>
              <w:rPr>
                <w:sz w:val="16"/>
                <w:szCs w:val="16"/>
                <w:color w:val="auto"/>
              </w:rPr>
            </w:pPr>
          </w:p>
        </w:tc>
        <w:tc>
          <w:tcPr>
            <w:tcW w:w="4060" w:type="dxa"/>
            <w:vAlign w:val="bottom"/>
            <w:vMerge w:val="restart"/>
            <w:shd w:val="clear" w:color="auto" w:fill="DDE6F2"/>
          </w:tcPr>
          <w:p>
            <w:pPr>
              <w:jc w:val="center"/>
              <w:spacing w:after="0"/>
              <w:rPr>
                <w:sz w:val="20"/>
                <w:szCs w:val="20"/>
                <w:color w:val="auto"/>
              </w:rPr>
            </w:pPr>
            <w:r>
              <w:rPr>
                <w:rFonts w:ascii="Arial" w:cs="Arial" w:eastAsia="Arial" w:hAnsi="Arial"/>
                <w:sz w:val="16"/>
                <w:szCs w:val="16"/>
                <w:color w:val="auto"/>
              </w:rPr>
              <w:t>Enables the change in control benefits to be delivered</w:t>
            </w:r>
          </w:p>
        </w:tc>
        <w:tc>
          <w:tcPr>
            <w:tcW w:w="3980" w:type="dxa"/>
            <w:vAlign w:val="bottom"/>
            <w:tcBorders>
              <w:right w:val="single" w:sz="8" w:color="auto"/>
            </w:tcBorders>
            <w:shd w:val="clear" w:color="auto" w:fill="DDE6F2"/>
          </w:tcPr>
          <w:p>
            <w:pPr>
              <w:jc w:val="center"/>
              <w:spacing w:after="0"/>
              <w:rPr>
                <w:sz w:val="20"/>
                <w:szCs w:val="20"/>
                <w:color w:val="auto"/>
              </w:rPr>
            </w:pPr>
            <w:r>
              <w:rPr>
                <w:rFonts w:ascii="Arial" w:cs="Arial" w:eastAsia="Arial" w:hAnsi="Arial"/>
                <w:sz w:val="16"/>
                <w:szCs w:val="16"/>
                <w:color w:val="auto"/>
              </w:rPr>
              <w:t>Provides NEOs with the better of their after-tax</w:t>
            </w:r>
          </w:p>
        </w:tc>
        <w:tc>
          <w:tcPr>
            <w:tcW w:w="0" w:type="dxa"/>
            <w:vAlign w:val="bottom"/>
          </w:tcPr>
          <w:p>
            <w:pPr>
              <w:spacing w:after="0"/>
              <w:rPr>
                <w:sz w:val="1"/>
                <w:szCs w:val="1"/>
                <w:color w:val="auto"/>
              </w:rPr>
            </w:pPr>
          </w:p>
        </w:tc>
      </w:tr>
      <w:tr>
        <w:trPr>
          <w:trHeight w:val="95"/>
        </w:trPr>
        <w:tc>
          <w:tcPr>
            <w:tcW w:w="3400" w:type="dxa"/>
            <w:vAlign w:val="bottom"/>
            <w:tcBorders>
              <w:left w:val="single" w:sz="8" w:color="auto"/>
            </w:tcBorders>
            <w:vMerge w:val="restart"/>
            <w:shd w:val="clear" w:color="auto" w:fill="DDE6F2"/>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Best Net’ provision</w:t>
            </w:r>
          </w:p>
        </w:tc>
        <w:tc>
          <w:tcPr>
            <w:tcW w:w="4060" w:type="dxa"/>
            <w:vAlign w:val="bottom"/>
            <w:vMerge w:val="continue"/>
            <w:shd w:val="clear" w:color="auto" w:fill="DDE6F2"/>
          </w:tcPr>
          <w:p>
            <w:pPr>
              <w:spacing w:after="0"/>
              <w:rPr>
                <w:sz w:val="8"/>
                <w:szCs w:val="8"/>
                <w:color w:val="auto"/>
              </w:rPr>
            </w:pPr>
          </w:p>
        </w:tc>
        <w:tc>
          <w:tcPr>
            <w:tcW w:w="3980" w:type="dxa"/>
            <w:vAlign w:val="bottom"/>
            <w:tcBorders>
              <w:right w:val="single" w:sz="8" w:color="auto"/>
            </w:tcBorders>
            <w:vMerge w:val="restart"/>
            <w:shd w:val="clear" w:color="auto" w:fill="DDE6F2"/>
          </w:tcPr>
          <w:p>
            <w:pPr>
              <w:jc w:val="center"/>
              <w:spacing w:after="0"/>
              <w:rPr>
                <w:sz w:val="20"/>
                <w:szCs w:val="20"/>
                <w:color w:val="auto"/>
              </w:rPr>
            </w:pPr>
            <w:r>
              <w:rPr>
                <w:rFonts w:ascii="Arial" w:cs="Arial" w:eastAsia="Arial" w:hAnsi="Arial"/>
                <w:sz w:val="16"/>
                <w:szCs w:val="16"/>
                <w:color w:val="auto"/>
              </w:rPr>
              <w:t>benefit capped at the safe harbor amount or their</w:t>
            </w:r>
          </w:p>
        </w:tc>
        <w:tc>
          <w:tcPr>
            <w:tcW w:w="0" w:type="dxa"/>
            <w:vAlign w:val="bottom"/>
          </w:tcPr>
          <w:p>
            <w:pPr>
              <w:spacing w:after="0"/>
              <w:rPr>
                <w:sz w:val="1"/>
                <w:szCs w:val="1"/>
                <w:color w:val="auto"/>
              </w:rPr>
            </w:pPr>
          </w:p>
        </w:tc>
      </w:tr>
      <w:tr>
        <w:trPr>
          <w:trHeight w:val="95"/>
        </w:trPr>
        <w:tc>
          <w:tcPr>
            <w:tcW w:w="3400" w:type="dxa"/>
            <w:vAlign w:val="bottom"/>
            <w:tcBorders>
              <w:left w:val="single" w:sz="8" w:color="auto"/>
            </w:tcBorders>
            <w:vMerge w:val="continue"/>
            <w:shd w:val="clear" w:color="auto" w:fill="DDE6F2"/>
          </w:tcPr>
          <w:p>
            <w:pPr>
              <w:spacing w:after="0"/>
              <w:rPr>
                <w:sz w:val="8"/>
                <w:szCs w:val="8"/>
                <w:color w:val="auto"/>
              </w:rPr>
            </w:pPr>
          </w:p>
        </w:tc>
        <w:tc>
          <w:tcPr>
            <w:tcW w:w="4060" w:type="dxa"/>
            <w:vAlign w:val="bottom"/>
            <w:vMerge w:val="restart"/>
            <w:shd w:val="clear" w:color="auto" w:fill="DDE6F2"/>
          </w:tcPr>
          <w:p>
            <w:pPr>
              <w:jc w:val="center"/>
              <w:spacing w:after="0"/>
              <w:rPr>
                <w:sz w:val="20"/>
                <w:szCs w:val="20"/>
                <w:color w:val="auto"/>
              </w:rPr>
            </w:pPr>
            <w:r>
              <w:rPr>
                <w:rFonts w:ascii="Arial" w:cs="Arial" w:eastAsia="Arial" w:hAnsi="Arial"/>
                <w:sz w:val="16"/>
                <w:szCs w:val="16"/>
                <w:color w:val="auto"/>
              </w:rPr>
              <w:t>in as close a manner to the intended value of the</w:t>
            </w:r>
          </w:p>
        </w:tc>
        <w:tc>
          <w:tcPr>
            <w:tcW w:w="3980" w:type="dxa"/>
            <w:vAlign w:val="bottom"/>
            <w:tcBorders>
              <w:right w:val="single" w:sz="8" w:color="auto"/>
            </w:tcBorders>
            <w:vMerge w:val="continue"/>
            <w:shd w:val="clear" w:color="auto" w:fill="DDE6F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00" w:type="dxa"/>
            <w:vAlign w:val="bottom"/>
            <w:tcBorders>
              <w:left w:val="single" w:sz="8" w:color="auto"/>
            </w:tcBorders>
            <w:vMerge w:val="continue"/>
            <w:shd w:val="clear" w:color="auto" w:fill="DDE6F2"/>
          </w:tcPr>
          <w:p>
            <w:pPr>
              <w:spacing w:after="0"/>
              <w:rPr>
                <w:sz w:val="8"/>
                <w:szCs w:val="8"/>
                <w:color w:val="auto"/>
              </w:rPr>
            </w:pPr>
          </w:p>
        </w:tc>
        <w:tc>
          <w:tcPr>
            <w:tcW w:w="4060" w:type="dxa"/>
            <w:vAlign w:val="bottom"/>
            <w:vMerge w:val="continue"/>
            <w:shd w:val="clear" w:color="auto" w:fill="DDE6F2"/>
          </w:tcPr>
          <w:p>
            <w:pPr>
              <w:spacing w:after="0"/>
              <w:rPr>
                <w:sz w:val="8"/>
                <w:szCs w:val="8"/>
                <w:color w:val="auto"/>
              </w:rPr>
            </w:pPr>
          </w:p>
        </w:tc>
        <w:tc>
          <w:tcPr>
            <w:tcW w:w="3980" w:type="dxa"/>
            <w:vAlign w:val="bottom"/>
            <w:tcBorders>
              <w:right w:val="single" w:sz="8" w:color="auto"/>
            </w:tcBorders>
            <w:vMerge w:val="restart"/>
            <w:shd w:val="clear" w:color="auto" w:fill="DDE6F2"/>
          </w:tcPr>
          <w:p>
            <w:pPr>
              <w:jc w:val="center"/>
              <w:spacing w:after="0"/>
              <w:rPr>
                <w:sz w:val="20"/>
                <w:szCs w:val="20"/>
                <w:color w:val="auto"/>
              </w:rPr>
            </w:pPr>
            <w:r>
              <w:rPr>
                <w:rFonts w:ascii="Arial" w:cs="Arial" w:eastAsia="Arial" w:hAnsi="Arial"/>
                <w:sz w:val="16"/>
                <w:szCs w:val="16"/>
                <w:color w:val="auto"/>
              </w:rPr>
              <w:t>benefit paid in full, which would subject them to</w:t>
            </w:r>
          </w:p>
        </w:tc>
        <w:tc>
          <w:tcPr>
            <w:tcW w:w="0" w:type="dxa"/>
            <w:vAlign w:val="bottom"/>
          </w:tcPr>
          <w:p>
            <w:pPr>
              <w:spacing w:after="0"/>
              <w:rPr>
                <w:sz w:val="1"/>
                <w:szCs w:val="1"/>
                <w:color w:val="auto"/>
              </w:rPr>
            </w:pPr>
          </w:p>
        </w:tc>
      </w:tr>
      <w:tr>
        <w:trPr>
          <w:trHeight w:val="95"/>
        </w:trPr>
        <w:tc>
          <w:tcPr>
            <w:tcW w:w="3400" w:type="dxa"/>
            <w:vAlign w:val="bottom"/>
            <w:tcBorders>
              <w:left w:val="single" w:sz="8" w:color="auto"/>
            </w:tcBorders>
            <w:shd w:val="clear" w:color="auto" w:fill="DDE6F2"/>
          </w:tcPr>
          <w:p>
            <w:pPr>
              <w:spacing w:after="0"/>
              <w:rPr>
                <w:sz w:val="8"/>
                <w:szCs w:val="8"/>
                <w:color w:val="auto"/>
              </w:rPr>
            </w:pPr>
          </w:p>
        </w:tc>
        <w:tc>
          <w:tcPr>
            <w:tcW w:w="4060" w:type="dxa"/>
            <w:vAlign w:val="bottom"/>
            <w:vMerge w:val="restart"/>
            <w:shd w:val="clear" w:color="auto" w:fill="DDE6F2"/>
          </w:tcPr>
          <w:p>
            <w:pPr>
              <w:jc w:val="center"/>
              <w:spacing w:after="0"/>
              <w:rPr>
                <w:sz w:val="20"/>
                <w:szCs w:val="20"/>
                <w:color w:val="auto"/>
              </w:rPr>
            </w:pPr>
            <w:r>
              <w:rPr>
                <w:rFonts w:ascii="Arial" w:cs="Arial" w:eastAsia="Arial" w:hAnsi="Arial"/>
                <w:sz w:val="16"/>
                <w:szCs w:val="16"/>
                <w:color w:val="auto"/>
              </w:rPr>
              <w:t>benefits as possible.</w:t>
            </w:r>
          </w:p>
        </w:tc>
        <w:tc>
          <w:tcPr>
            <w:tcW w:w="3980" w:type="dxa"/>
            <w:vAlign w:val="bottom"/>
            <w:tcBorders>
              <w:right w:val="single" w:sz="8" w:color="auto"/>
            </w:tcBorders>
            <w:vMerge w:val="continue"/>
            <w:shd w:val="clear" w:color="auto" w:fill="DDE6F2"/>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400" w:type="dxa"/>
            <w:vAlign w:val="bottom"/>
            <w:tcBorders>
              <w:left w:val="single" w:sz="8" w:color="auto"/>
            </w:tcBorders>
            <w:shd w:val="clear" w:color="auto" w:fill="DDE6F2"/>
          </w:tcPr>
          <w:p>
            <w:pPr>
              <w:spacing w:after="0"/>
              <w:rPr>
                <w:sz w:val="8"/>
                <w:szCs w:val="8"/>
                <w:color w:val="auto"/>
              </w:rPr>
            </w:pPr>
          </w:p>
        </w:tc>
        <w:tc>
          <w:tcPr>
            <w:tcW w:w="4060" w:type="dxa"/>
            <w:vAlign w:val="bottom"/>
            <w:vMerge w:val="continue"/>
            <w:shd w:val="clear" w:color="auto" w:fill="DDE6F2"/>
          </w:tcPr>
          <w:p>
            <w:pPr>
              <w:spacing w:after="0"/>
              <w:rPr>
                <w:sz w:val="8"/>
                <w:szCs w:val="8"/>
                <w:color w:val="auto"/>
              </w:rPr>
            </w:pPr>
          </w:p>
        </w:tc>
        <w:tc>
          <w:tcPr>
            <w:tcW w:w="3980" w:type="dxa"/>
            <w:vAlign w:val="bottom"/>
            <w:tcBorders>
              <w:right w:val="single" w:sz="8" w:color="auto"/>
            </w:tcBorders>
            <w:vMerge w:val="restart"/>
            <w:shd w:val="clear" w:color="auto" w:fill="DDE6F2"/>
          </w:tcPr>
          <w:p>
            <w:pPr>
              <w:jc w:val="center"/>
              <w:spacing w:after="0"/>
              <w:rPr>
                <w:sz w:val="20"/>
                <w:szCs w:val="20"/>
                <w:color w:val="auto"/>
              </w:rPr>
            </w:pPr>
            <w:r>
              <w:rPr>
                <w:rFonts w:ascii="Arial" w:cs="Arial" w:eastAsia="Arial" w:hAnsi="Arial"/>
                <w:sz w:val="16"/>
                <w:szCs w:val="16"/>
                <w:color w:val="auto"/>
              </w:rPr>
              <w:t>possible excise tax payments.</w:t>
            </w:r>
          </w:p>
        </w:tc>
        <w:tc>
          <w:tcPr>
            <w:tcW w:w="0" w:type="dxa"/>
            <w:vAlign w:val="bottom"/>
          </w:tcPr>
          <w:p>
            <w:pPr>
              <w:spacing w:after="0"/>
              <w:rPr>
                <w:sz w:val="1"/>
                <w:szCs w:val="1"/>
                <w:color w:val="auto"/>
              </w:rPr>
            </w:pPr>
          </w:p>
        </w:tc>
      </w:tr>
      <w:tr>
        <w:trPr>
          <w:trHeight w:val="87"/>
        </w:trPr>
        <w:tc>
          <w:tcPr>
            <w:tcW w:w="3400" w:type="dxa"/>
            <w:vAlign w:val="bottom"/>
            <w:tcBorders>
              <w:left w:val="single" w:sz="8" w:color="auto"/>
              <w:bottom w:val="single" w:sz="8" w:color="auto"/>
            </w:tcBorders>
            <w:shd w:val="clear" w:color="auto" w:fill="DDE6F2"/>
          </w:tcPr>
          <w:p>
            <w:pPr>
              <w:spacing w:after="0"/>
              <w:rPr>
                <w:sz w:val="7"/>
                <w:szCs w:val="7"/>
                <w:color w:val="auto"/>
              </w:rPr>
            </w:pPr>
          </w:p>
        </w:tc>
        <w:tc>
          <w:tcPr>
            <w:tcW w:w="4060" w:type="dxa"/>
            <w:vAlign w:val="bottom"/>
            <w:tcBorders>
              <w:bottom w:val="single" w:sz="8" w:color="auto"/>
            </w:tcBorders>
            <w:shd w:val="clear" w:color="auto" w:fill="DDE6F2"/>
          </w:tcPr>
          <w:p>
            <w:pPr>
              <w:spacing w:after="0"/>
              <w:rPr>
                <w:sz w:val="7"/>
                <w:szCs w:val="7"/>
                <w:color w:val="auto"/>
              </w:rPr>
            </w:pPr>
          </w:p>
        </w:tc>
        <w:tc>
          <w:tcPr>
            <w:tcW w:w="3980" w:type="dxa"/>
            <w:vAlign w:val="bottom"/>
            <w:tcBorders>
              <w:bottom w:val="single" w:sz="8" w:color="auto"/>
              <w:right w:val="single" w:sz="8" w:color="auto"/>
            </w:tcBorders>
            <w:vMerge w:val="continue"/>
            <w:shd w:val="clear" w:color="auto" w:fill="DDE6F2"/>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i w:val="1"/>
          <w:iCs w:val="1"/>
          <w:color w:val="auto"/>
        </w:rPr>
        <w:t xml:space="preserve">Derivative Transactions. </w:t>
      </w:r>
      <w:r>
        <w:rPr>
          <w:rFonts w:ascii="Arial" w:cs="Arial" w:eastAsia="Arial" w:hAnsi="Arial"/>
          <w:sz w:val="16"/>
          <w:szCs w:val="16"/>
          <w:color w:val="auto"/>
        </w:rPr>
        <w:t>Our insider trading policy applies to transactions in positions or interests whose value is based on the performance or price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Because of the inherent potential for abuse, Williams prohibits officers, directors, and certain key employees from entering into short sales or using equivalent derivative securities. Williams also prohibits officers, directors and key employees from including Williams’ securities in a margin account or pledging Williams’ securities as collateral for a loan.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Mitigating Risk</w:t>
      </w:r>
    </w:p>
    <w:p>
      <w:pPr>
        <w:spacing w:after="0" w:line="232"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Although no compensation-related risk was identified as a top risk for 2014, the approach to determine if there were adverse compensation risks was similar to the process detailed in the “Corporate Governance and Board Matters — Corporate Governance — Board Oversight of Williams’ Strategic Risk Assessment” section of this proxy statement. After this thorough review and analysis, it was determined we do not have material adverse compensation-related risks. Our compensation plans are effectively designed and functioning to reward positive performance and motivate NEOs and employees to behave in a manner consistent with our stockholder interests, business strategies and objectives, ethical standards, and prudent business practices, along with our Core</w:t>
      </w:r>
    </w:p>
    <w:p>
      <w:pPr>
        <w:spacing w:after="0" w:line="130"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54</w:t>
            </w:r>
          </w:p>
        </w:tc>
      </w:tr>
    </w:tbl>
    <w:p>
      <w:pPr>
        <w:sectPr>
          <w:pgSz w:w="11900" w:h="16838" w:orient="portrait"/>
          <w:cols w:equalWidth="0" w:num="1">
            <w:col w:w="11440"/>
          </w:cols>
          <w:pgMar w:left="240" w:top="459" w:right="2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Values &amp; Beliefs which are the foundation on which we conduct business. Our Core Values &amp; Beliefs can be found on our website at www.williams.com from the Our Company tab. In fact, many elements of our executive pay program serve to mitigate excessive risk taking. For example:</w:t>
      </w:r>
    </w:p>
    <w:p>
      <w:pPr>
        <w:spacing w:after="0" w:line="207" w:lineRule="exact"/>
        <w:rPr>
          <w:sz w:val="20"/>
          <w:szCs w:val="20"/>
          <w:color w:val="auto"/>
        </w:rPr>
      </w:pPr>
    </w:p>
    <w:p>
      <w:pPr>
        <w:jc w:val="both"/>
        <w:ind w:left="780" w:hanging="326"/>
        <w:spacing w:after="0" w:line="264"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Target Pay Mix. </w:t>
      </w:r>
      <w:r>
        <w:rPr>
          <w:rFonts w:ascii="Arial" w:cs="Arial" w:eastAsia="Arial" w:hAnsi="Arial"/>
          <w:sz w:val="16"/>
          <w:szCs w:val="16"/>
          <w:color w:val="auto"/>
        </w:rPr>
        <w:t>The target pay mix weighting of long-term incentives, annual cash incentives and base pay is consistent with comparator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practices and avoids placing too much value on any one element of compensation, particularly the annual cash incentive. The mix of our pay program is intended to motivate NEOs to consider the impact of decisions on stockholders in the long, intermediate, and short terms.</w:t>
      </w:r>
    </w:p>
    <w:p>
      <w:pPr>
        <w:spacing w:after="0" w:line="203" w:lineRule="exact"/>
        <w:rPr>
          <w:rFonts w:ascii="Arial" w:cs="Arial" w:eastAsia="Arial" w:hAnsi="Arial"/>
          <w:sz w:val="16"/>
          <w:szCs w:val="16"/>
          <w:color w:val="auto"/>
        </w:rPr>
      </w:pPr>
    </w:p>
    <w:p>
      <w:pPr>
        <w:ind w:left="780" w:hanging="326"/>
        <w:spacing w:after="0" w:line="281"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Annual Cash Incentive. </w:t>
      </w:r>
      <w:r>
        <w:rPr>
          <w:rFonts w:ascii="Arial" w:cs="Arial" w:eastAsia="Arial" w:hAnsi="Arial"/>
          <w:sz w:val="16"/>
          <w:szCs w:val="16"/>
          <w:color w:val="auto"/>
        </w:rPr>
        <w:t>Our annual cash incentive program does not allow for unlimited payouts. Cash incentive payments for NEOs cannot exceed</w:t>
      </w:r>
      <w:r>
        <w:rPr>
          <w:rFonts w:ascii="Arial" w:cs="Arial" w:eastAsia="Arial" w:hAnsi="Arial"/>
          <w:sz w:val="16"/>
          <w:szCs w:val="16"/>
          <w:i w:val="1"/>
          <w:iCs w:val="1"/>
          <w:color w:val="auto"/>
        </w:rPr>
        <w:t xml:space="preserve"> </w:t>
      </w:r>
      <w:r>
        <w:rPr>
          <w:rFonts w:ascii="Arial" w:cs="Arial" w:eastAsia="Arial" w:hAnsi="Arial"/>
          <w:sz w:val="16"/>
          <w:szCs w:val="16"/>
          <w:color w:val="auto"/>
        </w:rPr>
        <w:t>250% of target levels.</w:t>
      </w:r>
    </w:p>
    <w:p>
      <w:pPr>
        <w:spacing w:after="0" w:line="190" w:lineRule="exact"/>
        <w:rPr>
          <w:rFonts w:ascii="Arial" w:cs="Arial" w:eastAsia="Arial" w:hAnsi="Arial"/>
          <w:sz w:val="16"/>
          <w:szCs w:val="16"/>
          <w:color w:val="auto"/>
        </w:rPr>
      </w:pPr>
    </w:p>
    <w:p>
      <w:pPr>
        <w:ind w:left="780" w:hanging="326"/>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Performance-based Awards.</w:t>
      </w:r>
    </w:p>
    <w:p>
      <w:pPr>
        <w:spacing w:after="0" w:line="21" w:lineRule="exact"/>
        <w:rPr>
          <w:rFonts w:ascii="Arial" w:cs="Arial" w:eastAsia="Arial" w:hAnsi="Arial"/>
          <w:sz w:val="16"/>
          <w:szCs w:val="16"/>
          <w:color w:val="auto"/>
        </w:rPr>
      </w:pPr>
    </w:p>
    <w:p>
      <w:pPr>
        <w:ind w:left="1120" w:hanging="216"/>
        <w:spacing w:after="0" w:line="246" w:lineRule="auto"/>
        <w:rPr>
          <w:rFonts w:ascii="Arial" w:cs="Arial" w:eastAsia="Arial" w:hAnsi="Arial"/>
          <w:sz w:val="16"/>
          <w:szCs w:val="16"/>
          <w:color w:val="auto"/>
        </w:rPr>
      </w:pPr>
      <w:r>
        <w:rPr>
          <w:rFonts w:ascii="Arial" w:cs="Arial" w:eastAsia="Arial" w:hAnsi="Arial"/>
          <w:sz w:val="16"/>
          <w:szCs w:val="16"/>
          <w:color w:val="auto"/>
        </w:rPr>
        <w:t>– Our annual cash incentive and long-term incentive programs include performance-based awards. The entire annual cash incentive award is measured against performance targets, while a significant portion of the long-term equity awards provided to NEOs is in the form of performance-based RSUs and stock options. Performance-based RSUs have no value unless we achieve pre-determined three-year performance target thresholds. Stock options will have no value unless the stock price increases from the date of grant.</w:t>
      </w:r>
    </w:p>
    <w:p>
      <w:pPr>
        <w:spacing w:after="0" w:line="1"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  To drive a long-term perspective, all RSU awards vest at the end of three-years rather than vesting ratably on an annual basis.</w:t>
      </w:r>
    </w:p>
    <w:p>
      <w:pPr>
        <w:spacing w:after="0" w:line="5" w:lineRule="exact"/>
        <w:rPr>
          <w:rFonts w:ascii="Arial" w:cs="Arial" w:eastAsia="Arial" w:hAnsi="Arial"/>
          <w:sz w:val="16"/>
          <w:szCs w:val="16"/>
          <w:color w:val="auto"/>
        </w:rPr>
      </w:pPr>
    </w:p>
    <w:p>
      <w:pPr>
        <w:ind w:left="1120" w:hanging="216"/>
        <w:spacing w:after="0" w:line="260" w:lineRule="auto"/>
        <w:rPr>
          <w:rFonts w:ascii="Arial" w:cs="Arial" w:eastAsia="Arial" w:hAnsi="Arial"/>
          <w:sz w:val="16"/>
          <w:szCs w:val="16"/>
          <w:color w:val="auto"/>
        </w:rPr>
      </w:pPr>
      <w:r>
        <w:rPr>
          <w:rFonts w:ascii="Arial" w:cs="Arial" w:eastAsia="Arial" w:hAnsi="Arial"/>
          <w:sz w:val="16"/>
          <w:szCs w:val="16"/>
          <w:color w:val="auto"/>
        </w:rPr>
        <w:t>– NEOs’ incentive compensation performance is measured at the enterprise level rather than on a business unit level to ensure a focus on the overall success of the Company.</w:t>
      </w:r>
    </w:p>
    <w:p>
      <w:pPr>
        <w:spacing w:after="0" w:line="206" w:lineRule="exact"/>
        <w:rPr>
          <w:rFonts w:ascii="Arial" w:cs="Arial" w:eastAsia="Arial" w:hAnsi="Arial"/>
          <w:sz w:val="16"/>
          <w:szCs w:val="16"/>
          <w:color w:val="auto"/>
        </w:rPr>
      </w:pPr>
    </w:p>
    <w:p>
      <w:pPr>
        <w:ind w:left="780" w:hanging="326"/>
        <w:spacing w:after="0" w:line="281"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Stock Ownership Guidelines. </w:t>
      </w:r>
      <w:r>
        <w:rPr>
          <w:rFonts w:ascii="Arial" w:cs="Arial" w:eastAsia="Arial" w:hAnsi="Arial"/>
          <w:sz w:val="16"/>
          <w:szCs w:val="16"/>
          <w:color w:val="auto"/>
        </w:rPr>
        <w:t>As discussed in this CD&amp;A, all NEOs, consistent with their responsibilities to stockholders, must hold an equity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Company equal to a stated multiple of their base pay.</w:t>
      </w:r>
    </w:p>
    <w:p>
      <w:pPr>
        <w:spacing w:after="0" w:line="190" w:lineRule="exact"/>
        <w:rPr>
          <w:rFonts w:ascii="Arial" w:cs="Arial" w:eastAsia="Arial" w:hAnsi="Arial"/>
          <w:sz w:val="16"/>
          <w:szCs w:val="16"/>
          <w:color w:val="auto"/>
        </w:rPr>
      </w:pPr>
    </w:p>
    <w:p>
      <w:pPr>
        <w:jc w:val="both"/>
        <w:ind w:left="780" w:hanging="326"/>
        <w:spacing w:after="0" w:line="253"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Recoupment Policy. </w:t>
      </w:r>
      <w:r>
        <w:rPr>
          <w:rFonts w:ascii="Arial" w:cs="Arial" w:eastAsia="Arial" w:hAnsi="Arial"/>
          <w:sz w:val="16"/>
          <w:szCs w:val="16"/>
          <w:color w:val="auto"/>
        </w:rPr>
        <w:t>In the event that financial results of the Company are restated due to fraud or intentional misconduct, the Board of Directors will</w:t>
      </w:r>
      <w:r>
        <w:rPr>
          <w:rFonts w:ascii="Arial" w:cs="Arial" w:eastAsia="Arial" w:hAnsi="Arial"/>
          <w:sz w:val="16"/>
          <w:szCs w:val="16"/>
          <w:i w:val="1"/>
          <w:iCs w:val="1"/>
          <w:color w:val="auto"/>
        </w:rPr>
        <w:t xml:space="preserve"> </w:t>
      </w:r>
      <w:r>
        <w:rPr>
          <w:rFonts w:ascii="Arial" w:cs="Arial" w:eastAsia="Arial" w:hAnsi="Arial"/>
          <w:sz w:val="16"/>
          <w:szCs w:val="16"/>
          <w:color w:val="auto"/>
        </w:rPr>
        <w:t>review any performance-based incentive payments, including payments under the AIP and performance-based RSUs, paid to executive officers, who are found by the Board of Directors to be personally responsible for the fraud or intentional misconduct that caused the need for the restatement and will, to the extent permitted by applicable law, seek recoupment from all executive officers of any amounts paid in excess of the amounts that would have been paid based on the restated financial results. In addition, the Company will take action to comply with Section 954 of the Dodd-Frank Wall Street Reform and Consumer Protection Act of 2010 (the “Dodd-Frank Act”) upon promulgation of final rules from the SEC.</w:t>
      </w:r>
    </w:p>
    <w:p>
      <w:pPr>
        <w:spacing w:after="0" w:line="213" w:lineRule="exact"/>
        <w:rPr>
          <w:rFonts w:ascii="Arial" w:cs="Arial" w:eastAsia="Arial" w:hAnsi="Arial"/>
          <w:sz w:val="16"/>
          <w:szCs w:val="16"/>
          <w:color w:val="auto"/>
        </w:rPr>
      </w:pPr>
    </w:p>
    <w:p>
      <w:pPr>
        <w:jc w:val="both"/>
        <w:ind w:left="780" w:hanging="326"/>
        <w:spacing w:after="0" w:line="255"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Insider Trading Policy. </w:t>
      </w:r>
      <w:r>
        <w:rPr>
          <w:rFonts w:ascii="Arial" w:cs="Arial" w:eastAsia="Arial" w:hAnsi="Arial"/>
          <w:sz w:val="16"/>
          <w:szCs w:val="16"/>
          <w:color w:val="auto"/>
        </w:rPr>
        <w:t>Our insider trading policy prohibits NEOs and directors, directly or through family members or other persons or entities, from</w:t>
      </w:r>
      <w:r>
        <w:rPr>
          <w:rFonts w:ascii="Arial" w:cs="Arial" w:eastAsia="Arial" w:hAnsi="Arial"/>
          <w:sz w:val="16"/>
          <w:szCs w:val="16"/>
          <w:i w:val="1"/>
          <w:iCs w:val="1"/>
          <w:color w:val="auto"/>
        </w:rPr>
        <w:t xml:space="preserve"> </w:t>
      </w:r>
      <w:r>
        <w:rPr>
          <w:rFonts w:ascii="Arial" w:cs="Arial" w:eastAsia="Arial" w:hAnsi="Arial"/>
          <w:sz w:val="16"/>
          <w:szCs w:val="16"/>
          <w:color w:val="auto"/>
        </w:rPr>
        <w:t>buying or selling Williams’ securities or engaging in any other action to take personal advantage of material nonpublic information. In addition, if during the course of working for the Company, the NEO or director learn of material nonpublic information about a competitor or a company with which Williams or an affiliate of Williams does or anticipates doing business with, they may not trade in that company’s securities until the information becomes public or is no longer material.</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 xml:space="preserve">Accounting and Tax Treatment. </w:t>
      </w:r>
      <w:r>
        <w:rPr>
          <w:rFonts w:ascii="Arial" w:cs="Arial" w:eastAsia="Arial" w:hAnsi="Arial"/>
          <w:sz w:val="16"/>
          <w:szCs w:val="16"/>
          <w:color w:val="auto"/>
        </w:rPr>
        <w:t>We consider the impact of accounting and tax treatment when designing all aspects of pay, but the primary driver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design is to support our business objectives. Stock options and performance-based RSUs are intended to satisfy the requirements for performance-based compensation as defined in Section 162(m) of the Internal Revenue Code and are therefore considered a tax deductible expense. Time-based RSUs do not qualify as performance-based and may not be fully deductible.</w:t>
      </w:r>
    </w:p>
    <w:p>
      <w:pPr>
        <w:spacing w:after="0" w:line="124"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55</w:t>
            </w: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205740</wp:posOffset>
            </wp:positionV>
            <wp:extent cx="184404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44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annual cash incentive program satisfies the requirements for performance-based compensation as defined in Section 162(m) of the Internal Revenue Code and is therefore a tax deductible expense. For payments under our annual cash incentive program to be considered performance-based compensation under Section 162(m), the Committee can only exercise negative discretion relative to actual performance when determining the amount to be paid. In order to ensure compliance with Section 162(m), the Committee has established a target in excess of the maximum individual payout allowed to NEOs under our annual cash incentive program. Reductions are made each year and are not a reflection of the performance of the NEOs but rather ensure flexibility with respect to paying based upon performance.</w:t>
      </w:r>
    </w:p>
    <w:p>
      <w:pPr>
        <w:spacing w:after="0" w:line="132"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56</w:t>
            </w: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222885</wp:posOffset>
            </wp:positionV>
            <wp:extent cx="5102860" cy="3086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02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Committee Report on Executive Compensation</w:t>
      </w:r>
    </w:p>
    <w:p>
      <w:pPr>
        <w:spacing w:after="0" w:line="26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have reviewed and discussed the foregoing CD&amp;A with management. Based on our review and discussions with management, we recommend to the Board of Directors that the CD&amp;A be included in this proxy statement and in our Annual Report on Form 10-K for the year ended December 31, 2014.</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By the members of the Compensation Committee of the Board of Directors as of March 4, 2015:</w:t>
      </w:r>
    </w:p>
    <w:p>
      <w:pPr>
        <w:spacing w:after="0" w:line="127"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Janice D. Stoney, Chair</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Joseph R. Cleveland</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Frank T. MacInnis</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Keith A. Meister</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Steven W. Nance</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Laura A. Sugg</w:t>
      </w:r>
    </w:p>
    <w:p>
      <w:pPr>
        <w:spacing w:after="0" w:line="29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Committee Interlocks and Insider Participation</w:t>
      </w:r>
    </w:p>
    <w:p>
      <w:pPr>
        <w:spacing w:after="0" w:line="26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During fiscal year 2014, Mesdames Stoney and Sugg, and Messrs. Cleveland, MacInnis, Mandelblatt, Meister, Nance, and Smith served on the Compensation Committee. None of these Committee members has ever been an officer or employee of the Company or any of our subsidiaries and none has an interlocking relationship requiring disclosure under applicable SEC rules.</w:t>
      </w:r>
    </w:p>
    <w:p>
      <w:pPr>
        <w:spacing w:after="0" w:line="20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Messrs. Armstrong and Chappel and Ms. Robyn L. Ewing, our Senior Vice President &amp; Chief Administrative Officer, served on the Compensation Committee of Williams Partners L.P. (formerly known as Access Midstream Partners, L.P.) until it was dissolved in December 2014. Mr. Armstrong was appointed Chief Executive Officer of the general partner of Williams Partners on December 31, 2014 and is a member of our Board. These persons received no compensation from Williams Partners.</w:t>
      </w: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Compensation and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2014 Summary Compensation Table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compensation of the NEOs earned during fiscal years 2014, 2013, and 2012.</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127"/>
        </w:trPr>
        <w:tc>
          <w:tcPr>
            <w:tcW w:w="2500" w:type="dxa"/>
            <w:vAlign w:val="bottom"/>
            <w:tcBorders>
              <w:top w:val="single" w:sz="8" w:color="auto"/>
              <w:left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54"/>
              <w:spacing w:after="0" w:line="127" w:lineRule="exact"/>
              <w:rPr>
                <w:sz w:val="20"/>
                <w:szCs w:val="20"/>
                <w:color w:val="auto"/>
              </w:rPr>
            </w:pPr>
            <w:r>
              <w:rPr>
                <w:rFonts w:ascii="Arial" w:cs="Arial" w:eastAsia="Arial" w:hAnsi="Arial"/>
                <w:sz w:val="13"/>
                <w:szCs w:val="13"/>
                <w:b w:val="1"/>
                <w:bCs w:val="1"/>
                <w:color w:val="auto"/>
              </w:rPr>
              <w:t>Change in</w:t>
            </w:r>
          </w:p>
        </w:tc>
        <w:tc>
          <w:tcPr>
            <w:tcW w:w="1060" w:type="dxa"/>
            <w:vAlign w:val="bottom"/>
            <w:tcBorders>
              <w:top w:val="single" w:sz="8" w:color="auto"/>
            </w:tcBorders>
          </w:tcPr>
          <w:p>
            <w:pPr>
              <w:spacing w:after="0"/>
              <w:rPr>
                <w:sz w:val="11"/>
                <w:szCs w:val="11"/>
                <w:color w:val="auto"/>
              </w:rPr>
            </w:pPr>
          </w:p>
        </w:tc>
        <w:tc>
          <w:tcPr>
            <w:tcW w:w="1060" w:type="dxa"/>
            <w:vAlign w:val="bottom"/>
            <w:tcBorders>
              <w:top w:val="single" w:sz="8" w:color="auto"/>
              <w:right w:val="single" w:sz="8" w:color="auto"/>
            </w:tcBorders>
          </w:tcPr>
          <w:p>
            <w:pPr>
              <w:spacing w:after="0"/>
              <w:rPr>
                <w:sz w:val="11"/>
                <w:szCs w:val="11"/>
                <w:color w:val="auto"/>
              </w:rPr>
            </w:pPr>
          </w:p>
        </w:tc>
      </w:tr>
      <w:tr>
        <w:trPr>
          <w:trHeight w:val="135"/>
        </w:trPr>
        <w:tc>
          <w:tcPr>
            <w:tcW w:w="2500" w:type="dxa"/>
            <w:vAlign w:val="bottom"/>
            <w:tcBorders>
              <w:lef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Pension Value</w:t>
            </w:r>
          </w:p>
        </w:tc>
        <w:tc>
          <w:tcPr>
            <w:tcW w:w="106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r>
      <w:tr>
        <w:trPr>
          <w:trHeight w:val="144"/>
        </w:trPr>
        <w:tc>
          <w:tcPr>
            <w:tcW w:w="2500" w:type="dxa"/>
            <w:vAlign w:val="bottom"/>
            <w:tcBorders>
              <w:lef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jc w:val="right"/>
              <w:ind w:right="52"/>
              <w:spacing w:after="0" w:line="144" w:lineRule="exact"/>
              <w:rPr>
                <w:sz w:val="20"/>
                <w:szCs w:val="20"/>
                <w:color w:val="auto"/>
              </w:rPr>
            </w:pPr>
            <w:r>
              <w:rPr>
                <w:rFonts w:ascii="Arial" w:cs="Arial" w:eastAsia="Arial" w:hAnsi="Arial"/>
                <w:sz w:val="13"/>
                <w:szCs w:val="13"/>
                <w:b w:val="1"/>
                <w:bCs w:val="1"/>
                <w:color w:val="auto"/>
              </w:rPr>
              <w:t>Non-Equity</w:t>
            </w:r>
          </w:p>
        </w:tc>
        <w:tc>
          <w:tcPr>
            <w:tcW w:w="112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&amp; Nonqualified</w:t>
            </w:r>
          </w:p>
        </w:tc>
        <w:tc>
          <w:tcPr>
            <w:tcW w:w="10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r>
      <w:tr>
        <w:trPr>
          <w:trHeight w:val="135"/>
        </w:trPr>
        <w:tc>
          <w:tcPr>
            <w:tcW w:w="2500" w:type="dxa"/>
            <w:vAlign w:val="bottom"/>
            <w:tcBorders>
              <w:lef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tcPr>
          <w:p>
            <w:pPr>
              <w:jc w:val="right"/>
              <w:ind w:right="52"/>
              <w:spacing w:after="0" w:line="135" w:lineRule="exact"/>
              <w:rPr>
                <w:sz w:val="20"/>
                <w:szCs w:val="20"/>
                <w:color w:val="auto"/>
              </w:rPr>
            </w:pPr>
            <w:r>
              <w:rPr>
                <w:rFonts w:ascii="Arial" w:cs="Arial" w:eastAsia="Arial" w:hAnsi="Arial"/>
                <w:sz w:val="13"/>
                <w:szCs w:val="13"/>
                <w:b w:val="1"/>
                <w:bCs w:val="1"/>
                <w:color w:val="auto"/>
              </w:rPr>
              <w:t>Incentive Plan</w:t>
            </w:r>
          </w:p>
        </w:tc>
        <w:tc>
          <w:tcPr>
            <w:tcW w:w="112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Deferred</w:t>
            </w:r>
          </w:p>
        </w:tc>
        <w:tc>
          <w:tcPr>
            <w:tcW w:w="10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All Other</w:t>
            </w:r>
          </w:p>
        </w:tc>
        <w:tc>
          <w:tcPr>
            <w:tcW w:w="1060" w:type="dxa"/>
            <w:vAlign w:val="bottom"/>
            <w:tcBorders>
              <w:right w:val="single" w:sz="8" w:color="auto"/>
            </w:tcBorders>
          </w:tcPr>
          <w:p>
            <w:pPr>
              <w:spacing w:after="0"/>
              <w:rPr>
                <w:sz w:val="11"/>
                <w:szCs w:val="11"/>
                <w:color w:val="auto"/>
              </w:rPr>
            </w:pPr>
          </w:p>
        </w:tc>
      </w:tr>
      <w:tr>
        <w:trPr>
          <w:trHeight w:val="135"/>
        </w:trPr>
        <w:tc>
          <w:tcPr>
            <w:tcW w:w="2500" w:type="dxa"/>
            <w:vAlign w:val="bottom"/>
            <w:tcBorders>
              <w:left w:val="single" w:sz="8" w:color="auto"/>
            </w:tcBorders>
          </w:tcPr>
          <w:p>
            <w:pPr>
              <w:ind w:left="160"/>
              <w:spacing w:after="0" w:line="135" w:lineRule="exact"/>
              <w:rPr>
                <w:sz w:val="20"/>
                <w:szCs w:val="20"/>
                <w:color w:val="auto"/>
              </w:rPr>
            </w:pPr>
            <w:r>
              <w:rPr>
                <w:rFonts w:ascii="Arial" w:cs="Arial" w:eastAsia="Arial" w:hAnsi="Arial"/>
                <w:sz w:val="13"/>
                <w:szCs w:val="13"/>
                <w:b w:val="1"/>
                <w:bCs w:val="1"/>
                <w:color w:val="auto"/>
              </w:rPr>
              <w:t>Name and Principal</w:t>
            </w: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jc w:val="right"/>
              <w:ind w:right="53"/>
              <w:spacing w:after="0" w:line="135" w:lineRule="exact"/>
              <w:rPr>
                <w:sz w:val="20"/>
                <w:szCs w:val="20"/>
                <w:color w:val="auto"/>
              </w:rPr>
            </w:pPr>
            <w:r>
              <w:rPr>
                <w:rFonts w:ascii="Arial" w:cs="Arial" w:eastAsia="Arial" w:hAnsi="Arial"/>
                <w:sz w:val="13"/>
                <w:szCs w:val="13"/>
                <w:b w:val="1"/>
                <w:bCs w:val="1"/>
                <w:color w:val="auto"/>
              </w:rPr>
              <w:t>Stock Awards</w:t>
            </w:r>
          </w:p>
        </w:tc>
        <w:tc>
          <w:tcPr>
            <w:tcW w:w="1180" w:type="dxa"/>
            <w:vAlign w:val="bottom"/>
          </w:tcPr>
          <w:p>
            <w:pPr>
              <w:jc w:val="right"/>
              <w:ind w:right="113"/>
              <w:spacing w:after="0" w:line="135" w:lineRule="exact"/>
              <w:rPr>
                <w:sz w:val="20"/>
                <w:szCs w:val="20"/>
                <w:color w:val="auto"/>
              </w:rPr>
            </w:pPr>
            <w:r>
              <w:rPr>
                <w:rFonts w:ascii="Arial" w:cs="Arial" w:eastAsia="Arial" w:hAnsi="Arial"/>
                <w:sz w:val="13"/>
                <w:szCs w:val="13"/>
                <w:b w:val="1"/>
                <w:bCs w:val="1"/>
                <w:color w:val="auto"/>
              </w:rPr>
              <w:t>Option Awards</w:t>
            </w:r>
          </w:p>
        </w:tc>
        <w:tc>
          <w:tcPr>
            <w:tcW w:w="1040" w:type="dxa"/>
            <w:vAlign w:val="bottom"/>
          </w:tcPr>
          <w:p>
            <w:pPr>
              <w:jc w:val="right"/>
              <w:ind w:right="52"/>
              <w:spacing w:after="0" w:line="135" w:lineRule="exact"/>
              <w:rPr>
                <w:sz w:val="20"/>
                <w:szCs w:val="20"/>
                <w:color w:val="auto"/>
              </w:rPr>
            </w:pPr>
            <w:r>
              <w:rPr>
                <w:rFonts w:ascii="Arial" w:cs="Arial" w:eastAsia="Arial" w:hAnsi="Arial"/>
                <w:sz w:val="13"/>
                <w:szCs w:val="13"/>
                <w:b w:val="1"/>
                <w:bCs w:val="1"/>
                <w:color w:val="auto"/>
                <w:w w:val="99"/>
              </w:rPr>
              <w:t>Compensation</w:t>
            </w:r>
          </w:p>
        </w:tc>
        <w:tc>
          <w:tcPr>
            <w:tcW w:w="112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Compensation</w:t>
            </w:r>
          </w:p>
        </w:tc>
        <w:tc>
          <w:tcPr>
            <w:tcW w:w="10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Compensation</w:t>
            </w:r>
          </w:p>
        </w:tc>
        <w:tc>
          <w:tcPr>
            <w:tcW w:w="1060" w:type="dxa"/>
            <w:vAlign w:val="bottom"/>
            <w:tcBorders>
              <w:right w:val="single" w:sz="8" w:color="auto"/>
            </w:tcBorders>
          </w:tcPr>
          <w:p>
            <w:pPr>
              <w:spacing w:after="0"/>
              <w:rPr>
                <w:sz w:val="11"/>
                <w:szCs w:val="11"/>
                <w:color w:val="auto"/>
              </w:rPr>
            </w:pPr>
          </w:p>
        </w:tc>
      </w:tr>
      <w:tr>
        <w:trPr>
          <w:trHeight w:val="162"/>
        </w:trPr>
        <w:tc>
          <w:tcPr>
            <w:tcW w:w="25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3"/>
                <w:szCs w:val="13"/>
                <w:b w:val="1"/>
                <w:bCs w:val="1"/>
                <w:color w:val="auto"/>
              </w:rPr>
              <w:t>Position</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Year</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Salary</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Bonus (1)</w:t>
            </w: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w:t>
            </w: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(3)</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(4)</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Earnings (5)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w:t>
            </w:r>
          </w:p>
        </w:tc>
        <w:tc>
          <w:tcPr>
            <w:tcW w:w="106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Total</w:t>
            </w:r>
          </w:p>
        </w:tc>
      </w:tr>
      <w:tr>
        <w:trPr>
          <w:trHeight w:val="141"/>
        </w:trPr>
        <w:tc>
          <w:tcPr>
            <w:tcW w:w="2500" w:type="dxa"/>
            <w:vAlign w:val="bottom"/>
            <w:tcBorders>
              <w:left w:val="single" w:sz="8" w:color="auto"/>
            </w:tcBorders>
          </w:tcPr>
          <w:p>
            <w:pPr>
              <w:ind w:left="160"/>
              <w:spacing w:after="0" w:line="141" w:lineRule="exact"/>
              <w:rPr>
                <w:sz w:val="20"/>
                <w:szCs w:val="20"/>
                <w:color w:val="auto"/>
              </w:rPr>
            </w:pPr>
            <w:r>
              <w:rPr>
                <w:rFonts w:ascii="Arial" w:cs="Arial" w:eastAsia="Arial" w:hAnsi="Arial"/>
                <w:sz w:val="14"/>
                <w:szCs w:val="14"/>
                <w:color w:val="auto"/>
              </w:rPr>
              <w:t>Alan S. Armstrong</w:t>
            </w:r>
          </w:p>
        </w:tc>
        <w:tc>
          <w:tcPr>
            <w:tcW w:w="640" w:type="dxa"/>
            <w:vAlign w:val="bottom"/>
            <w:shd w:val="clear" w:color="auto" w:fill="DDE6F2"/>
          </w:tcPr>
          <w:p>
            <w:pPr>
              <w:ind w:left="200"/>
              <w:spacing w:after="0" w:line="141" w:lineRule="exact"/>
              <w:rPr>
                <w:sz w:val="20"/>
                <w:szCs w:val="20"/>
                <w:color w:val="auto"/>
              </w:rPr>
            </w:pPr>
            <w:r>
              <w:rPr>
                <w:rFonts w:ascii="Arial" w:cs="Arial" w:eastAsia="Arial" w:hAnsi="Arial"/>
                <w:sz w:val="14"/>
                <w:szCs w:val="14"/>
                <w:color w:val="auto"/>
              </w:rPr>
              <w:t>2014</w:t>
            </w:r>
          </w:p>
        </w:tc>
        <w:tc>
          <w:tcPr>
            <w:tcW w:w="940" w:type="dxa"/>
            <w:vAlign w:val="bottom"/>
            <w:shd w:val="clear" w:color="auto" w:fill="DDE6F2"/>
          </w:tcPr>
          <w:p>
            <w:pPr>
              <w:jc w:val="right"/>
              <w:ind w:right="52"/>
              <w:spacing w:after="0" w:line="141" w:lineRule="exact"/>
              <w:rPr>
                <w:sz w:val="20"/>
                <w:szCs w:val="20"/>
                <w:color w:val="auto"/>
              </w:rPr>
            </w:pPr>
            <w:r>
              <w:rPr>
                <w:rFonts w:ascii="Arial" w:cs="Arial" w:eastAsia="Arial" w:hAnsi="Arial"/>
                <w:sz w:val="14"/>
                <w:szCs w:val="14"/>
                <w:color w:val="auto"/>
              </w:rPr>
              <w:t>$1,072,308</w:t>
            </w:r>
          </w:p>
        </w:tc>
        <w:tc>
          <w:tcPr>
            <w:tcW w:w="820" w:type="dxa"/>
            <w:vAlign w:val="bottom"/>
            <w:shd w:val="clear" w:color="auto" w:fill="DDE6F2"/>
          </w:tcPr>
          <w:p>
            <w:pPr>
              <w:jc w:val="right"/>
              <w:ind w:right="53"/>
              <w:spacing w:after="0" w:line="141" w:lineRule="exact"/>
              <w:rPr>
                <w:sz w:val="20"/>
                <w:szCs w:val="20"/>
                <w:color w:val="auto"/>
              </w:rPr>
            </w:pPr>
            <w:r>
              <w:rPr>
                <w:rFonts w:ascii="Arial" w:cs="Arial" w:eastAsia="Arial" w:hAnsi="Arial"/>
                <w:sz w:val="14"/>
                <w:szCs w:val="14"/>
                <w:color w:val="auto"/>
              </w:rPr>
              <w:t>$-</w:t>
            </w:r>
          </w:p>
        </w:tc>
        <w:tc>
          <w:tcPr>
            <w:tcW w:w="1080" w:type="dxa"/>
            <w:vAlign w:val="bottom"/>
            <w:shd w:val="clear" w:color="auto" w:fill="DDE6F2"/>
          </w:tcPr>
          <w:p>
            <w:pPr>
              <w:jc w:val="right"/>
              <w:ind w:right="53"/>
              <w:spacing w:after="0" w:line="141" w:lineRule="exact"/>
              <w:rPr>
                <w:sz w:val="20"/>
                <w:szCs w:val="20"/>
                <w:color w:val="auto"/>
              </w:rPr>
            </w:pPr>
            <w:r>
              <w:rPr>
                <w:rFonts w:ascii="Arial" w:cs="Arial" w:eastAsia="Arial" w:hAnsi="Arial"/>
                <w:sz w:val="14"/>
                <w:szCs w:val="14"/>
                <w:color w:val="auto"/>
              </w:rPr>
              <w:t>$7,243,983</w:t>
            </w:r>
          </w:p>
        </w:tc>
        <w:tc>
          <w:tcPr>
            <w:tcW w:w="1180" w:type="dxa"/>
            <w:vAlign w:val="bottom"/>
            <w:shd w:val="clear" w:color="auto" w:fill="DDE6F2"/>
          </w:tcPr>
          <w:p>
            <w:pPr>
              <w:jc w:val="right"/>
              <w:ind w:right="113"/>
              <w:spacing w:after="0" w:line="141" w:lineRule="exact"/>
              <w:rPr>
                <w:sz w:val="20"/>
                <w:szCs w:val="20"/>
                <w:color w:val="auto"/>
              </w:rPr>
            </w:pPr>
            <w:r>
              <w:rPr>
                <w:rFonts w:ascii="Arial" w:cs="Arial" w:eastAsia="Arial" w:hAnsi="Arial"/>
                <w:sz w:val="14"/>
                <w:szCs w:val="14"/>
                <w:color w:val="auto"/>
              </w:rPr>
              <w:t>$998,100</w:t>
            </w:r>
          </w:p>
        </w:tc>
        <w:tc>
          <w:tcPr>
            <w:tcW w:w="1040" w:type="dxa"/>
            <w:vAlign w:val="bottom"/>
            <w:shd w:val="clear" w:color="auto" w:fill="DDE6F2"/>
          </w:tcPr>
          <w:p>
            <w:pPr>
              <w:jc w:val="right"/>
              <w:ind w:right="52"/>
              <w:spacing w:after="0" w:line="141" w:lineRule="exact"/>
              <w:rPr>
                <w:sz w:val="20"/>
                <w:szCs w:val="20"/>
                <w:color w:val="auto"/>
              </w:rPr>
            </w:pPr>
            <w:r>
              <w:rPr>
                <w:rFonts w:ascii="Arial" w:cs="Arial" w:eastAsia="Arial" w:hAnsi="Arial"/>
                <w:sz w:val="14"/>
                <w:szCs w:val="14"/>
                <w:color w:val="auto"/>
              </w:rPr>
              <w:t>$652,455</w:t>
            </w:r>
          </w:p>
        </w:tc>
        <w:tc>
          <w:tcPr>
            <w:tcW w:w="1120" w:type="dxa"/>
            <w:vAlign w:val="bottom"/>
            <w:shd w:val="clear" w:color="auto" w:fill="DDE6F2"/>
          </w:tcPr>
          <w:p>
            <w:pPr>
              <w:jc w:val="right"/>
              <w:ind w:right="54"/>
              <w:spacing w:after="0" w:line="141" w:lineRule="exact"/>
              <w:rPr>
                <w:sz w:val="20"/>
                <w:szCs w:val="20"/>
                <w:color w:val="auto"/>
              </w:rPr>
            </w:pPr>
            <w:r>
              <w:rPr>
                <w:rFonts w:ascii="Arial" w:cs="Arial" w:eastAsia="Arial" w:hAnsi="Arial"/>
                <w:sz w:val="14"/>
                <w:szCs w:val="14"/>
                <w:color w:val="auto"/>
              </w:rPr>
              <w:t>$1,597,293</w:t>
            </w:r>
          </w:p>
        </w:tc>
        <w:tc>
          <w:tcPr>
            <w:tcW w:w="1060" w:type="dxa"/>
            <w:vAlign w:val="bottom"/>
            <w:shd w:val="clear" w:color="auto" w:fill="DDE6F2"/>
          </w:tcPr>
          <w:p>
            <w:pPr>
              <w:jc w:val="right"/>
              <w:spacing w:after="0" w:line="141" w:lineRule="exact"/>
              <w:rPr>
                <w:sz w:val="20"/>
                <w:szCs w:val="20"/>
                <w:color w:val="auto"/>
              </w:rPr>
            </w:pPr>
            <w:r>
              <w:rPr>
                <w:rFonts w:ascii="Arial" w:cs="Arial" w:eastAsia="Arial" w:hAnsi="Arial"/>
                <w:sz w:val="14"/>
                <w:szCs w:val="14"/>
                <w:color w:val="auto"/>
              </w:rPr>
              <w:t>$40,476</w:t>
            </w:r>
          </w:p>
        </w:tc>
        <w:tc>
          <w:tcPr>
            <w:tcW w:w="1060" w:type="dxa"/>
            <w:vAlign w:val="bottom"/>
            <w:tcBorders>
              <w:right w:val="single" w:sz="8" w:color="auto"/>
            </w:tcBorders>
            <w:shd w:val="clear" w:color="auto" w:fill="DDE6F2"/>
          </w:tcPr>
          <w:p>
            <w:pPr>
              <w:jc w:val="right"/>
              <w:ind w:right="173"/>
              <w:spacing w:after="0" w:line="141" w:lineRule="exact"/>
              <w:rPr>
                <w:sz w:val="20"/>
                <w:szCs w:val="20"/>
                <w:color w:val="auto"/>
              </w:rPr>
            </w:pPr>
            <w:r>
              <w:rPr>
                <w:rFonts w:ascii="Arial" w:cs="Arial" w:eastAsia="Arial" w:hAnsi="Arial"/>
                <w:sz w:val="14"/>
                <w:szCs w:val="14"/>
                <w:color w:val="auto"/>
              </w:rPr>
              <w:t>$11,604,615</w:t>
            </w:r>
          </w:p>
        </w:tc>
      </w:tr>
      <w:tr>
        <w:trPr>
          <w:trHeight w:val="149"/>
        </w:trPr>
        <w:tc>
          <w:tcPr>
            <w:tcW w:w="2500" w:type="dxa"/>
            <w:vAlign w:val="bottom"/>
            <w:tcBorders>
              <w:left w:val="single" w:sz="8" w:color="auto"/>
            </w:tcBorders>
          </w:tcPr>
          <w:p>
            <w:pPr>
              <w:ind w:left="160"/>
              <w:spacing w:after="0" w:line="149" w:lineRule="exact"/>
              <w:rPr>
                <w:sz w:val="20"/>
                <w:szCs w:val="20"/>
                <w:color w:val="auto"/>
              </w:rPr>
            </w:pPr>
            <w:r>
              <w:rPr>
                <w:rFonts w:ascii="Arial" w:cs="Arial" w:eastAsia="Arial" w:hAnsi="Arial"/>
                <w:sz w:val="14"/>
                <w:szCs w:val="14"/>
                <w:color w:val="auto"/>
              </w:rPr>
              <w:t>President &amp; Chief</w:t>
            </w:r>
          </w:p>
        </w:tc>
        <w:tc>
          <w:tcPr>
            <w:tcW w:w="640" w:type="dxa"/>
            <w:vAlign w:val="bottom"/>
            <w:shd w:val="clear" w:color="auto" w:fill="DDE6F2"/>
          </w:tcPr>
          <w:p>
            <w:pPr>
              <w:ind w:left="200"/>
              <w:spacing w:after="0" w:line="149" w:lineRule="exact"/>
              <w:rPr>
                <w:sz w:val="20"/>
                <w:szCs w:val="20"/>
                <w:color w:val="auto"/>
              </w:rPr>
            </w:pPr>
            <w:r>
              <w:rPr>
                <w:rFonts w:ascii="Arial" w:cs="Arial" w:eastAsia="Arial" w:hAnsi="Arial"/>
                <w:sz w:val="14"/>
                <w:szCs w:val="14"/>
                <w:color w:val="auto"/>
              </w:rPr>
              <w:t>2013</w:t>
            </w:r>
          </w:p>
        </w:tc>
        <w:tc>
          <w:tcPr>
            <w:tcW w:w="940" w:type="dxa"/>
            <w:vAlign w:val="bottom"/>
            <w:shd w:val="clear" w:color="auto" w:fill="DDE6F2"/>
          </w:tcPr>
          <w:p>
            <w:pPr>
              <w:jc w:val="right"/>
              <w:ind w:right="52"/>
              <w:spacing w:after="0" w:line="149" w:lineRule="exact"/>
              <w:rPr>
                <w:sz w:val="20"/>
                <w:szCs w:val="20"/>
                <w:color w:val="auto"/>
              </w:rPr>
            </w:pPr>
            <w:r>
              <w:rPr>
                <w:rFonts w:ascii="Arial" w:cs="Arial" w:eastAsia="Arial" w:hAnsi="Arial"/>
                <w:sz w:val="14"/>
                <w:szCs w:val="14"/>
                <w:color w:val="auto"/>
              </w:rPr>
              <w:t>1,025,385</w:t>
            </w:r>
          </w:p>
        </w:tc>
        <w:tc>
          <w:tcPr>
            <w:tcW w:w="820" w:type="dxa"/>
            <w:vAlign w:val="bottom"/>
            <w:shd w:val="clear" w:color="auto" w:fill="DDE6F2"/>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DDE6F2"/>
          </w:tcPr>
          <w:p>
            <w:pPr>
              <w:jc w:val="right"/>
              <w:ind w:right="53"/>
              <w:spacing w:after="0" w:line="149" w:lineRule="exact"/>
              <w:rPr>
                <w:sz w:val="20"/>
                <w:szCs w:val="20"/>
                <w:color w:val="auto"/>
              </w:rPr>
            </w:pPr>
            <w:r>
              <w:rPr>
                <w:rFonts w:ascii="Arial" w:cs="Arial" w:eastAsia="Arial" w:hAnsi="Arial"/>
                <w:sz w:val="14"/>
                <w:szCs w:val="14"/>
                <w:color w:val="auto"/>
              </w:rPr>
              <w:t>3,239,986</w:t>
            </w:r>
          </w:p>
        </w:tc>
        <w:tc>
          <w:tcPr>
            <w:tcW w:w="1180" w:type="dxa"/>
            <w:vAlign w:val="bottom"/>
            <w:shd w:val="clear" w:color="auto" w:fill="DDE6F2"/>
          </w:tcPr>
          <w:p>
            <w:pPr>
              <w:jc w:val="right"/>
              <w:ind w:right="113"/>
              <w:spacing w:after="0" w:line="149" w:lineRule="exact"/>
              <w:rPr>
                <w:sz w:val="20"/>
                <w:szCs w:val="20"/>
                <w:color w:val="auto"/>
              </w:rPr>
            </w:pPr>
            <w:r>
              <w:rPr>
                <w:rFonts w:ascii="Arial" w:cs="Arial" w:eastAsia="Arial" w:hAnsi="Arial"/>
                <w:sz w:val="14"/>
                <w:szCs w:val="14"/>
                <w:color w:val="auto"/>
              </w:rPr>
              <w:t>833,629</w:t>
            </w:r>
          </w:p>
        </w:tc>
        <w:tc>
          <w:tcPr>
            <w:tcW w:w="1040" w:type="dxa"/>
            <w:vAlign w:val="bottom"/>
            <w:shd w:val="clear" w:color="auto" w:fill="DDE6F2"/>
          </w:tcPr>
          <w:p>
            <w:pPr>
              <w:jc w:val="right"/>
              <w:ind w:right="52"/>
              <w:spacing w:after="0" w:line="149" w:lineRule="exact"/>
              <w:rPr>
                <w:sz w:val="20"/>
                <w:szCs w:val="20"/>
                <w:color w:val="auto"/>
              </w:rPr>
            </w:pPr>
            <w:r>
              <w:rPr>
                <w:rFonts w:ascii="Arial" w:cs="Arial" w:eastAsia="Arial" w:hAnsi="Arial"/>
                <w:sz w:val="14"/>
                <w:szCs w:val="14"/>
                <w:color w:val="auto"/>
              </w:rPr>
              <w:t>1,042,875</w:t>
            </w:r>
          </w:p>
        </w:tc>
        <w:tc>
          <w:tcPr>
            <w:tcW w:w="1120" w:type="dxa"/>
            <w:vAlign w:val="bottom"/>
            <w:shd w:val="clear" w:color="auto" w:fill="DDE6F2"/>
          </w:tcPr>
          <w:p>
            <w:pPr>
              <w:jc w:val="right"/>
              <w:ind w:right="54"/>
              <w:spacing w:after="0" w:line="149" w:lineRule="exact"/>
              <w:rPr>
                <w:sz w:val="20"/>
                <w:szCs w:val="20"/>
                <w:color w:val="auto"/>
              </w:rPr>
            </w:pPr>
            <w:r>
              <w:rPr>
                <w:rFonts w:ascii="Arial" w:cs="Arial" w:eastAsia="Arial" w:hAnsi="Arial"/>
                <w:sz w:val="14"/>
                <w:szCs w:val="14"/>
                <w:color w:val="auto"/>
              </w:rPr>
              <w:t>(444,854)</w:t>
            </w:r>
          </w:p>
        </w:tc>
        <w:tc>
          <w:tcPr>
            <w:tcW w:w="1060" w:type="dxa"/>
            <w:vAlign w:val="bottom"/>
            <w:shd w:val="clear" w:color="auto" w:fill="DDE6F2"/>
          </w:tcPr>
          <w:p>
            <w:pPr>
              <w:jc w:val="right"/>
              <w:spacing w:after="0" w:line="149" w:lineRule="exact"/>
              <w:rPr>
                <w:sz w:val="20"/>
                <w:szCs w:val="20"/>
                <w:color w:val="auto"/>
              </w:rPr>
            </w:pPr>
            <w:r>
              <w:rPr>
                <w:rFonts w:ascii="Arial" w:cs="Arial" w:eastAsia="Arial" w:hAnsi="Arial"/>
                <w:sz w:val="14"/>
                <w:szCs w:val="14"/>
                <w:color w:val="auto"/>
              </w:rPr>
              <w:t>27,402</w:t>
            </w:r>
          </w:p>
        </w:tc>
        <w:tc>
          <w:tcPr>
            <w:tcW w:w="1060" w:type="dxa"/>
            <w:vAlign w:val="bottom"/>
            <w:tcBorders>
              <w:right w:val="single" w:sz="8" w:color="auto"/>
            </w:tcBorders>
            <w:shd w:val="clear" w:color="auto" w:fill="DDE6F2"/>
          </w:tcPr>
          <w:p>
            <w:pPr>
              <w:jc w:val="right"/>
              <w:ind w:right="173"/>
              <w:spacing w:after="0" w:line="149" w:lineRule="exact"/>
              <w:rPr>
                <w:sz w:val="20"/>
                <w:szCs w:val="20"/>
                <w:color w:val="auto"/>
              </w:rPr>
            </w:pPr>
            <w:r>
              <w:rPr>
                <w:rFonts w:ascii="Arial" w:cs="Arial" w:eastAsia="Arial" w:hAnsi="Arial"/>
                <w:sz w:val="14"/>
                <w:szCs w:val="14"/>
                <w:color w:val="auto"/>
              </w:rPr>
              <w:t>5,724,423</w:t>
            </w:r>
          </w:p>
        </w:tc>
      </w:tr>
      <w:tr>
        <w:trPr>
          <w:trHeight w:val="149"/>
        </w:trPr>
        <w:tc>
          <w:tcPr>
            <w:tcW w:w="2500" w:type="dxa"/>
            <w:vAlign w:val="bottom"/>
            <w:tcBorders>
              <w:left w:val="single" w:sz="8" w:color="auto"/>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Executive Officer</w:t>
            </w:r>
          </w:p>
        </w:tc>
        <w:tc>
          <w:tcPr>
            <w:tcW w:w="640" w:type="dxa"/>
            <w:vAlign w:val="bottom"/>
            <w:tcBorders>
              <w:bottom w:val="single" w:sz="8" w:color="auto"/>
            </w:tcBorders>
            <w:shd w:val="clear" w:color="auto" w:fill="DDE6F2"/>
          </w:tcPr>
          <w:p>
            <w:pPr>
              <w:ind w:left="200"/>
              <w:spacing w:after="0" w:line="149" w:lineRule="exact"/>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tcBorders>
            <w:shd w:val="clear" w:color="auto" w:fill="DDE6F2"/>
          </w:tcPr>
          <w:p>
            <w:pPr>
              <w:jc w:val="right"/>
              <w:ind w:right="52"/>
              <w:spacing w:after="0" w:line="149" w:lineRule="exact"/>
              <w:rPr>
                <w:sz w:val="20"/>
                <w:szCs w:val="20"/>
                <w:color w:val="auto"/>
              </w:rPr>
            </w:pPr>
            <w:r>
              <w:rPr>
                <w:rFonts w:ascii="Arial" w:cs="Arial" w:eastAsia="Arial" w:hAnsi="Arial"/>
                <w:sz w:val="14"/>
                <w:szCs w:val="14"/>
                <w:color w:val="auto"/>
              </w:rPr>
              <w:t>984,615</w:t>
            </w:r>
          </w:p>
        </w:tc>
        <w:tc>
          <w:tcPr>
            <w:tcW w:w="820" w:type="dxa"/>
            <w:vAlign w:val="bottom"/>
            <w:tcBorders>
              <w:bottom w:val="single" w:sz="8" w:color="auto"/>
            </w:tcBorders>
            <w:shd w:val="clear" w:color="auto" w:fill="DDE6F2"/>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DE6F2"/>
          </w:tcPr>
          <w:p>
            <w:pPr>
              <w:jc w:val="right"/>
              <w:ind w:right="53"/>
              <w:spacing w:after="0" w:line="149" w:lineRule="exact"/>
              <w:rPr>
                <w:sz w:val="20"/>
                <w:szCs w:val="20"/>
                <w:color w:val="auto"/>
              </w:rPr>
            </w:pPr>
            <w:r>
              <w:rPr>
                <w:rFonts w:ascii="Arial" w:cs="Arial" w:eastAsia="Arial" w:hAnsi="Arial"/>
                <w:sz w:val="14"/>
                <w:szCs w:val="14"/>
                <w:color w:val="auto"/>
              </w:rPr>
              <w:t>2,945,591</w:t>
            </w:r>
          </w:p>
        </w:tc>
        <w:tc>
          <w:tcPr>
            <w:tcW w:w="1180" w:type="dxa"/>
            <w:vAlign w:val="bottom"/>
            <w:tcBorders>
              <w:bottom w:val="single" w:sz="8" w:color="auto"/>
            </w:tcBorders>
            <w:shd w:val="clear" w:color="auto" w:fill="DDE6F2"/>
          </w:tcPr>
          <w:p>
            <w:pPr>
              <w:jc w:val="right"/>
              <w:ind w:right="113"/>
              <w:spacing w:after="0" w:line="149" w:lineRule="exact"/>
              <w:rPr>
                <w:sz w:val="20"/>
                <w:szCs w:val="20"/>
                <w:color w:val="auto"/>
              </w:rPr>
            </w:pPr>
            <w:r>
              <w:rPr>
                <w:rFonts w:ascii="Arial" w:cs="Arial" w:eastAsia="Arial" w:hAnsi="Arial"/>
                <w:sz w:val="14"/>
                <w:szCs w:val="14"/>
                <w:color w:val="auto"/>
              </w:rPr>
              <w:t>902,198</w:t>
            </w:r>
          </w:p>
        </w:tc>
        <w:tc>
          <w:tcPr>
            <w:tcW w:w="1040" w:type="dxa"/>
            <w:vAlign w:val="bottom"/>
            <w:tcBorders>
              <w:bottom w:val="single" w:sz="8" w:color="auto"/>
            </w:tcBorders>
            <w:shd w:val="clear" w:color="auto" w:fill="DDE6F2"/>
          </w:tcPr>
          <w:p>
            <w:pPr>
              <w:jc w:val="right"/>
              <w:ind w:right="52"/>
              <w:spacing w:after="0" w:line="149" w:lineRule="exact"/>
              <w:rPr>
                <w:sz w:val="20"/>
                <w:szCs w:val="20"/>
                <w:color w:val="auto"/>
              </w:rPr>
            </w:pPr>
            <w:r>
              <w:rPr>
                <w:rFonts w:ascii="Arial" w:cs="Arial" w:eastAsia="Arial" w:hAnsi="Arial"/>
                <w:sz w:val="14"/>
                <w:szCs w:val="14"/>
                <w:color w:val="auto"/>
              </w:rPr>
              <w:t>1,154,000</w:t>
            </w:r>
          </w:p>
        </w:tc>
        <w:tc>
          <w:tcPr>
            <w:tcW w:w="1120" w:type="dxa"/>
            <w:vAlign w:val="bottom"/>
            <w:tcBorders>
              <w:bottom w:val="single" w:sz="8" w:color="auto"/>
            </w:tcBorders>
            <w:shd w:val="clear" w:color="auto" w:fill="DDE6F2"/>
          </w:tcPr>
          <w:p>
            <w:pPr>
              <w:jc w:val="right"/>
              <w:ind w:right="54"/>
              <w:spacing w:after="0" w:line="149" w:lineRule="exact"/>
              <w:rPr>
                <w:sz w:val="20"/>
                <w:szCs w:val="20"/>
                <w:color w:val="auto"/>
              </w:rPr>
            </w:pPr>
            <w:r>
              <w:rPr>
                <w:rFonts w:ascii="Arial" w:cs="Arial" w:eastAsia="Arial" w:hAnsi="Arial"/>
                <w:sz w:val="14"/>
                <w:szCs w:val="14"/>
                <w:color w:val="auto"/>
              </w:rPr>
              <w:t>981,155</w:t>
            </w:r>
          </w:p>
        </w:tc>
        <w:tc>
          <w:tcPr>
            <w:tcW w:w="1060" w:type="dxa"/>
            <w:vAlign w:val="bottom"/>
            <w:tcBorders>
              <w:bottom w:val="single" w:sz="8" w:color="auto"/>
            </w:tcBorders>
            <w:shd w:val="clear" w:color="auto" w:fill="DDE6F2"/>
          </w:tcPr>
          <w:p>
            <w:pPr>
              <w:jc w:val="right"/>
              <w:spacing w:after="0" w:line="149" w:lineRule="exact"/>
              <w:rPr>
                <w:sz w:val="20"/>
                <w:szCs w:val="20"/>
                <w:color w:val="auto"/>
              </w:rPr>
            </w:pPr>
            <w:r>
              <w:rPr>
                <w:rFonts w:ascii="Arial" w:cs="Arial" w:eastAsia="Arial" w:hAnsi="Arial"/>
                <w:sz w:val="14"/>
                <w:szCs w:val="14"/>
                <w:color w:val="auto"/>
              </w:rPr>
              <w:t>22,568</w:t>
            </w:r>
          </w:p>
        </w:tc>
        <w:tc>
          <w:tcPr>
            <w:tcW w:w="1060" w:type="dxa"/>
            <w:vAlign w:val="bottom"/>
            <w:tcBorders>
              <w:bottom w:val="single" w:sz="8" w:color="auto"/>
              <w:right w:val="single" w:sz="8" w:color="auto"/>
            </w:tcBorders>
            <w:shd w:val="clear" w:color="auto" w:fill="DDE6F2"/>
          </w:tcPr>
          <w:p>
            <w:pPr>
              <w:jc w:val="right"/>
              <w:ind w:right="173"/>
              <w:spacing w:after="0" w:line="149" w:lineRule="exact"/>
              <w:rPr>
                <w:sz w:val="20"/>
                <w:szCs w:val="20"/>
                <w:color w:val="auto"/>
              </w:rPr>
            </w:pPr>
            <w:r>
              <w:rPr>
                <w:rFonts w:ascii="Arial" w:cs="Arial" w:eastAsia="Arial" w:hAnsi="Arial"/>
                <w:sz w:val="14"/>
                <w:szCs w:val="14"/>
                <w:color w:val="auto"/>
              </w:rPr>
              <w:t>6,990,127</w:t>
            </w:r>
          </w:p>
        </w:tc>
      </w:tr>
      <w:tr>
        <w:trPr>
          <w:trHeight w:val="141"/>
        </w:trPr>
        <w:tc>
          <w:tcPr>
            <w:tcW w:w="2500" w:type="dxa"/>
            <w:vAlign w:val="bottom"/>
            <w:tcBorders>
              <w:left w:val="single" w:sz="8" w:color="auto"/>
            </w:tcBorders>
          </w:tcPr>
          <w:p>
            <w:pPr>
              <w:ind w:left="160"/>
              <w:spacing w:after="0" w:line="141" w:lineRule="exact"/>
              <w:rPr>
                <w:sz w:val="20"/>
                <w:szCs w:val="20"/>
                <w:color w:val="auto"/>
              </w:rPr>
            </w:pPr>
            <w:r>
              <w:rPr>
                <w:rFonts w:ascii="Arial" w:cs="Arial" w:eastAsia="Arial" w:hAnsi="Arial"/>
                <w:sz w:val="14"/>
                <w:szCs w:val="14"/>
                <w:color w:val="auto"/>
              </w:rPr>
              <w:t>Donald R. Chappel</w:t>
            </w:r>
          </w:p>
        </w:tc>
        <w:tc>
          <w:tcPr>
            <w:tcW w:w="640" w:type="dxa"/>
            <w:vAlign w:val="bottom"/>
          </w:tcPr>
          <w:p>
            <w:pPr>
              <w:ind w:left="200"/>
              <w:spacing w:after="0" w:line="141" w:lineRule="exact"/>
              <w:rPr>
                <w:sz w:val="20"/>
                <w:szCs w:val="20"/>
                <w:color w:val="auto"/>
              </w:rPr>
            </w:pPr>
            <w:r>
              <w:rPr>
                <w:rFonts w:ascii="Arial" w:cs="Arial" w:eastAsia="Arial" w:hAnsi="Arial"/>
                <w:sz w:val="14"/>
                <w:szCs w:val="14"/>
                <w:color w:val="auto"/>
              </w:rPr>
              <w:t>2014</w:t>
            </w:r>
          </w:p>
        </w:tc>
        <w:tc>
          <w:tcPr>
            <w:tcW w:w="9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656,000</w:t>
            </w:r>
          </w:p>
        </w:tc>
        <w:tc>
          <w:tcPr>
            <w:tcW w:w="820" w:type="dxa"/>
            <w:vAlign w:val="bottom"/>
          </w:tcPr>
          <w:p>
            <w:pPr>
              <w:jc w:val="right"/>
              <w:ind w:right="53"/>
              <w:spacing w:after="0" w:line="141"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53"/>
              <w:spacing w:after="0" w:line="141" w:lineRule="exact"/>
              <w:rPr>
                <w:sz w:val="20"/>
                <w:szCs w:val="20"/>
                <w:color w:val="auto"/>
              </w:rPr>
            </w:pPr>
            <w:r>
              <w:rPr>
                <w:rFonts w:ascii="Arial" w:cs="Arial" w:eastAsia="Arial" w:hAnsi="Arial"/>
                <w:sz w:val="14"/>
                <w:szCs w:val="14"/>
                <w:color w:val="auto"/>
              </w:rPr>
              <w:t>4,150,747</w:t>
            </w:r>
          </w:p>
        </w:tc>
        <w:tc>
          <w:tcPr>
            <w:tcW w:w="1180" w:type="dxa"/>
            <w:vAlign w:val="bottom"/>
          </w:tcPr>
          <w:p>
            <w:pPr>
              <w:jc w:val="right"/>
              <w:ind w:right="113"/>
              <w:spacing w:after="0" w:line="141" w:lineRule="exact"/>
              <w:rPr>
                <w:sz w:val="20"/>
                <w:szCs w:val="20"/>
                <w:color w:val="auto"/>
              </w:rPr>
            </w:pPr>
            <w:r>
              <w:rPr>
                <w:rFonts w:ascii="Arial" w:cs="Arial" w:eastAsia="Arial" w:hAnsi="Arial"/>
                <w:sz w:val="14"/>
                <w:szCs w:val="14"/>
                <w:color w:val="auto"/>
              </w:rPr>
              <w:t>456,278</w:t>
            </w:r>
          </w:p>
        </w:tc>
        <w:tc>
          <w:tcPr>
            <w:tcW w:w="10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262,000</w:t>
            </w:r>
          </w:p>
        </w:tc>
        <w:tc>
          <w:tcPr>
            <w:tcW w:w="1120" w:type="dxa"/>
            <w:vAlign w:val="bottom"/>
          </w:tcPr>
          <w:p>
            <w:pPr>
              <w:jc w:val="right"/>
              <w:ind w:right="54"/>
              <w:spacing w:after="0" w:line="141" w:lineRule="exact"/>
              <w:rPr>
                <w:sz w:val="20"/>
                <w:szCs w:val="20"/>
                <w:color w:val="auto"/>
              </w:rPr>
            </w:pPr>
            <w:r>
              <w:rPr>
                <w:rFonts w:ascii="Arial" w:cs="Arial" w:eastAsia="Arial" w:hAnsi="Arial"/>
                <w:sz w:val="14"/>
                <w:szCs w:val="14"/>
                <w:color w:val="auto"/>
              </w:rPr>
              <w:t>845,060</w:t>
            </w:r>
          </w:p>
        </w:tc>
        <w:tc>
          <w:tcPr>
            <w:tcW w:w="1060" w:type="dxa"/>
            <w:vAlign w:val="bottom"/>
          </w:tcPr>
          <w:p>
            <w:pPr>
              <w:jc w:val="right"/>
              <w:spacing w:after="0" w:line="141" w:lineRule="exact"/>
              <w:rPr>
                <w:sz w:val="20"/>
                <w:szCs w:val="20"/>
                <w:color w:val="auto"/>
              </w:rPr>
            </w:pPr>
            <w:r>
              <w:rPr>
                <w:rFonts w:ascii="Arial" w:cs="Arial" w:eastAsia="Arial" w:hAnsi="Arial"/>
                <w:sz w:val="14"/>
                <w:szCs w:val="14"/>
                <w:color w:val="auto"/>
              </w:rPr>
              <w:t>25,738</w:t>
            </w:r>
          </w:p>
        </w:tc>
        <w:tc>
          <w:tcPr>
            <w:tcW w:w="1060" w:type="dxa"/>
            <w:vAlign w:val="bottom"/>
            <w:tcBorders>
              <w:right w:val="single" w:sz="8" w:color="auto"/>
            </w:tcBorders>
          </w:tcPr>
          <w:p>
            <w:pPr>
              <w:jc w:val="right"/>
              <w:ind w:right="173"/>
              <w:spacing w:after="0" w:line="141" w:lineRule="exact"/>
              <w:rPr>
                <w:sz w:val="20"/>
                <w:szCs w:val="20"/>
                <w:color w:val="auto"/>
              </w:rPr>
            </w:pPr>
            <w:r>
              <w:rPr>
                <w:rFonts w:ascii="Arial" w:cs="Arial" w:eastAsia="Arial" w:hAnsi="Arial"/>
                <w:sz w:val="14"/>
                <w:szCs w:val="14"/>
                <w:color w:val="auto"/>
              </w:rPr>
              <w:t>6,395,822</w:t>
            </w:r>
          </w:p>
        </w:tc>
      </w:tr>
      <w:tr>
        <w:trPr>
          <w:trHeight w:val="149"/>
        </w:trPr>
        <w:tc>
          <w:tcPr>
            <w:tcW w:w="2500" w:type="dxa"/>
            <w:vAlign w:val="bottom"/>
            <w:tcBorders>
              <w:left w:val="single" w:sz="8" w:color="auto"/>
            </w:tcBorders>
          </w:tcPr>
          <w:p>
            <w:pPr>
              <w:ind w:left="160"/>
              <w:spacing w:after="0" w:line="149" w:lineRule="exact"/>
              <w:rPr>
                <w:sz w:val="20"/>
                <w:szCs w:val="20"/>
                <w:color w:val="auto"/>
              </w:rPr>
            </w:pPr>
            <w:r>
              <w:rPr>
                <w:rFonts w:ascii="Arial" w:cs="Arial" w:eastAsia="Arial" w:hAnsi="Arial"/>
                <w:sz w:val="14"/>
                <w:szCs w:val="14"/>
                <w:color w:val="auto"/>
              </w:rPr>
              <w:t>SVP, Chief</w:t>
            </w:r>
          </w:p>
        </w:tc>
        <w:tc>
          <w:tcPr>
            <w:tcW w:w="640" w:type="dxa"/>
            <w:vAlign w:val="bottom"/>
          </w:tcPr>
          <w:p>
            <w:pPr>
              <w:ind w:left="200"/>
              <w:spacing w:after="0" w:line="149" w:lineRule="exact"/>
              <w:rPr>
                <w:sz w:val="20"/>
                <w:szCs w:val="20"/>
                <w:color w:val="auto"/>
              </w:rPr>
            </w:pPr>
            <w:r>
              <w:rPr>
                <w:rFonts w:ascii="Arial" w:cs="Arial" w:eastAsia="Arial" w:hAnsi="Arial"/>
                <w:sz w:val="14"/>
                <w:szCs w:val="14"/>
                <w:color w:val="auto"/>
              </w:rPr>
              <w:t>2013</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642,692</w:t>
            </w:r>
          </w:p>
        </w:tc>
        <w:tc>
          <w:tcPr>
            <w:tcW w:w="8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1,688,482</w:t>
            </w:r>
          </w:p>
        </w:tc>
        <w:tc>
          <w:tcPr>
            <w:tcW w:w="118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421,202</w:t>
            </w: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425,000</w:t>
            </w:r>
          </w:p>
        </w:tc>
        <w:tc>
          <w:tcPr>
            <w:tcW w:w="1120" w:type="dxa"/>
            <w:vAlign w:val="bottom"/>
          </w:tcPr>
          <w:p>
            <w:pPr>
              <w:jc w:val="right"/>
              <w:ind w:right="54"/>
              <w:spacing w:after="0" w:line="149" w:lineRule="exact"/>
              <w:rPr>
                <w:sz w:val="20"/>
                <w:szCs w:val="20"/>
                <w:color w:val="auto"/>
              </w:rPr>
            </w:pPr>
            <w:r>
              <w:rPr>
                <w:rFonts w:ascii="Arial" w:cs="Arial" w:eastAsia="Arial" w:hAnsi="Arial"/>
                <w:sz w:val="14"/>
                <w:szCs w:val="14"/>
                <w:color w:val="auto"/>
              </w:rPr>
              <w:t>(279,396)</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22,595</w:t>
            </w:r>
          </w:p>
        </w:tc>
        <w:tc>
          <w:tcPr>
            <w:tcW w:w="1060" w:type="dxa"/>
            <w:vAlign w:val="bottom"/>
            <w:tcBorders>
              <w:right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2,920,575</w:t>
            </w:r>
          </w:p>
        </w:tc>
      </w:tr>
      <w:tr>
        <w:trPr>
          <w:trHeight w:val="149"/>
        </w:trPr>
        <w:tc>
          <w:tcPr>
            <w:tcW w:w="2500" w:type="dxa"/>
            <w:vAlign w:val="bottom"/>
            <w:tcBorders>
              <w:left w:val="single" w:sz="8" w:color="auto"/>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Financial Officer</w:t>
            </w:r>
          </w:p>
        </w:tc>
        <w:tc>
          <w:tcPr>
            <w:tcW w:w="6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630,000</w:t>
            </w:r>
          </w:p>
        </w:tc>
        <w:tc>
          <w:tcPr>
            <w:tcW w:w="820" w:type="dxa"/>
            <w:vAlign w:val="bottom"/>
            <w:tcBorders>
              <w:bottom w:val="single" w:sz="8" w:color="auto"/>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53"/>
              <w:spacing w:after="0" w:line="149" w:lineRule="exact"/>
              <w:rPr>
                <w:sz w:val="20"/>
                <w:szCs w:val="20"/>
                <w:color w:val="auto"/>
              </w:rPr>
            </w:pPr>
            <w:r>
              <w:rPr>
                <w:rFonts w:ascii="Arial" w:cs="Arial" w:eastAsia="Arial" w:hAnsi="Arial"/>
                <w:sz w:val="14"/>
                <w:szCs w:val="14"/>
                <w:color w:val="auto"/>
              </w:rPr>
              <w:t>1,795,121</w:t>
            </w:r>
          </w:p>
        </w:tc>
        <w:tc>
          <w:tcPr>
            <w:tcW w:w="118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541,315</w:t>
            </w:r>
          </w:p>
        </w:tc>
        <w:tc>
          <w:tcPr>
            <w:tcW w:w="10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553,000</w:t>
            </w:r>
          </w:p>
        </w:tc>
        <w:tc>
          <w:tcPr>
            <w:tcW w:w="1120" w:type="dxa"/>
            <w:vAlign w:val="bottom"/>
            <w:tcBorders>
              <w:bottom w:val="single" w:sz="8" w:color="auto"/>
            </w:tcBorders>
          </w:tcPr>
          <w:p>
            <w:pPr>
              <w:jc w:val="right"/>
              <w:ind w:right="54"/>
              <w:spacing w:after="0" w:line="149" w:lineRule="exact"/>
              <w:rPr>
                <w:sz w:val="20"/>
                <w:szCs w:val="20"/>
                <w:color w:val="auto"/>
              </w:rPr>
            </w:pPr>
            <w:r>
              <w:rPr>
                <w:rFonts w:ascii="Arial" w:cs="Arial" w:eastAsia="Arial" w:hAnsi="Arial"/>
                <w:sz w:val="14"/>
                <w:szCs w:val="14"/>
                <w:color w:val="auto"/>
              </w:rPr>
              <w:t>431,565</w:t>
            </w: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16,803</w:t>
            </w:r>
          </w:p>
        </w:tc>
        <w:tc>
          <w:tcPr>
            <w:tcW w:w="1060" w:type="dxa"/>
            <w:vAlign w:val="bottom"/>
            <w:tcBorders>
              <w:bottom w:val="single" w:sz="8" w:color="auto"/>
              <w:right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3,967,804</w:t>
            </w:r>
          </w:p>
        </w:tc>
      </w:tr>
      <w:tr>
        <w:trPr>
          <w:trHeight w:val="141"/>
        </w:trPr>
        <w:tc>
          <w:tcPr>
            <w:tcW w:w="2500" w:type="dxa"/>
            <w:vAlign w:val="bottom"/>
            <w:tcBorders>
              <w:left w:val="single" w:sz="8" w:color="auto"/>
            </w:tcBorders>
          </w:tcPr>
          <w:p>
            <w:pPr>
              <w:ind w:left="160"/>
              <w:spacing w:after="0" w:line="141" w:lineRule="exact"/>
              <w:rPr>
                <w:sz w:val="20"/>
                <w:szCs w:val="20"/>
                <w:color w:val="auto"/>
              </w:rPr>
            </w:pPr>
            <w:r>
              <w:rPr>
                <w:rFonts w:ascii="Arial" w:cs="Arial" w:eastAsia="Arial" w:hAnsi="Arial"/>
                <w:sz w:val="14"/>
                <w:szCs w:val="14"/>
                <w:color w:val="auto"/>
              </w:rPr>
              <w:t>Rory L. Miller</w:t>
            </w:r>
          </w:p>
        </w:tc>
        <w:tc>
          <w:tcPr>
            <w:tcW w:w="640" w:type="dxa"/>
            <w:vAlign w:val="bottom"/>
            <w:shd w:val="clear" w:color="auto" w:fill="DDE6F2"/>
          </w:tcPr>
          <w:p>
            <w:pPr>
              <w:ind w:left="200"/>
              <w:spacing w:after="0" w:line="141" w:lineRule="exact"/>
              <w:rPr>
                <w:sz w:val="20"/>
                <w:szCs w:val="20"/>
                <w:color w:val="auto"/>
              </w:rPr>
            </w:pPr>
            <w:r>
              <w:rPr>
                <w:rFonts w:ascii="Arial" w:cs="Arial" w:eastAsia="Arial" w:hAnsi="Arial"/>
                <w:sz w:val="14"/>
                <w:szCs w:val="14"/>
                <w:color w:val="auto"/>
              </w:rPr>
              <w:t>2014</w:t>
            </w:r>
          </w:p>
        </w:tc>
        <w:tc>
          <w:tcPr>
            <w:tcW w:w="940" w:type="dxa"/>
            <w:vAlign w:val="bottom"/>
            <w:shd w:val="clear" w:color="auto" w:fill="DDE6F2"/>
          </w:tcPr>
          <w:p>
            <w:pPr>
              <w:jc w:val="right"/>
              <w:ind w:right="52"/>
              <w:spacing w:after="0" w:line="141" w:lineRule="exact"/>
              <w:rPr>
                <w:sz w:val="20"/>
                <w:szCs w:val="20"/>
                <w:color w:val="auto"/>
              </w:rPr>
            </w:pPr>
            <w:r>
              <w:rPr>
                <w:rFonts w:ascii="Arial" w:cs="Arial" w:eastAsia="Arial" w:hAnsi="Arial"/>
                <w:sz w:val="14"/>
                <w:szCs w:val="14"/>
                <w:color w:val="auto"/>
              </w:rPr>
              <w:t>471,923</w:t>
            </w:r>
          </w:p>
        </w:tc>
        <w:tc>
          <w:tcPr>
            <w:tcW w:w="820" w:type="dxa"/>
            <w:vAlign w:val="bottom"/>
            <w:shd w:val="clear" w:color="auto" w:fill="DDE6F2"/>
          </w:tcPr>
          <w:p>
            <w:pPr>
              <w:jc w:val="right"/>
              <w:ind w:right="53"/>
              <w:spacing w:after="0" w:line="141" w:lineRule="exact"/>
              <w:rPr>
                <w:sz w:val="20"/>
                <w:szCs w:val="20"/>
                <w:color w:val="auto"/>
              </w:rPr>
            </w:pPr>
            <w:r>
              <w:rPr>
                <w:rFonts w:ascii="Arial" w:cs="Arial" w:eastAsia="Arial" w:hAnsi="Arial"/>
                <w:sz w:val="14"/>
                <w:szCs w:val="14"/>
                <w:color w:val="auto"/>
              </w:rPr>
              <w:t>-</w:t>
            </w:r>
          </w:p>
        </w:tc>
        <w:tc>
          <w:tcPr>
            <w:tcW w:w="1080" w:type="dxa"/>
            <w:vAlign w:val="bottom"/>
            <w:shd w:val="clear" w:color="auto" w:fill="DDE6F2"/>
          </w:tcPr>
          <w:p>
            <w:pPr>
              <w:jc w:val="right"/>
              <w:ind w:right="53"/>
              <w:spacing w:after="0" w:line="141" w:lineRule="exact"/>
              <w:rPr>
                <w:sz w:val="20"/>
                <w:szCs w:val="20"/>
                <w:color w:val="auto"/>
              </w:rPr>
            </w:pPr>
            <w:r>
              <w:rPr>
                <w:rFonts w:ascii="Arial" w:cs="Arial" w:eastAsia="Arial" w:hAnsi="Arial"/>
                <w:sz w:val="14"/>
                <w:szCs w:val="14"/>
                <w:color w:val="auto"/>
              </w:rPr>
              <w:t>2,234,009</w:t>
            </w:r>
          </w:p>
        </w:tc>
        <w:tc>
          <w:tcPr>
            <w:tcW w:w="1180" w:type="dxa"/>
            <w:vAlign w:val="bottom"/>
            <w:shd w:val="clear" w:color="auto" w:fill="DDE6F2"/>
          </w:tcPr>
          <w:p>
            <w:pPr>
              <w:jc w:val="right"/>
              <w:ind w:right="113"/>
              <w:spacing w:after="0" w:line="141" w:lineRule="exact"/>
              <w:rPr>
                <w:sz w:val="20"/>
                <w:szCs w:val="20"/>
                <w:color w:val="auto"/>
              </w:rPr>
            </w:pPr>
            <w:r>
              <w:rPr>
                <w:rFonts w:ascii="Arial" w:cs="Arial" w:eastAsia="Arial" w:hAnsi="Arial"/>
                <w:sz w:val="14"/>
                <w:szCs w:val="14"/>
                <w:color w:val="auto"/>
              </w:rPr>
              <w:t>285,173</w:t>
            </w:r>
          </w:p>
        </w:tc>
        <w:tc>
          <w:tcPr>
            <w:tcW w:w="1040" w:type="dxa"/>
            <w:vAlign w:val="bottom"/>
            <w:shd w:val="clear" w:color="auto" w:fill="DDE6F2"/>
          </w:tcPr>
          <w:p>
            <w:pPr>
              <w:jc w:val="right"/>
              <w:ind w:right="52"/>
              <w:spacing w:after="0" w:line="141" w:lineRule="exact"/>
              <w:rPr>
                <w:sz w:val="20"/>
                <w:szCs w:val="20"/>
                <w:color w:val="auto"/>
              </w:rPr>
            </w:pPr>
            <w:r>
              <w:rPr>
                <w:rFonts w:ascii="Arial" w:cs="Arial" w:eastAsia="Arial" w:hAnsi="Arial"/>
                <w:sz w:val="14"/>
                <w:szCs w:val="14"/>
                <w:color w:val="auto"/>
              </w:rPr>
              <w:t>168,000</w:t>
            </w:r>
          </w:p>
        </w:tc>
        <w:tc>
          <w:tcPr>
            <w:tcW w:w="1120" w:type="dxa"/>
            <w:vAlign w:val="bottom"/>
            <w:shd w:val="clear" w:color="auto" w:fill="DDE6F2"/>
          </w:tcPr>
          <w:p>
            <w:pPr>
              <w:jc w:val="right"/>
              <w:ind w:right="54"/>
              <w:spacing w:after="0" w:line="141" w:lineRule="exact"/>
              <w:rPr>
                <w:sz w:val="20"/>
                <w:szCs w:val="20"/>
                <w:color w:val="auto"/>
              </w:rPr>
            </w:pPr>
            <w:r>
              <w:rPr>
                <w:rFonts w:ascii="Arial" w:cs="Arial" w:eastAsia="Arial" w:hAnsi="Arial"/>
                <w:sz w:val="14"/>
                <w:szCs w:val="14"/>
                <w:color w:val="auto"/>
              </w:rPr>
              <w:t>547,729</w:t>
            </w:r>
          </w:p>
        </w:tc>
        <w:tc>
          <w:tcPr>
            <w:tcW w:w="1060" w:type="dxa"/>
            <w:vAlign w:val="bottom"/>
            <w:shd w:val="clear" w:color="auto" w:fill="DDE6F2"/>
          </w:tcPr>
          <w:p>
            <w:pPr>
              <w:jc w:val="right"/>
              <w:spacing w:after="0" w:line="141" w:lineRule="exact"/>
              <w:rPr>
                <w:sz w:val="20"/>
                <w:szCs w:val="20"/>
                <w:color w:val="auto"/>
              </w:rPr>
            </w:pPr>
            <w:r>
              <w:rPr>
                <w:rFonts w:ascii="Arial" w:cs="Arial" w:eastAsia="Arial" w:hAnsi="Arial"/>
                <w:sz w:val="14"/>
                <w:szCs w:val="14"/>
                <w:color w:val="auto"/>
              </w:rPr>
              <w:t>21,655</w:t>
            </w:r>
          </w:p>
        </w:tc>
        <w:tc>
          <w:tcPr>
            <w:tcW w:w="1060" w:type="dxa"/>
            <w:vAlign w:val="bottom"/>
            <w:tcBorders>
              <w:right w:val="single" w:sz="8" w:color="auto"/>
            </w:tcBorders>
            <w:shd w:val="clear" w:color="auto" w:fill="DDE6F2"/>
          </w:tcPr>
          <w:p>
            <w:pPr>
              <w:jc w:val="right"/>
              <w:ind w:right="173"/>
              <w:spacing w:after="0" w:line="141" w:lineRule="exact"/>
              <w:rPr>
                <w:sz w:val="20"/>
                <w:szCs w:val="20"/>
                <w:color w:val="auto"/>
              </w:rPr>
            </w:pPr>
            <w:r>
              <w:rPr>
                <w:rFonts w:ascii="Arial" w:cs="Arial" w:eastAsia="Arial" w:hAnsi="Arial"/>
                <w:sz w:val="14"/>
                <w:szCs w:val="14"/>
                <w:color w:val="auto"/>
              </w:rPr>
              <w:t>3,728,488</w:t>
            </w:r>
          </w:p>
        </w:tc>
      </w:tr>
      <w:tr>
        <w:trPr>
          <w:trHeight w:val="149"/>
        </w:trPr>
        <w:tc>
          <w:tcPr>
            <w:tcW w:w="2500" w:type="dxa"/>
            <w:vAlign w:val="bottom"/>
            <w:tcBorders>
              <w:left w:val="single" w:sz="8" w:color="auto"/>
            </w:tcBorders>
          </w:tcPr>
          <w:p>
            <w:pPr>
              <w:ind w:left="160"/>
              <w:spacing w:after="0" w:line="149" w:lineRule="exact"/>
              <w:rPr>
                <w:sz w:val="20"/>
                <w:szCs w:val="20"/>
                <w:color w:val="auto"/>
              </w:rPr>
            </w:pPr>
            <w:r>
              <w:rPr>
                <w:rFonts w:ascii="Arial" w:cs="Arial" w:eastAsia="Arial" w:hAnsi="Arial"/>
                <w:sz w:val="14"/>
                <w:szCs w:val="14"/>
                <w:color w:val="auto"/>
              </w:rPr>
              <w:t>SVP, Atlantic - Gulf</w:t>
            </w:r>
          </w:p>
        </w:tc>
        <w:tc>
          <w:tcPr>
            <w:tcW w:w="640" w:type="dxa"/>
            <w:vAlign w:val="bottom"/>
            <w:shd w:val="clear" w:color="auto" w:fill="DDE6F2"/>
          </w:tcPr>
          <w:p>
            <w:pPr>
              <w:ind w:left="200"/>
              <w:spacing w:after="0" w:line="149" w:lineRule="exact"/>
              <w:rPr>
                <w:sz w:val="20"/>
                <w:szCs w:val="20"/>
                <w:color w:val="auto"/>
              </w:rPr>
            </w:pPr>
            <w:r>
              <w:rPr>
                <w:rFonts w:ascii="Arial" w:cs="Arial" w:eastAsia="Arial" w:hAnsi="Arial"/>
                <w:sz w:val="14"/>
                <w:szCs w:val="14"/>
                <w:color w:val="auto"/>
              </w:rPr>
              <w:t>2013</w:t>
            </w:r>
          </w:p>
        </w:tc>
        <w:tc>
          <w:tcPr>
            <w:tcW w:w="940" w:type="dxa"/>
            <w:vAlign w:val="bottom"/>
            <w:shd w:val="clear" w:color="auto" w:fill="DDE6F2"/>
          </w:tcPr>
          <w:p>
            <w:pPr>
              <w:jc w:val="right"/>
              <w:ind w:right="52"/>
              <w:spacing w:after="0" w:line="149" w:lineRule="exact"/>
              <w:rPr>
                <w:sz w:val="20"/>
                <w:szCs w:val="20"/>
                <w:color w:val="auto"/>
              </w:rPr>
            </w:pPr>
            <w:r>
              <w:rPr>
                <w:rFonts w:ascii="Arial" w:cs="Arial" w:eastAsia="Arial" w:hAnsi="Arial"/>
                <w:sz w:val="14"/>
                <w:szCs w:val="14"/>
                <w:color w:val="auto"/>
              </w:rPr>
              <w:t>452,692</w:t>
            </w:r>
          </w:p>
        </w:tc>
        <w:tc>
          <w:tcPr>
            <w:tcW w:w="820" w:type="dxa"/>
            <w:vAlign w:val="bottom"/>
            <w:shd w:val="clear" w:color="auto" w:fill="DDE6F2"/>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DDE6F2"/>
          </w:tcPr>
          <w:p>
            <w:pPr>
              <w:jc w:val="right"/>
              <w:ind w:right="53"/>
              <w:spacing w:after="0" w:line="149" w:lineRule="exact"/>
              <w:rPr>
                <w:sz w:val="20"/>
                <w:szCs w:val="20"/>
                <w:color w:val="auto"/>
              </w:rPr>
            </w:pPr>
            <w:r>
              <w:rPr>
                <w:rFonts w:ascii="Arial" w:cs="Arial" w:eastAsia="Arial" w:hAnsi="Arial"/>
                <w:sz w:val="14"/>
                <w:szCs w:val="14"/>
                <w:color w:val="auto"/>
              </w:rPr>
              <w:t>914,600</w:t>
            </w:r>
          </w:p>
        </w:tc>
        <w:tc>
          <w:tcPr>
            <w:tcW w:w="1180" w:type="dxa"/>
            <w:vAlign w:val="bottom"/>
            <w:shd w:val="clear" w:color="auto" w:fill="DDE6F2"/>
          </w:tcPr>
          <w:p>
            <w:pPr>
              <w:jc w:val="right"/>
              <w:ind w:right="113"/>
              <w:spacing w:after="0" w:line="149" w:lineRule="exact"/>
              <w:rPr>
                <w:sz w:val="20"/>
                <w:szCs w:val="20"/>
                <w:color w:val="auto"/>
              </w:rPr>
            </w:pPr>
            <w:r>
              <w:rPr>
                <w:rFonts w:ascii="Arial" w:cs="Arial" w:eastAsia="Arial" w:hAnsi="Arial"/>
                <w:sz w:val="14"/>
                <w:szCs w:val="14"/>
                <w:color w:val="auto"/>
              </w:rPr>
              <w:t>228,153</w:t>
            </w:r>
          </w:p>
        </w:tc>
        <w:tc>
          <w:tcPr>
            <w:tcW w:w="1040" w:type="dxa"/>
            <w:vAlign w:val="bottom"/>
            <w:shd w:val="clear" w:color="auto" w:fill="DDE6F2"/>
          </w:tcPr>
          <w:p>
            <w:pPr>
              <w:jc w:val="right"/>
              <w:ind w:right="52"/>
              <w:spacing w:after="0" w:line="149" w:lineRule="exact"/>
              <w:rPr>
                <w:sz w:val="20"/>
                <w:szCs w:val="20"/>
                <w:color w:val="auto"/>
              </w:rPr>
            </w:pPr>
            <w:r>
              <w:rPr>
                <w:rFonts w:ascii="Arial" w:cs="Arial" w:eastAsia="Arial" w:hAnsi="Arial"/>
                <w:sz w:val="14"/>
                <w:szCs w:val="14"/>
                <w:color w:val="auto"/>
              </w:rPr>
              <w:t>285,000</w:t>
            </w:r>
          </w:p>
        </w:tc>
        <w:tc>
          <w:tcPr>
            <w:tcW w:w="1120" w:type="dxa"/>
            <w:vAlign w:val="bottom"/>
            <w:shd w:val="clear" w:color="auto" w:fill="DDE6F2"/>
          </w:tcPr>
          <w:p>
            <w:pPr>
              <w:jc w:val="right"/>
              <w:ind w:right="54"/>
              <w:spacing w:after="0" w:line="149" w:lineRule="exact"/>
              <w:rPr>
                <w:sz w:val="20"/>
                <w:szCs w:val="20"/>
                <w:color w:val="auto"/>
              </w:rPr>
            </w:pPr>
            <w:r>
              <w:rPr>
                <w:rFonts w:ascii="Arial" w:cs="Arial" w:eastAsia="Arial" w:hAnsi="Arial"/>
                <w:sz w:val="14"/>
                <w:szCs w:val="14"/>
                <w:color w:val="auto"/>
              </w:rPr>
              <w:t>(190,499)</w:t>
            </w:r>
          </w:p>
        </w:tc>
        <w:tc>
          <w:tcPr>
            <w:tcW w:w="1060" w:type="dxa"/>
            <w:vAlign w:val="bottom"/>
            <w:shd w:val="clear" w:color="auto" w:fill="DDE6F2"/>
          </w:tcPr>
          <w:p>
            <w:pPr>
              <w:jc w:val="right"/>
              <w:spacing w:after="0" w:line="149" w:lineRule="exact"/>
              <w:rPr>
                <w:sz w:val="20"/>
                <w:szCs w:val="20"/>
                <w:color w:val="auto"/>
              </w:rPr>
            </w:pPr>
            <w:r>
              <w:rPr>
                <w:rFonts w:ascii="Arial" w:cs="Arial" w:eastAsia="Arial" w:hAnsi="Arial"/>
                <w:sz w:val="14"/>
                <w:szCs w:val="14"/>
                <w:color w:val="auto"/>
              </w:rPr>
              <w:t>16,468</w:t>
            </w:r>
          </w:p>
        </w:tc>
        <w:tc>
          <w:tcPr>
            <w:tcW w:w="1060" w:type="dxa"/>
            <w:vAlign w:val="bottom"/>
            <w:tcBorders>
              <w:right w:val="single" w:sz="8" w:color="auto"/>
            </w:tcBorders>
            <w:shd w:val="clear" w:color="auto" w:fill="DDE6F2"/>
          </w:tcPr>
          <w:p>
            <w:pPr>
              <w:jc w:val="right"/>
              <w:ind w:right="173"/>
              <w:spacing w:after="0" w:line="149" w:lineRule="exact"/>
              <w:rPr>
                <w:sz w:val="20"/>
                <w:szCs w:val="20"/>
                <w:color w:val="auto"/>
              </w:rPr>
            </w:pPr>
            <w:r>
              <w:rPr>
                <w:rFonts w:ascii="Arial" w:cs="Arial" w:eastAsia="Arial" w:hAnsi="Arial"/>
                <w:sz w:val="14"/>
                <w:szCs w:val="14"/>
                <w:color w:val="auto"/>
              </w:rPr>
              <w:t>1,706,414</w:t>
            </w:r>
          </w:p>
        </w:tc>
      </w:tr>
      <w:tr>
        <w:trPr>
          <w:trHeight w:val="149"/>
        </w:trPr>
        <w:tc>
          <w:tcPr>
            <w:tcW w:w="2500" w:type="dxa"/>
            <w:vAlign w:val="bottom"/>
            <w:tcBorders>
              <w:left w:val="single" w:sz="8" w:color="auto"/>
              <w:bottom w:val="single" w:sz="8" w:color="auto"/>
            </w:tcBorders>
          </w:tcPr>
          <w:p>
            <w:pPr>
              <w:spacing w:after="0"/>
              <w:rPr>
                <w:sz w:val="12"/>
                <w:szCs w:val="12"/>
                <w:color w:val="auto"/>
              </w:rPr>
            </w:pPr>
          </w:p>
        </w:tc>
        <w:tc>
          <w:tcPr>
            <w:tcW w:w="640" w:type="dxa"/>
            <w:vAlign w:val="bottom"/>
            <w:tcBorders>
              <w:bottom w:val="single" w:sz="8" w:color="auto"/>
            </w:tcBorders>
            <w:shd w:val="clear" w:color="auto" w:fill="DDE6F2"/>
          </w:tcPr>
          <w:p>
            <w:pPr>
              <w:ind w:left="200"/>
              <w:spacing w:after="0" w:line="149" w:lineRule="exact"/>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tcBorders>
            <w:shd w:val="clear" w:color="auto" w:fill="DDE6F2"/>
          </w:tcPr>
          <w:p>
            <w:pPr>
              <w:jc w:val="right"/>
              <w:ind w:right="52"/>
              <w:spacing w:after="0" w:line="149" w:lineRule="exact"/>
              <w:rPr>
                <w:sz w:val="20"/>
                <w:szCs w:val="20"/>
                <w:color w:val="auto"/>
              </w:rPr>
            </w:pPr>
            <w:r>
              <w:rPr>
                <w:rFonts w:ascii="Arial" w:cs="Arial" w:eastAsia="Arial" w:hAnsi="Arial"/>
                <w:sz w:val="14"/>
                <w:szCs w:val="14"/>
                <w:color w:val="auto"/>
              </w:rPr>
              <w:t>435,385</w:t>
            </w:r>
          </w:p>
        </w:tc>
        <w:tc>
          <w:tcPr>
            <w:tcW w:w="820" w:type="dxa"/>
            <w:vAlign w:val="bottom"/>
            <w:tcBorders>
              <w:bottom w:val="single" w:sz="8" w:color="auto"/>
            </w:tcBorders>
            <w:shd w:val="clear" w:color="auto" w:fill="DDE6F2"/>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DE6F2"/>
          </w:tcPr>
          <w:p>
            <w:pPr>
              <w:jc w:val="right"/>
              <w:ind w:right="53"/>
              <w:spacing w:after="0" w:line="149" w:lineRule="exact"/>
              <w:rPr>
                <w:sz w:val="20"/>
                <w:szCs w:val="20"/>
                <w:color w:val="auto"/>
              </w:rPr>
            </w:pPr>
            <w:r>
              <w:rPr>
                <w:rFonts w:ascii="Arial" w:cs="Arial" w:eastAsia="Arial" w:hAnsi="Arial"/>
                <w:sz w:val="14"/>
                <w:szCs w:val="14"/>
                <w:color w:val="auto"/>
              </w:rPr>
              <w:t>1,107,002</w:t>
            </w:r>
          </w:p>
        </w:tc>
        <w:tc>
          <w:tcPr>
            <w:tcW w:w="1180" w:type="dxa"/>
            <w:vAlign w:val="bottom"/>
            <w:tcBorders>
              <w:bottom w:val="single" w:sz="8" w:color="auto"/>
            </w:tcBorders>
            <w:shd w:val="clear" w:color="auto" w:fill="DDE6F2"/>
          </w:tcPr>
          <w:p>
            <w:pPr>
              <w:jc w:val="right"/>
              <w:ind w:right="113"/>
              <w:spacing w:after="0" w:line="149" w:lineRule="exact"/>
              <w:rPr>
                <w:sz w:val="20"/>
                <w:szCs w:val="20"/>
                <w:color w:val="auto"/>
              </w:rPr>
            </w:pPr>
            <w:r>
              <w:rPr>
                <w:rFonts w:ascii="Arial" w:cs="Arial" w:eastAsia="Arial" w:hAnsi="Arial"/>
                <w:sz w:val="14"/>
                <w:szCs w:val="14"/>
                <w:color w:val="auto"/>
              </w:rPr>
              <w:t>333,813</w:t>
            </w:r>
          </w:p>
        </w:tc>
        <w:tc>
          <w:tcPr>
            <w:tcW w:w="1040" w:type="dxa"/>
            <w:vAlign w:val="bottom"/>
            <w:tcBorders>
              <w:bottom w:val="single" w:sz="8" w:color="auto"/>
            </w:tcBorders>
            <w:shd w:val="clear" w:color="auto" w:fill="DDE6F2"/>
          </w:tcPr>
          <w:p>
            <w:pPr>
              <w:jc w:val="right"/>
              <w:ind w:right="52"/>
              <w:spacing w:after="0" w:line="149" w:lineRule="exact"/>
              <w:rPr>
                <w:sz w:val="20"/>
                <w:szCs w:val="20"/>
                <w:color w:val="auto"/>
              </w:rPr>
            </w:pPr>
            <w:r>
              <w:rPr>
                <w:rFonts w:ascii="Arial" w:cs="Arial" w:eastAsia="Arial" w:hAnsi="Arial"/>
                <w:sz w:val="14"/>
                <w:szCs w:val="14"/>
                <w:color w:val="auto"/>
              </w:rPr>
              <w:t>291,000</w:t>
            </w:r>
          </w:p>
        </w:tc>
        <w:tc>
          <w:tcPr>
            <w:tcW w:w="1120" w:type="dxa"/>
            <w:vAlign w:val="bottom"/>
            <w:tcBorders>
              <w:bottom w:val="single" w:sz="8" w:color="auto"/>
            </w:tcBorders>
            <w:shd w:val="clear" w:color="auto" w:fill="DDE6F2"/>
          </w:tcPr>
          <w:p>
            <w:pPr>
              <w:jc w:val="right"/>
              <w:ind w:right="54"/>
              <w:spacing w:after="0" w:line="149" w:lineRule="exact"/>
              <w:rPr>
                <w:sz w:val="20"/>
                <w:szCs w:val="20"/>
                <w:color w:val="auto"/>
              </w:rPr>
            </w:pPr>
            <w:r>
              <w:rPr>
                <w:rFonts w:ascii="Arial" w:cs="Arial" w:eastAsia="Arial" w:hAnsi="Arial"/>
                <w:sz w:val="14"/>
                <w:szCs w:val="14"/>
                <w:color w:val="auto"/>
              </w:rPr>
              <w:t>301,516</w:t>
            </w:r>
          </w:p>
        </w:tc>
        <w:tc>
          <w:tcPr>
            <w:tcW w:w="1060" w:type="dxa"/>
            <w:vAlign w:val="bottom"/>
            <w:tcBorders>
              <w:bottom w:val="single" w:sz="8" w:color="auto"/>
            </w:tcBorders>
            <w:shd w:val="clear" w:color="auto" w:fill="DDE6F2"/>
          </w:tcPr>
          <w:p>
            <w:pPr>
              <w:jc w:val="right"/>
              <w:spacing w:after="0" w:line="149" w:lineRule="exact"/>
              <w:rPr>
                <w:sz w:val="20"/>
                <w:szCs w:val="20"/>
                <w:color w:val="auto"/>
              </w:rPr>
            </w:pPr>
            <w:r>
              <w:rPr>
                <w:rFonts w:ascii="Arial" w:cs="Arial" w:eastAsia="Arial" w:hAnsi="Arial"/>
                <w:sz w:val="14"/>
                <w:szCs w:val="14"/>
                <w:color w:val="auto"/>
              </w:rPr>
              <w:t>19,910</w:t>
            </w:r>
          </w:p>
        </w:tc>
        <w:tc>
          <w:tcPr>
            <w:tcW w:w="1060" w:type="dxa"/>
            <w:vAlign w:val="bottom"/>
            <w:tcBorders>
              <w:bottom w:val="single" w:sz="8" w:color="auto"/>
              <w:right w:val="single" w:sz="8" w:color="auto"/>
            </w:tcBorders>
            <w:shd w:val="clear" w:color="auto" w:fill="DDE6F2"/>
          </w:tcPr>
          <w:p>
            <w:pPr>
              <w:jc w:val="right"/>
              <w:ind w:right="173"/>
              <w:spacing w:after="0" w:line="149" w:lineRule="exact"/>
              <w:rPr>
                <w:sz w:val="20"/>
                <w:szCs w:val="20"/>
                <w:color w:val="auto"/>
              </w:rPr>
            </w:pPr>
            <w:r>
              <w:rPr>
                <w:rFonts w:ascii="Arial" w:cs="Arial" w:eastAsia="Arial" w:hAnsi="Arial"/>
                <w:sz w:val="14"/>
                <w:szCs w:val="14"/>
                <w:color w:val="auto"/>
              </w:rPr>
              <w:t>2,488,626</w:t>
            </w:r>
          </w:p>
        </w:tc>
      </w:tr>
      <w:tr>
        <w:trPr>
          <w:trHeight w:val="141"/>
        </w:trPr>
        <w:tc>
          <w:tcPr>
            <w:tcW w:w="2500" w:type="dxa"/>
            <w:vAlign w:val="bottom"/>
            <w:tcBorders>
              <w:left w:val="single" w:sz="8" w:color="auto"/>
            </w:tcBorders>
          </w:tcPr>
          <w:p>
            <w:pPr>
              <w:ind w:left="160"/>
              <w:spacing w:after="0" w:line="141" w:lineRule="exact"/>
              <w:rPr>
                <w:sz w:val="20"/>
                <w:szCs w:val="20"/>
                <w:color w:val="auto"/>
              </w:rPr>
            </w:pPr>
            <w:r>
              <w:rPr>
                <w:rFonts w:ascii="Arial" w:cs="Arial" w:eastAsia="Arial" w:hAnsi="Arial"/>
                <w:sz w:val="14"/>
                <w:szCs w:val="14"/>
                <w:color w:val="auto"/>
              </w:rPr>
              <w:t>John R. Dearborn</w:t>
            </w:r>
          </w:p>
        </w:tc>
        <w:tc>
          <w:tcPr>
            <w:tcW w:w="640" w:type="dxa"/>
            <w:vAlign w:val="bottom"/>
          </w:tcPr>
          <w:p>
            <w:pPr>
              <w:ind w:left="200"/>
              <w:spacing w:after="0" w:line="141" w:lineRule="exact"/>
              <w:rPr>
                <w:sz w:val="20"/>
                <w:szCs w:val="20"/>
                <w:color w:val="auto"/>
              </w:rPr>
            </w:pPr>
            <w:r>
              <w:rPr>
                <w:rFonts w:ascii="Arial" w:cs="Arial" w:eastAsia="Arial" w:hAnsi="Arial"/>
                <w:sz w:val="14"/>
                <w:szCs w:val="14"/>
                <w:color w:val="auto"/>
              </w:rPr>
              <w:t>2014</w:t>
            </w:r>
          </w:p>
        </w:tc>
        <w:tc>
          <w:tcPr>
            <w:tcW w:w="9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442,692</w:t>
            </w:r>
          </w:p>
        </w:tc>
        <w:tc>
          <w:tcPr>
            <w:tcW w:w="820" w:type="dxa"/>
            <w:vAlign w:val="bottom"/>
          </w:tcPr>
          <w:p>
            <w:pPr>
              <w:jc w:val="right"/>
              <w:ind w:right="53"/>
              <w:spacing w:after="0" w:line="141" w:lineRule="exact"/>
              <w:rPr>
                <w:sz w:val="20"/>
                <w:szCs w:val="20"/>
                <w:color w:val="auto"/>
              </w:rPr>
            </w:pPr>
            <w:r>
              <w:rPr>
                <w:rFonts w:ascii="Arial" w:cs="Arial" w:eastAsia="Arial" w:hAnsi="Arial"/>
                <w:sz w:val="14"/>
                <w:szCs w:val="14"/>
                <w:color w:val="auto"/>
              </w:rPr>
              <w:t>200,000</w:t>
            </w:r>
          </w:p>
        </w:tc>
        <w:tc>
          <w:tcPr>
            <w:tcW w:w="1080" w:type="dxa"/>
            <w:vAlign w:val="bottom"/>
          </w:tcPr>
          <w:p>
            <w:pPr>
              <w:jc w:val="right"/>
              <w:ind w:right="53"/>
              <w:spacing w:after="0" w:line="141" w:lineRule="exact"/>
              <w:rPr>
                <w:sz w:val="20"/>
                <w:szCs w:val="20"/>
                <w:color w:val="auto"/>
              </w:rPr>
            </w:pPr>
            <w:r>
              <w:rPr>
                <w:rFonts w:ascii="Arial" w:cs="Arial" w:eastAsia="Arial" w:hAnsi="Arial"/>
                <w:sz w:val="14"/>
                <w:szCs w:val="14"/>
                <w:color w:val="auto"/>
              </w:rPr>
              <w:t>2,158,793</w:t>
            </w:r>
          </w:p>
        </w:tc>
        <w:tc>
          <w:tcPr>
            <w:tcW w:w="1180" w:type="dxa"/>
            <w:vAlign w:val="bottom"/>
          </w:tcPr>
          <w:p>
            <w:pPr>
              <w:jc w:val="right"/>
              <w:ind w:right="113"/>
              <w:spacing w:after="0" w:line="141" w:lineRule="exact"/>
              <w:rPr>
                <w:sz w:val="20"/>
                <w:szCs w:val="20"/>
                <w:color w:val="auto"/>
              </w:rPr>
            </w:pPr>
            <w:r>
              <w:rPr>
                <w:rFonts w:ascii="Arial" w:cs="Arial" w:eastAsia="Arial" w:hAnsi="Arial"/>
                <w:sz w:val="14"/>
                <w:szCs w:val="14"/>
                <w:color w:val="auto"/>
              </w:rPr>
              <w:t>266,160</w:t>
            </w:r>
          </w:p>
        </w:tc>
        <w:tc>
          <w:tcPr>
            <w:tcW w:w="10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125,000</w:t>
            </w:r>
          </w:p>
        </w:tc>
        <w:tc>
          <w:tcPr>
            <w:tcW w:w="1120" w:type="dxa"/>
            <w:vAlign w:val="bottom"/>
          </w:tcPr>
          <w:p>
            <w:pPr>
              <w:jc w:val="right"/>
              <w:ind w:right="54"/>
              <w:spacing w:after="0" w:line="141" w:lineRule="exact"/>
              <w:rPr>
                <w:sz w:val="20"/>
                <w:szCs w:val="20"/>
                <w:color w:val="auto"/>
              </w:rPr>
            </w:pPr>
            <w:r>
              <w:rPr>
                <w:rFonts w:ascii="Arial" w:cs="Arial" w:eastAsia="Arial" w:hAnsi="Arial"/>
                <w:sz w:val="14"/>
                <w:szCs w:val="14"/>
                <w:color w:val="auto"/>
              </w:rPr>
              <w:t>148,450</w:t>
            </w:r>
          </w:p>
        </w:tc>
        <w:tc>
          <w:tcPr>
            <w:tcW w:w="1060" w:type="dxa"/>
            <w:vAlign w:val="bottom"/>
          </w:tcPr>
          <w:p>
            <w:pPr>
              <w:jc w:val="right"/>
              <w:spacing w:after="0" w:line="141" w:lineRule="exact"/>
              <w:rPr>
                <w:sz w:val="20"/>
                <w:szCs w:val="20"/>
                <w:color w:val="auto"/>
              </w:rPr>
            </w:pPr>
            <w:r>
              <w:rPr>
                <w:rFonts w:ascii="Arial" w:cs="Arial" w:eastAsia="Arial" w:hAnsi="Arial"/>
                <w:sz w:val="14"/>
                <w:szCs w:val="14"/>
                <w:color w:val="auto"/>
              </w:rPr>
              <w:t>25,672</w:t>
            </w:r>
          </w:p>
        </w:tc>
        <w:tc>
          <w:tcPr>
            <w:tcW w:w="1060" w:type="dxa"/>
            <w:vAlign w:val="bottom"/>
            <w:tcBorders>
              <w:right w:val="single" w:sz="8" w:color="auto"/>
            </w:tcBorders>
          </w:tcPr>
          <w:p>
            <w:pPr>
              <w:jc w:val="right"/>
              <w:ind w:right="173"/>
              <w:spacing w:after="0" w:line="141" w:lineRule="exact"/>
              <w:rPr>
                <w:sz w:val="20"/>
                <w:szCs w:val="20"/>
                <w:color w:val="auto"/>
              </w:rPr>
            </w:pPr>
            <w:r>
              <w:rPr>
                <w:rFonts w:ascii="Arial" w:cs="Arial" w:eastAsia="Arial" w:hAnsi="Arial"/>
                <w:sz w:val="14"/>
                <w:szCs w:val="14"/>
                <w:color w:val="auto"/>
              </w:rPr>
              <w:t>3,366,767</w:t>
            </w:r>
          </w:p>
        </w:tc>
      </w:tr>
      <w:tr>
        <w:trPr>
          <w:trHeight w:val="149"/>
        </w:trPr>
        <w:tc>
          <w:tcPr>
            <w:tcW w:w="2500" w:type="dxa"/>
            <w:vAlign w:val="bottom"/>
            <w:tcBorders>
              <w:left w:val="single" w:sz="8" w:color="auto"/>
            </w:tcBorders>
          </w:tcPr>
          <w:p>
            <w:pPr>
              <w:ind w:left="160"/>
              <w:spacing w:after="0" w:line="149" w:lineRule="exact"/>
              <w:rPr>
                <w:sz w:val="20"/>
                <w:szCs w:val="20"/>
                <w:color w:val="auto"/>
              </w:rPr>
            </w:pPr>
            <w:r>
              <w:rPr>
                <w:rFonts w:ascii="Arial" w:cs="Arial" w:eastAsia="Arial" w:hAnsi="Arial"/>
                <w:sz w:val="14"/>
                <w:szCs w:val="14"/>
                <w:color w:val="auto"/>
              </w:rPr>
              <w:t>SVP, NGL /</w:t>
            </w:r>
          </w:p>
        </w:tc>
        <w:tc>
          <w:tcPr>
            <w:tcW w:w="640" w:type="dxa"/>
            <w:vAlign w:val="bottom"/>
          </w:tcPr>
          <w:p>
            <w:pPr>
              <w:ind w:left="200"/>
              <w:spacing w:after="0" w:line="149" w:lineRule="exact"/>
              <w:rPr>
                <w:sz w:val="20"/>
                <w:szCs w:val="20"/>
                <w:color w:val="auto"/>
              </w:rPr>
            </w:pPr>
            <w:r>
              <w:rPr>
                <w:rFonts w:ascii="Arial" w:cs="Arial" w:eastAsia="Arial" w:hAnsi="Arial"/>
                <w:sz w:val="14"/>
                <w:szCs w:val="14"/>
                <w:color w:val="auto"/>
              </w:rPr>
              <w:t>2013</w:t>
            </w: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r>
      <w:tr>
        <w:trPr>
          <w:trHeight w:val="149"/>
        </w:trPr>
        <w:tc>
          <w:tcPr>
            <w:tcW w:w="2500" w:type="dxa"/>
            <w:vAlign w:val="bottom"/>
            <w:tcBorders>
              <w:left w:val="single" w:sz="8" w:color="auto"/>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Petchem Services</w:t>
            </w:r>
          </w:p>
        </w:tc>
        <w:tc>
          <w:tcPr>
            <w:tcW w:w="6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r>
      <w:tr>
        <w:trPr>
          <w:trHeight w:val="141"/>
        </w:trPr>
        <w:tc>
          <w:tcPr>
            <w:tcW w:w="2500" w:type="dxa"/>
            <w:vAlign w:val="bottom"/>
            <w:tcBorders>
              <w:left w:val="single" w:sz="8" w:color="auto"/>
            </w:tcBorders>
          </w:tcPr>
          <w:p>
            <w:pPr>
              <w:ind w:left="160"/>
              <w:spacing w:after="0" w:line="141" w:lineRule="exact"/>
              <w:rPr>
                <w:sz w:val="20"/>
                <w:szCs w:val="20"/>
                <w:color w:val="auto"/>
              </w:rPr>
            </w:pPr>
            <w:r>
              <w:rPr>
                <w:rFonts w:ascii="Arial" w:cs="Arial" w:eastAsia="Arial" w:hAnsi="Arial"/>
                <w:sz w:val="14"/>
                <w:szCs w:val="14"/>
                <w:color w:val="auto"/>
              </w:rPr>
              <w:t>James E. Scheel</w:t>
            </w:r>
          </w:p>
        </w:tc>
        <w:tc>
          <w:tcPr>
            <w:tcW w:w="640" w:type="dxa"/>
            <w:vAlign w:val="bottom"/>
            <w:shd w:val="clear" w:color="auto" w:fill="DDE6F2"/>
          </w:tcPr>
          <w:p>
            <w:pPr>
              <w:ind w:left="200"/>
              <w:spacing w:after="0" w:line="141" w:lineRule="exact"/>
              <w:rPr>
                <w:sz w:val="20"/>
                <w:szCs w:val="20"/>
                <w:color w:val="auto"/>
              </w:rPr>
            </w:pPr>
            <w:r>
              <w:rPr>
                <w:rFonts w:ascii="Arial" w:cs="Arial" w:eastAsia="Arial" w:hAnsi="Arial"/>
                <w:sz w:val="14"/>
                <w:szCs w:val="14"/>
                <w:color w:val="auto"/>
              </w:rPr>
              <w:t>2014</w:t>
            </w:r>
          </w:p>
        </w:tc>
        <w:tc>
          <w:tcPr>
            <w:tcW w:w="940" w:type="dxa"/>
            <w:vAlign w:val="bottom"/>
            <w:shd w:val="clear" w:color="auto" w:fill="DDE6F2"/>
          </w:tcPr>
          <w:p>
            <w:pPr>
              <w:jc w:val="right"/>
              <w:ind w:right="52"/>
              <w:spacing w:after="0" w:line="141" w:lineRule="exact"/>
              <w:rPr>
                <w:sz w:val="20"/>
                <w:szCs w:val="20"/>
                <w:color w:val="auto"/>
              </w:rPr>
            </w:pPr>
            <w:r>
              <w:rPr>
                <w:rFonts w:ascii="Arial" w:cs="Arial" w:eastAsia="Arial" w:hAnsi="Arial"/>
                <w:sz w:val="14"/>
                <w:szCs w:val="14"/>
                <w:color w:val="auto"/>
              </w:rPr>
              <w:t>420,385</w:t>
            </w:r>
          </w:p>
        </w:tc>
        <w:tc>
          <w:tcPr>
            <w:tcW w:w="820" w:type="dxa"/>
            <w:vAlign w:val="bottom"/>
            <w:shd w:val="clear" w:color="auto" w:fill="DDE6F2"/>
          </w:tcPr>
          <w:p>
            <w:pPr>
              <w:jc w:val="right"/>
              <w:ind w:right="53"/>
              <w:spacing w:after="0" w:line="141" w:lineRule="exact"/>
              <w:rPr>
                <w:sz w:val="20"/>
                <w:szCs w:val="20"/>
                <w:color w:val="auto"/>
              </w:rPr>
            </w:pPr>
            <w:r>
              <w:rPr>
                <w:rFonts w:ascii="Arial" w:cs="Arial" w:eastAsia="Arial" w:hAnsi="Arial"/>
                <w:sz w:val="14"/>
                <w:szCs w:val="14"/>
                <w:color w:val="auto"/>
              </w:rPr>
              <w:t>-</w:t>
            </w:r>
          </w:p>
        </w:tc>
        <w:tc>
          <w:tcPr>
            <w:tcW w:w="1080" w:type="dxa"/>
            <w:vAlign w:val="bottom"/>
            <w:shd w:val="clear" w:color="auto" w:fill="DDE6F2"/>
          </w:tcPr>
          <w:p>
            <w:pPr>
              <w:jc w:val="right"/>
              <w:ind w:right="53"/>
              <w:spacing w:after="0" w:line="141" w:lineRule="exact"/>
              <w:rPr>
                <w:sz w:val="20"/>
                <w:szCs w:val="20"/>
                <w:color w:val="auto"/>
              </w:rPr>
            </w:pPr>
            <w:r>
              <w:rPr>
                <w:rFonts w:ascii="Arial" w:cs="Arial" w:eastAsia="Arial" w:hAnsi="Arial"/>
                <w:sz w:val="14"/>
                <w:szCs w:val="14"/>
                <w:color w:val="auto"/>
              </w:rPr>
              <w:t>2,117,770</w:t>
            </w:r>
          </w:p>
        </w:tc>
        <w:tc>
          <w:tcPr>
            <w:tcW w:w="1180" w:type="dxa"/>
            <w:vAlign w:val="bottom"/>
            <w:shd w:val="clear" w:color="auto" w:fill="DDE6F2"/>
          </w:tcPr>
          <w:p>
            <w:pPr>
              <w:jc w:val="right"/>
              <w:ind w:right="113"/>
              <w:spacing w:after="0" w:line="141" w:lineRule="exact"/>
              <w:rPr>
                <w:sz w:val="20"/>
                <w:szCs w:val="20"/>
                <w:color w:val="auto"/>
              </w:rPr>
            </w:pPr>
            <w:r>
              <w:rPr>
                <w:rFonts w:ascii="Arial" w:cs="Arial" w:eastAsia="Arial" w:hAnsi="Arial"/>
                <w:sz w:val="14"/>
                <w:szCs w:val="14"/>
                <w:color w:val="auto"/>
              </w:rPr>
              <w:t>228,135</w:t>
            </w:r>
          </w:p>
        </w:tc>
        <w:tc>
          <w:tcPr>
            <w:tcW w:w="1040" w:type="dxa"/>
            <w:vAlign w:val="bottom"/>
            <w:shd w:val="clear" w:color="auto" w:fill="DDE6F2"/>
          </w:tcPr>
          <w:p>
            <w:pPr>
              <w:jc w:val="right"/>
              <w:ind w:right="52"/>
              <w:spacing w:after="0" w:line="141" w:lineRule="exact"/>
              <w:rPr>
                <w:sz w:val="20"/>
                <w:szCs w:val="20"/>
                <w:color w:val="auto"/>
              </w:rPr>
            </w:pPr>
            <w:r>
              <w:rPr>
                <w:rFonts w:ascii="Arial" w:cs="Arial" w:eastAsia="Arial" w:hAnsi="Arial"/>
                <w:sz w:val="14"/>
                <w:szCs w:val="14"/>
                <w:color w:val="auto"/>
              </w:rPr>
              <w:t>142,000</w:t>
            </w:r>
          </w:p>
        </w:tc>
        <w:tc>
          <w:tcPr>
            <w:tcW w:w="1120" w:type="dxa"/>
            <w:vAlign w:val="bottom"/>
            <w:shd w:val="clear" w:color="auto" w:fill="DDE6F2"/>
          </w:tcPr>
          <w:p>
            <w:pPr>
              <w:jc w:val="right"/>
              <w:ind w:right="54"/>
              <w:spacing w:after="0" w:line="141" w:lineRule="exact"/>
              <w:rPr>
                <w:sz w:val="20"/>
                <w:szCs w:val="20"/>
                <w:color w:val="auto"/>
              </w:rPr>
            </w:pPr>
            <w:r>
              <w:rPr>
                <w:rFonts w:ascii="Arial" w:cs="Arial" w:eastAsia="Arial" w:hAnsi="Arial"/>
                <w:sz w:val="14"/>
                <w:szCs w:val="14"/>
                <w:color w:val="auto"/>
              </w:rPr>
              <w:t>365,137</w:t>
            </w:r>
          </w:p>
        </w:tc>
        <w:tc>
          <w:tcPr>
            <w:tcW w:w="1060" w:type="dxa"/>
            <w:vAlign w:val="bottom"/>
            <w:shd w:val="clear" w:color="auto" w:fill="DDE6F2"/>
          </w:tcPr>
          <w:p>
            <w:pPr>
              <w:jc w:val="right"/>
              <w:spacing w:after="0" w:line="141" w:lineRule="exact"/>
              <w:rPr>
                <w:sz w:val="20"/>
                <w:szCs w:val="20"/>
                <w:color w:val="auto"/>
              </w:rPr>
            </w:pPr>
            <w:r>
              <w:rPr>
                <w:rFonts w:ascii="Arial" w:cs="Arial" w:eastAsia="Arial" w:hAnsi="Arial"/>
                <w:sz w:val="14"/>
                <w:szCs w:val="14"/>
                <w:color w:val="auto"/>
              </w:rPr>
              <w:t>22,440</w:t>
            </w:r>
          </w:p>
        </w:tc>
        <w:tc>
          <w:tcPr>
            <w:tcW w:w="1060" w:type="dxa"/>
            <w:vAlign w:val="bottom"/>
            <w:tcBorders>
              <w:right w:val="single" w:sz="8" w:color="auto"/>
            </w:tcBorders>
            <w:shd w:val="clear" w:color="auto" w:fill="DDE6F2"/>
          </w:tcPr>
          <w:p>
            <w:pPr>
              <w:jc w:val="right"/>
              <w:ind w:right="173"/>
              <w:spacing w:after="0" w:line="141" w:lineRule="exact"/>
              <w:rPr>
                <w:sz w:val="20"/>
                <w:szCs w:val="20"/>
                <w:color w:val="auto"/>
              </w:rPr>
            </w:pPr>
            <w:r>
              <w:rPr>
                <w:rFonts w:ascii="Arial" w:cs="Arial" w:eastAsia="Arial" w:hAnsi="Arial"/>
                <w:sz w:val="14"/>
                <w:szCs w:val="14"/>
                <w:color w:val="auto"/>
              </w:rPr>
              <w:t>3,295,866</w:t>
            </w:r>
          </w:p>
        </w:tc>
      </w:tr>
      <w:tr>
        <w:trPr>
          <w:trHeight w:val="149"/>
        </w:trPr>
        <w:tc>
          <w:tcPr>
            <w:tcW w:w="2500" w:type="dxa"/>
            <w:vAlign w:val="bottom"/>
            <w:tcBorders>
              <w:left w:val="single" w:sz="8" w:color="auto"/>
            </w:tcBorders>
          </w:tcPr>
          <w:p>
            <w:pPr>
              <w:ind w:left="160"/>
              <w:spacing w:after="0" w:line="149" w:lineRule="exact"/>
              <w:rPr>
                <w:sz w:val="20"/>
                <w:szCs w:val="20"/>
                <w:color w:val="auto"/>
              </w:rPr>
            </w:pPr>
            <w:r>
              <w:rPr>
                <w:rFonts w:ascii="Arial" w:cs="Arial" w:eastAsia="Arial" w:hAnsi="Arial"/>
                <w:sz w:val="14"/>
                <w:szCs w:val="14"/>
                <w:color w:val="auto"/>
              </w:rPr>
              <w:t>SVP, Northeast</w:t>
            </w:r>
          </w:p>
        </w:tc>
        <w:tc>
          <w:tcPr>
            <w:tcW w:w="640" w:type="dxa"/>
            <w:vAlign w:val="bottom"/>
            <w:shd w:val="clear" w:color="auto" w:fill="DDE6F2"/>
          </w:tcPr>
          <w:p>
            <w:pPr>
              <w:ind w:left="200"/>
              <w:spacing w:after="0" w:line="149" w:lineRule="exact"/>
              <w:rPr>
                <w:sz w:val="20"/>
                <w:szCs w:val="20"/>
                <w:color w:val="auto"/>
              </w:rPr>
            </w:pPr>
            <w:r>
              <w:rPr>
                <w:rFonts w:ascii="Arial" w:cs="Arial" w:eastAsia="Arial" w:hAnsi="Arial"/>
                <w:sz w:val="14"/>
                <w:szCs w:val="14"/>
                <w:color w:val="auto"/>
              </w:rPr>
              <w:t>2013</w:t>
            </w:r>
          </w:p>
        </w:tc>
        <w:tc>
          <w:tcPr>
            <w:tcW w:w="940" w:type="dxa"/>
            <w:vAlign w:val="bottom"/>
            <w:shd w:val="clear" w:color="auto" w:fill="DDE6F2"/>
          </w:tcPr>
          <w:p>
            <w:pPr>
              <w:jc w:val="right"/>
              <w:ind w:right="52"/>
              <w:spacing w:after="0" w:line="149" w:lineRule="exact"/>
              <w:rPr>
                <w:sz w:val="20"/>
                <w:szCs w:val="20"/>
                <w:color w:val="auto"/>
              </w:rPr>
            </w:pPr>
            <w:r>
              <w:rPr>
                <w:rFonts w:ascii="Arial" w:cs="Arial" w:eastAsia="Arial" w:hAnsi="Arial"/>
                <w:sz w:val="14"/>
                <w:szCs w:val="14"/>
                <w:color w:val="auto"/>
              </w:rPr>
              <w:t>392,692</w:t>
            </w:r>
          </w:p>
        </w:tc>
        <w:tc>
          <w:tcPr>
            <w:tcW w:w="820" w:type="dxa"/>
            <w:vAlign w:val="bottom"/>
            <w:shd w:val="clear" w:color="auto" w:fill="DDE6F2"/>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DDE6F2"/>
          </w:tcPr>
          <w:p>
            <w:pPr>
              <w:jc w:val="right"/>
              <w:ind w:right="53"/>
              <w:spacing w:after="0" w:line="149" w:lineRule="exact"/>
              <w:rPr>
                <w:sz w:val="20"/>
                <w:szCs w:val="20"/>
                <w:color w:val="auto"/>
              </w:rPr>
            </w:pPr>
            <w:r>
              <w:rPr>
                <w:rFonts w:ascii="Arial" w:cs="Arial" w:eastAsia="Arial" w:hAnsi="Arial"/>
                <w:sz w:val="14"/>
                <w:szCs w:val="14"/>
                <w:color w:val="auto"/>
              </w:rPr>
              <w:t>984,937</w:t>
            </w:r>
          </w:p>
        </w:tc>
        <w:tc>
          <w:tcPr>
            <w:tcW w:w="1180" w:type="dxa"/>
            <w:vAlign w:val="bottom"/>
            <w:shd w:val="clear" w:color="auto" w:fill="DDE6F2"/>
          </w:tcPr>
          <w:p>
            <w:pPr>
              <w:jc w:val="right"/>
              <w:ind w:right="113"/>
              <w:spacing w:after="0" w:line="149" w:lineRule="exact"/>
              <w:rPr>
                <w:sz w:val="20"/>
                <w:szCs w:val="20"/>
                <w:color w:val="auto"/>
              </w:rPr>
            </w:pPr>
            <w:r>
              <w:rPr>
                <w:rFonts w:ascii="Arial" w:cs="Arial" w:eastAsia="Arial" w:hAnsi="Arial"/>
                <w:sz w:val="14"/>
                <w:szCs w:val="14"/>
                <w:color w:val="auto"/>
              </w:rPr>
              <w:t>245,702</w:t>
            </w:r>
          </w:p>
        </w:tc>
        <w:tc>
          <w:tcPr>
            <w:tcW w:w="1040" w:type="dxa"/>
            <w:vAlign w:val="bottom"/>
            <w:shd w:val="clear" w:color="auto" w:fill="DDE6F2"/>
          </w:tcPr>
          <w:p>
            <w:pPr>
              <w:jc w:val="right"/>
              <w:ind w:right="52"/>
              <w:spacing w:after="0" w:line="149" w:lineRule="exact"/>
              <w:rPr>
                <w:sz w:val="20"/>
                <w:szCs w:val="20"/>
                <w:color w:val="auto"/>
              </w:rPr>
            </w:pPr>
            <w:r>
              <w:rPr>
                <w:rFonts w:ascii="Arial" w:cs="Arial" w:eastAsia="Arial" w:hAnsi="Arial"/>
                <w:sz w:val="14"/>
                <w:szCs w:val="14"/>
                <w:color w:val="auto"/>
              </w:rPr>
              <w:t>190,000</w:t>
            </w:r>
          </w:p>
        </w:tc>
        <w:tc>
          <w:tcPr>
            <w:tcW w:w="1120" w:type="dxa"/>
            <w:vAlign w:val="bottom"/>
            <w:shd w:val="clear" w:color="auto" w:fill="DDE6F2"/>
          </w:tcPr>
          <w:p>
            <w:pPr>
              <w:jc w:val="right"/>
              <w:ind w:right="54"/>
              <w:spacing w:after="0" w:line="149" w:lineRule="exact"/>
              <w:rPr>
                <w:sz w:val="20"/>
                <w:szCs w:val="20"/>
                <w:color w:val="auto"/>
              </w:rPr>
            </w:pPr>
            <w:r>
              <w:rPr>
                <w:rFonts w:ascii="Arial" w:cs="Arial" w:eastAsia="Arial" w:hAnsi="Arial"/>
                <w:sz w:val="14"/>
                <w:szCs w:val="14"/>
                <w:color w:val="auto"/>
              </w:rPr>
              <w:t>(137,945)</w:t>
            </w:r>
          </w:p>
        </w:tc>
        <w:tc>
          <w:tcPr>
            <w:tcW w:w="1060" w:type="dxa"/>
            <w:vAlign w:val="bottom"/>
            <w:shd w:val="clear" w:color="auto" w:fill="DDE6F2"/>
          </w:tcPr>
          <w:p>
            <w:pPr>
              <w:jc w:val="right"/>
              <w:spacing w:after="0" w:line="149" w:lineRule="exact"/>
              <w:rPr>
                <w:sz w:val="20"/>
                <w:szCs w:val="20"/>
                <w:color w:val="auto"/>
              </w:rPr>
            </w:pPr>
            <w:r>
              <w:rPr>
                <w:rFonts w:ascii="Arial" w:cs="Arial" w:eastAsia="Arial" w:hAnsi="Arial"/>
                <w:sz w:val="14"/>
                <w:szCs w:val="14"/>
                <w:color w:val="auto"/>
              </w:rPr>
              <w:t>20,448</w:t>
            </w:r>
          </w:p>
        </w:tc>
        <w:tc>
          <w:tcPr>
            <w:tcW w:w="1060" w:type="dxa"/>
            <w:vAlign w:val="bottom"/>
            <w:tcBorders>
              <w:right w:val="single" w:sz="8" w:color="auto"/>
            </w:tcBorders>
            <w:shd w:val="clear" w:color="auto" w:fill="DDE6F2"/>
          </w:tcPr>
          <w:p>
            <w:pPr>
              <w:jc w:val="right"/>
              <w:ind w:right="173"/>
              <w:spacing w:after="0" w:line="149" w:lineRule="exact"/>
              <w:rPr>
                <w:sz w:val="20"/>
                <w:szCs w:val="20"/>
                <w:color w:val="auto"/>
              </w:rPr>
            </w:pPr>
            <w:r>
              <w:rPr>
                <w:rFonts w:ascii="Arial" w:cs="Arial" w:eastAsia="Arial" w:hAnsi="Arial"/>
                <w:sz w:val="14"/>
                <w:szCs w:val="14"/>
                <w:color w:val="auto"/>
              </w:rPr>
              <w:t>1,695,834</w:t>
            </w:r>
          </w:p>
        </w:tc>
      </w:tr>
      <w:tr>
        <w:trPr>
          <w:trHeight w:val="149"/>
        </w:trPr>
        <w:tc>
          <w:tcPr>
            <w:tcW w:w="2500" w:type="dxa"/>
            <w:vAlign w:val="bottom"/>
            <w:tcBorders>
              <w:left w:val="single" w:sz="8" w:color="auto"/>
            </w:tcBorders>
          </w:tcPr>
          <w:p>
            <w:pPr>
              <w:ind w:left="160"/>
              <w:spacing w:after="0" w:line="149" w:lineRule="exact"/>
              <w:rPr>
                <w:sz w:val="20"/>
                <w:szCs w:val="20"/>
                <w:color w:val="auto"/>
              </w:rPr>
            </w:pPr>
            <w:r>
              <w:rPr>
                <w:rFonts w:ascii="Arial" w:cs="Arial" w:eastAsia="Arial" w:hAnsi="Arial"/>
                <w:sz w:val="14"/>
                <w:szCs w:val="14"/>
                <w:color w:val="auto"/>
              </w:rPr>
              <w:t>Gathering &amp;</w:t>
            </w:r>
          </w:p>
        </w:tc>
        <w:tc>
          <w:tcPr>
            <w:tcW w:w="640" w:type="dxa"/>
            <w:vAlign w:val="bottom"/>
            <w:shd w:val="clear" w:color="auto" w:fill="DDE6F2"/>
          </w:tcPr>
          <w:p>
            <w:pPr>
              <w:ind w:left="200"/>
              <w:spacing w:after="0" w:line="149" w:lineRule="exact"/>
              <w:rPr>
                <w:sz w:val="20"/>
                <w:szCs w:val="20"/>
                <w:color w:val="auto"/>
              </w:rPr>
            </w:pPr>
            <w:r>
              <w:rPr>
                <w:rFonts w:ascii="Arial" w:cs="Arial" w:eastAsia="Arial" w:hAnsi="Arial"/>
                <w:sz w:val="14"/>
                <w:szCs w:val="14"/>
                <w:color w:val="auto"/>
              </w:rPr>
              <w:t>2012</w:t>
            </w:r>
          </w:p>
        </w:tc>
        <w:tc>
          <w:tcPr>
            <w:tcW w:w="940" w:type="dxa"/>
            <w:vAlign w:val="bottom"/>
            <w:shd w:val="clear" w:color="auto" w:fill="DDE6F2"/>
          </w:tcPr>
          <w:p>
            <w:pPr>
              <w:spacing w:after="0"/>
              <w:rPr>
                <w:sz w:val="12"/>
                <w:szCs w:val="12"/>
                <w:color w:val="auto"/>
              </w:rPr>
            </w:pPr>
          </w:p>
        </w:tc>
        <w:tc>
          <w:tcPr>
            <w:tcW w:w="820" w:type="dxa"/>
            <w:vAlign w:val="bottom"/>
            <w:shd w:val="clear" w:color="auto" w:fill="DDE6F2"/>
          </w:tcPr>
          <w:p>
            <w:pPr>
              <w:spacing w:after="0"/>
              <w:rPr>
                <w:sz w:val="12"/>
                <w:szCs w:val="12"/>
                <w:color w:val="auto"/>
              </w:rPr>
            </w:pPr>
          </w:p>
        </w:tc>
        <w:tc>
          <w:tcPr>
            <w:tcW w:w="1080" w:type="dxa"/>
            <w:vAlign w:val="bottom"/>
            <w:shd w:val="clear" w:color="auto" w:fill="DDE6F2"/>
          </w:tcPr>
          <w:p>
            <w:pPr>
              <w:spacing w:after="0"/>
              <w:rPr>
                <w:sz w:val="12"/>
                <w:szCs w:val="12"/>
                <w:color w:val="auto"/>
              </w:rPr>
            </w:pPr>
          </w:p>
        </w:tc>
        <w:tc>
          <w:tcPr>
            <w:tcW w:w="1180" w:type="dxa"/>
            <w:vAlign w:val="bottom"/>
            <w:shd w:val="clear" w:color="auto" w:fill="DDE6F2"/>
          </w:tcPr>
          <w:p>
            <w:pPr>
              <w:spacing w:after="0"/>
              <w:rPr>
                <w:sz w:val="12"/>
                <w:szCs w:val="12"/>
                <w:color w:val="auto"/>
              </w:rPr>
            </w:pPr>
          </w:p>
        </w:tc>
        <w:tc>
          <w:tcPr>
            <w:tcW w:w="1040" w:type="dxa"/>
            <w:vAlign w:val="bottom"/>
            <w:shd w:val="clear" w:color="auto" w:fill="DDE6F2"/>
          </w:tcPr>
          <w:p>
            <w:pPr>
              <w:spacing w:after="0"/>
              <w:rPr>
                <w:sz w:val="12"/>
                <w:szCs w:val="12"/>
                <w:color w:val="auto"/>
              </w:rPr>
            </w:pPr>
          </w:p>
        </w:tc>
        <w:tc>
          <w:tcPr>
            <w:tcW w:w="1120" w:type="dxa"/>
            <w:vAlign w:val="bottom"/>
            <w:shd w:val="clear" w:color="auto" w:fill="DDE6F2"/>
          </w:tcPr>
          <w:p>
            <w:pPr>
              <w:spacing w:after="0"/>
              <w:rPr>
                <w:sz w:val="12"/>
                <w:szCs w:val="12"/>
                <w:color w:val="auto"/>
              </w:rPr>
            </w:pPr>
          </w:p>
        </w:tc>
        <w:tc>
          <w:tcPr>
            <w:tcW w:w="1060" w:type="dxa"/>
            <w:vAlign w:val="bottom"/>
            <w:shd w:val="clear" w:color="auto" w:fill="DDE6F2"/>
          </w:tcPr>
          <w:p>
            <w:pPr>
              <w:spacing w:after="0"/>
              <w:rPr>
                <w:sz w:val="12"/>
                <w:szCs w:val="12"/>
                <w:color w:val="auto"/>
              </w:rPr>
            </w:pPr>
          </w:p>
        </w:tc>
        <w:tc>
          <w:tcPr>
            <w:tcW w:w="1060" w:type="dxa"/>
            <w:vAlign w:val="bottom"/>
            <w:tcBorders>
              <w:right w:val="single" w:sz="8" w:color="auto"/>
            </w:tcBorders>
            <w:shd w:val="clear" w:color="auto" w:fill="DDE6F2"/>
          </w:tcPr>
          <w:p>
            <w:pPr>
              <w:spacing w:after="0"/>
              <w:rPr>
                <w:sz w:val="12"/>
                <w:szCs w:val="12"/>
                <w:color w:val="auto"/>
              </w:rPr>
            </w:pPr>
          </w:p>
        </w:tc>
      </w:tr>
      <w:tr>
        <w:trPr>
          <w:trHeight w:val="162"/>
        </w:trPr>
        <w:tc>
          <w:tcPr>
            <w:tcW w:w="25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Processing</w:t>
            </w:r>
          </w:p>
        </w:tc>
        <w:tc>
          <w:tcPr>
            <w:tcW w:w="640" w:type="dxa"/>
            <w:vAlign w:val="bottom"/>
            <w:tcBorders>
              <w:bottom w:val="single" w:sz="8" w:color="auto"/>
            </w:tcBorders>
            <w:shd w:val="clear" w:color="auto" w:fill="DDE6F2"/>
          </w:tcPr>
          <w:p>
            <w:pPr>
              <w:spacing w:after="0"/>
              <w:rPr>
                <w:sz w:val="14"/>
                <w:szCs w:val="14"/>
                <w:color w:val="auto"/>
              </w:rPr>
            </w:pPr>
          </w:p>
        </w:tc>
        <w:tc>
          <w:tcPr>
            <w:tcW w:w="940" w:type="dxa"/>
            <w:vAlign w:val="bottom"/>
            <w:tcBorders>
              <w:bottom w:val="single" w:sz="8" w:color="auto"/>
            </w:tcBorders>
            <w:shd w:val="clear" w:color="auto" w:fill="DDE6F2"/>
          </w:tcPr>
          <w:p>
            <w:pPr>
              <w:spacing w:after="0"/>
              <w:rPr>
                <w:sz w:val="14"/>
                <w:szCs w:val="14"/>
                <w:color w:val="auto"/>
              </w:rPr>
            </w:pPr>
          </w:p>
        </w:tc>
        <w:tc>
          <w:tcPr>
            <w:tcW w:w="820" w:type="dxa"/>
            <w:vAlign w:val="bottom"/>
            <w:tcBorders>
              <w:bottom w:val="single" w:sz="8" w:color="auto"/>
            </w:tcBorders>
            <w:shd w:val="clear" w:color="auto" w:fill="DDE6F2"/>
          </w:tcPr>
          <w:p>
            <w:pPr>
              <w:spacing w:after="0"/>
              <w:rPr>
                <w:sz w:val="14"/>
                <w:szCs w:val="14"/>
                <w:color w:val="auto"/>
              </w:rPr>
            </w:pPr>
          </w:p>
        </w:tc>
        <w:tc>
          <w:tcPr>
            <w:tcW w:w="1080" w:type="dxa"/>
            <w:vAlign w:val="bottom"/>
            <w:tcBorders>
              <w:bottom w:val="single" w:sz="8" w:color="auto"/>
            </w:tcBorders>
            <w:shd w:val="clear" w:color="auto" w:fill="DDE6F2"/>
          </w:tcPr>
          <w:p>
            <w:pPr>
              <w:spacing w:after="0"/>
              <w:rPr>
                <w:sz w:val="14"/>
                <w:szCs w:val="14"/>
                <w:color w:val="auto"/>
              </w:rPr>
            </w:pPr>
          </w:p>
        </w:tc>
        <w:tc>
          <w:tcPr>
            <w:tcW w:w="1180" w:type="dxa"/>
            <w:vAlign w:val="bottom"/>
            <w:tcBorders>
              <w:bottom w:val="single" w:sz="8" w:color="auto"/>
            </w:tcBorders>
            <w:shd w:val="clear" w:color="auto" w:fill="DDE6F2"/>
          </w:tcPr>
          <w:p>
            <w:pPr>
              <w:spacing w:after="0"/>
              <w:rPr>
                <w:sz w:val="14"/>
                <w:szCs w:val="14"/>
                <w:color w:val="auto"/>
              </w:rPr>
            </w:pPr>
          </w:p>
        </w:tc>
        <w:tc>
          <w:tcPr>
            <w:tcW w:w="1040" w:type="dxa"/>
            <w:vAlign w:val="bottom"/>
            <w:tcBorders>
              <w:bottom w:val="single" w:sz="8" w:color="auto"/>
            </w:tcBorders>
            <w:shd w:val="clear" w:color="auto" w:fill="DDE6F2"/>
          </w:tcPr>
          <w:p>
            <w:pPr>
              <w:spacing w:after="0"/>
              <w:rPr>
                <w:sz w:val="14"/>
                <w:szCs w:val="14"/>
                <w:color w:val="auto"/>
              </w:rPr>
            </w:pPr>
          </w:p>
        </w:tc>
        <w:tc>
          <w:tcPr>
            <w:tcW w:w="1120" w:type="dxa"/>
            <w:vAlign w:val="bottom"/>
            <w:tcBorders>
              <w:bottom w:val="single" w:sz="8" w:color="auto"/>
            </w:tcBorders>
            <w:shd w:val="clear" w:color="auto" w:fill="DDE6F2"/>
          </w:tcPr>
          <w:p>
            <w:pPr>
              <w:spacing w:after="0"/>
              <w:rPr>
                <w:sz w:val="14"/>
                <w:szCs w:val="14"/>
                <w:color w:val="auto"/>
              </w:rPr>
            </w:pPr>
          </w:p>
        </w:tc>
        <w:tc>
          <w:tcPr>
            <w:tcW w:w="1060" w:type="dxa"/>
            <w:vAlign w:val="bottom"/>
            <w:tcBorders>
              <w:bottom w:val="single" w:sz="8" w:color="auto"/>
            </w:tcBorders>
            <w:shd w:val="clear" w:color="auto" w:fill="DDE6F2"/>
          </w:tcPr>
          <w:p>
            <w:pPr>
              <w:spacing w:after="0"/>
              <w:rPr>
                <w:sz w:val="14"/>
                <w:szCs w:val="14"/>
                <w:color w:val="auto"/>
              </w:rPr>
            </w:pPr>
          </w:p>
        </w:tc>
        <w:tc>
          <w:tcPr>
            <w:tcW w:w="1060" w:type="dxa"/>
            <w:vAlign w:val="bottom"/>
            <w:tcBorders>
              <w:bottom w:val="single" w:sz="8" w:color="auto"/>
              <w:right w:val="single" w:sz="8" w:color="auto"/>
            </w:tcBorders>
            <w:shd w:val="clear" w:color="auto" w:fill="DDE6F2"/>
          </w:tcPr>
          <w:p>
            <w:pPr>
              <w:spacing w:after="0"/>
              <w:rPr>
                <w:sz w:val="14"/>
                <w:szCs w:val="14"/>
                <w:color w:val="auto"/>
              </w:rPr>
            </w:pPr>
          </w:p>
        </w:tc>
      </w:tr>
      <w:tr>
        <w:trPr>
          <w:trHeight w:val="376"/>
        </w:trPr>
        <w:tc>
          <w:tcPr>
            <w:tcW w:w="2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gridSpan w:val="4"/>
          </w:tcPr>
          <w:p>
            <w:pPr>
              <w:jc w:val="right"/>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1040" w:type="dxa"/>
            <w:vAlign w:val="bottom"/>
          </w:tcPr>
          <w:p>
            <w:pPr>
              <w:jc w:val="right"/>
              <w:ind w:right="352"/>
              <w:spacing w:after="0"/>
              <w:rPr>
                <w:sz w:val="20"/>
                <w:szCs w:val="20"/>
                <w:color w:val="auto"/>
              </w:rPr>
            </w:pPr>
            <w:r>
              <w:rPr>
                <w:rFonts w:ascii="Arial" w:cs="Arial" w:eastAsia="Arial" w:hAnsi="Arial"/>
                <w:sz w:val="20"/>
                <w:szCs w:val="20"/>
                <w:color w:val="auto"/>
              </w:rPr>
              <w:t>57</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205740</wp:posOffset>
            </wp:positionV>
            <wp:extent cx="228092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2809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0" w:hanging="346"/>
        <w:spacing w:after="0"/>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John Dearborn was provided a $200,000 retention bonus at hire that was paid in 2014. There are no additional cash payments due.</w:t>
      </w:r>
    </w:p>
    <w:p>
      <w:pPr>
        <w:spacing w:after="0" w:line="1" w:lineRule="exact"/>
        <w:rPr>
          <w:rFonts w:ascii="Arial" w:cs="Arial" w:eastAsia="Arial" w:hAnsi="Arial"/>
          <w:sz w:val="14"/>
          <w:szCs w:val="14"/>
          <w:color w:val="auto"/>
        </w:rPr>
      </w:pPr>
    </w:p>
    <w:p>
      <w:pPr>
        <w:jc w:val="both"/>
        <w:ind w:left="800" w:hanging="346"/>
        <w:spacing w:after="0"/>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Stock Awards. Awards were granted under the terms of the 2007 Incentive Plan and include time-based and performance-based RSUs. Amounts shown are the grant date fair value of awards computed in accordance with FASB ASC Topic 718. The assumptions used to value the stock awards can be found in our Annual Report on Form 10-K for the year-ended December 31, 2014. Also includes a leveraged RSU award granted on October 25, 2014. The leveraged RSU is a new type of grant for Williams and is not expected to be a part of the annual equity awards.</w:t>
      </w:r>
    </w:p>
    <w:p>
      <w:pPr>
        <w:spacing w:after="0" w:line="1" w:lineRule="exact"/>
        <w:rPr>
          <w:rFonts w:ascii="Arial" w:cs="Arial" w:eastAsia="Arial" w:hAnsi="Arial"/>
          <w:sz w:val="14"/>
          <w:szCs w:val="14"/>
          <w:color w:val="auto"/>
        </w:rPr>
      </w:pPr>
    </w:p>
    <w:p>
      <w:pPr>
        <w:ind w:left="800"/>
        <w:spacing w:after="0"/>
        <w:rPr>
          <w:rFonts w:ascii="Arial" w:cs="Arial" w:eastAsia="Arial" w:hAnsi="Arial"/>
          <w:sz w:val="14"/>
          <w:szCs w:val="14"/>
          <w:color w:val="auto"/>
        </w:rPr>
      </w:pPr>
      <w:r>
        <w:rPr>
          <w:rFonts w:ascii="Arial" w:cs="Arial" w:eastAsia="Arial" w:hAnsi="Arial"/>
          <w:sz w:val="16"/>
          <w:szCs w:val="16"/>
          <w:color w:val="auto"/>
        </w:rPr>
        <w:t>The potential maximum values of the performance-based RSUs, subject to changes in performance outcomes, are as follows:</w:t>
      </w:r>
    </w:p>
    <w:p>
      <w:pPr>
        <w:spacing w:after="0" w:line="226" w:lineRule="exact"/>
        <w:rPr>
          <w:sz w:val="20"/>
          <w:szCs w:val="20"/>
          <w:color w:val="auto"/>
        </w:rPr>
      </w:pPr>
    </w:p>
    <w:tbl>
      <w:tblPr>
        <w:tblLayout w:type="fixed"/>
        <w:tblInd w:w="830" w:type="dxa"/>
        <w:tblCellMar>
          <w:top w:w="0" w:type="dxa"/>
          <w:left w:w="0" w:type="dxa"/>
          <w:bottom w:w="0" w:type="dxa"/>
          <w:right w:w="0" w:type="dxa"/>
        </w:tblCellMar>
      </w:tblPr>
      <w:tr>
        <w:trPr>
          <w:trHeight w:val="176"/>
        </w:trPr>
        <w:tc>
          <w:tcPr>
            <w:tcW w:w="3780" w:type="dxa"/>
            <w:vAlign w:val="bottom"/>
            <w:tcBorders>
              <w:top w:val="single" w:sz="8" w:color="auto"/>
              <w:left w:val="single" w:sz="8" w:color="auto"/>
              <w:bottom w:val="single" w:sz="8" w:color="auto"/>
            </w:tcBorders>
          </w:tcPr>
          <w:p>
            <w:pPr>
              <w:spacing w:after="0"/>
              <w:rPr>
                <w:sz w:val="15"/>
                <w:szCs w:val="15"/>
                <w:color w:val="auto"/>
              </w:rPr>
            </w:pPr>
          </w:p>
        </w:tc>
        <w:tc>
          <w:tcPr>
            <w:tcW w:w="6040" w:type="dxa"/>
            <w:vAlign w:val="bottom"/>
            <w:tcBorders>
              <w:top w:val="single" w:sz="8" w:color="auto"/>
              <w:bottom w:val="single" w:sz="8" w:color="auto"/>
              <w:right w:val="single" w:sz="8" w:color="auto"/>
            </w:tcBorders>
          </w:tcPr>
          <w:p>
            <w:pPr>
              <w:ind w:left="2420"/>
              <w:spacing w:after="0"/>
              <w:rPr>
                <w:sz w:val="20"/>
                <w:szCs w:val="20"/>
                <w:color w:val="auto"/>
              </w:rPr>
            </w:pPr>
            <w:r>
              <w:rPr>
                <w:rFonts w:ascii="Arial" w:cs="Arial" w:eastAsia="Arial" w:hAnsi="Arial"/>
                <w:sz w:val="14"/>
                <w:szCs w:val="14"/>
                <w:b w:val="1"/>
                <w:bCs w:val="1"/>
                <w:color w:val="auto"/>
              </w:rPr>
              <w:t>2014 Performance-Based RSU Maximum Potential</w:t>
            </w:r>
          </w:p>
        </w:tc>
      </w:tr>
      <w:tr>
        <w:trPr>
          <w:trHeight w:val="156"/>
        </w:trPr>
        <w:tc>
          <w:tcPr>
            <w:tcW w:w="3780" w:type="dxa"/>
            <w:vAlign w:val="bottom"/>
            <w:tcBorders>
              <w:left w:val="single" w:sz="8" w:color="auto"/>
            </w:tcBorders>
            <w:shd w:val="clear" w:color="auto" w:fill="DDE6F2"/>
          </w:tcPr>
          <w:p>
            <w:pPr>
              <w:ind w:left="140"/>
              <w:spacing w:after="0" w:line="155" w:lineRule="exact"/>
              <w:rPr>
                <w:sz w:val="20"/>
                <w:szCs w:val="20"/>
                <w:color w:val="auto"/>
              </w:rPr>
            </w:pPr>
            <w:r>
              <w:rPr>
                <w:rFonts w:ascii="Arial" w:cs="Arial" w:eastAsia="Arial" w:hAnsi="Arial"/>
                <w:sz w:val="14"/>
                <w:szCs w:val="14"/>
                <w:color w:val="auto"/>
              </w:rPr>
              <w:t>Alan S. Armstrong</w:t>
            </w:r>
          </w:p>
        </w:tc>
        <w:tc>
          <w:tcPr>
            <w:tcW w:w="6040" w:type="dxa"/>
            <w:vAlign w:val="bottom"/>
            <w:tcBorders>
              <w:right w:val="single" w:sz="8" w:color="auto"/>
            </w:tcBorders>
            <w:shd w:val="clear" w:color="auto" w:fill="DDE6F2"/>
          </w:tcPr>
          <w:p>
            <w:pPr>
              <w:jc w:val="center"/>
              <w:ind w:left="2328"/>
              <w:spacing w:after="0" w:line="155" w:lineRule="exact"/>
              <w:rPr>
                <w:sz w:val="20"/>
                <w:szCs w:val="20"/>
                <w:color w:val="auto"/>
              </w:rPr>
            </w:pPr>
            <w:r>
              <w:rPr>
                <w:rFonts w:ascii="Arial" w:cs="Arial" w:eastAsia="Arial" w:hAnsi="Arial"/>
                <w:sz w:val="14"/>
                <w:szCs w:val="14"/>
                <w:color w:val="auto"/>
              </w:rPr>
              <w:t>$5,161,632</w:t>
            </w:r>
          </w:p>
        </w:tc>
      </w:tr>
      <w:tr>
        <w:trPr>
          <w:trHeight w:val="162"/>
        </w:trPr>
        <w:tc>
          <w:tcPr>
            <w:tcW w:w="378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Donald R. Chappel</w:t>
            </w:r>
          </w:p>
        </w:tc>
        <w:tc>
          <w:tcPr>
            <w:tcW w:w="6040" w:type="dxa"/>
            <w:vAlign w:val="bottom"/>
            <w:tcBorders>
              <w:right w:val="single" w:sz="8" w:color="auto"/>
            </w:tcBorders>
          </w:tcPr>
          <w:p>
            <w:pPr>
              <w:jc w:val="center"/>
              <w:ind w:left="2328"/>
              <w:spacing w:after="0"/>
              <w:rPr>
                <w:sz w:val="20"/>
                <w:szCs w:val="20"/>
                <w:color w:val="auto"/>
              </w:rPr>
            </w:pPr>
            <w:r>
              <w:rPr>
                <w:rFonts w:ascii="Arial" w:cs="Arial" w:eastAsia="Arial" w:hAnsi="Arial"/>
                <w:sz w:val="14"/>
                <w:szCs w:val="14"/>
                <w:color w:val="auto"/>
              </w:rPr>
              <w:t>1,930,560</w:t>
            </w:r>
          </w:p>
        </w:tc>
      </w:tr>
      <w:tr>
        <w:trPr>
          <w:trHeight w:val="162"/>
        </w:trPr>
        <w:tc>
          <w:tcPr>
            <w:tcW w:w="3780" w:type="dxa"/>
            <w:vAlign w:val="bottom"/>
            <w:tcBorders>
              <w:left w:val="single" w:sz="8" w:color="auto"/>
            </w:tcBorders>
            <w:shd w:val="clear" w:color="auto" w:fill="DDE6F2"/>
          </w:tcPr>
          <w:p>
            <w:pPr>
              <w:ind w:left="140"/>
              <w:spacing w:after="0"/>
              <w:rPr>
                <w:sz w:val="20"/>
                <w:szCs w:val="20"/>
                <w:color w:val="auto"/>
              </w:rPr>
            </w:pPr>
            <w:r>
              <w:rPr>
                <w:rFonts w:ascii="Arial" w:cs="Arial" w:eastAsia="Arial" w:hAnsi="Arial"/>
                <w:sz w:val="14"/>
                <w:szCs w:val="14"/>
                <w:color w:val="auto"/>
              </w:rPr>
              <w:t>Rory L. Miller</w:t>
            </w:r>
          </w:p>
        </w:tc>
        <w:tc>
          <w:tcPr>
            <w:tcW w:w="6040" w:type="dxa"/>
            <w:vAlign w:val="bottom"/>
            <w:tcBorders>
              <w:right w:val="single" w:sz="8" w:color="auto"/>
            </w:tcBorders>
            <w:shd w:val="clear" w:color="auto" w:fill="DDE6F2"/>
          </w:tcPr>
          <w:p>
            <w:pPr>
              <w:jc w:val="center"/>
              <w:ind w:left="2328"/>
              <w:spacing w:after="0"/>
              <w:rPr>
                <w:sz w:val="20"/>
                <w:szCs w:val="20"/>
                <w:color w:val="auto"/>
              </w:rPr>
            </w:pPr>
            <w:r>
              <w:rPr>
                <w:rFonts w:ascii="Arial" w:cs="Arial" w:eastAsia="Arial" w:hAnsi="Arial"/>
                <w:sz w:val="14"/>
                <w:szCs w:val="14"/>
                <w:color w:val="auto"/>
              </w:rPr>
              <w:t>1,206,592</w:t>
            </w:r>
          </w:p>
        </w:tc>
      </w:tr>
      <w:tr>
        <w:trPr>
          <w:trHeight w:val="162"/>
        </w:trPr>
        <w:tc>
          <w:tcPr>
            <w:tcW w:w="378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John R. Dearborn</w:t>
            </w:r>
          </w:p>
        </w:tc>
        <w:tc>
          <w:tcPr>
            <w:tcW w:w="6040" w:type="dxa"/>
            <w:vAlign w:val="bottom"/>
            <w:tcBorders>
              <w:right w:val="single" w:sz="8" w:color="auto"/>
            </w:tcBorders>
          </w:tcPr>
          <w:p>
            <w:pPr>
              <w:jc w:val="center"/>
              <w:ind w:left="2328"/>
              <w:spacing w:after="0"/>
              <w:rPr>
                <w:sz w:val="20"/>
                <w:szCs w:val="20"/>
                <w:color w:val="auto"/>
              </w:rPr>
            </w:pPr>
            <w:r>
              <w:rPr>
                <w:rFonts w:ascii="Arial" w:cs="Arial" w:eastAsia="Arial" w:hAnsi="Arial"/>
                <w:sz w:val="14"/>
                <w:szCs w:val="14"/>
                <w:color w:val="auto"/>
              </w:rPr>
              <w:t>1,126,166</w:t>
            </w:r>
          </w:p>
        </w:tc>
      </w:tr>
      <w:tr>
        <w:trPr>
          <w:trHeight w:val="162"/>
        </w:trPr>
        <w:tc>
          <w:tcPr>
            <w:tcW w:w="3780" w:type="dxa"/>
            <w:vAlign w:val="bottom"/>
            <w:tcBorders>
              <w:left w:val="single" w:sz="8" w:color="auto"/>
              <w:bottom w:val="single" w:sz="8" w:color="auto"/>
            </w:tcBorders>
            <w:shd w:val="clear" w:color="auto" w:fill="DDE6F2"/>
          </w:tcPr>
          <w:p>
            <w:pPr>
              <w:ind w:left="140"/>
              <w:spacing w:after="0"/>
              <w:rPr>
                <w:sz w:val="20"/>
                <w:szCs w:val="20"/>
                <w:color w:val="auto"/>
              </w:rPr>
            </w:pPr>
            <w:r>
              <w:rPr>
                <w:rFonts w:ascii="Arial" w:cs="Arial" w:eastAsia="Arial" w:hAnsi="Arial"/>
                <w:sz w:val="14"/>
                <w:szCs w:val="14"/>
                <w:color w:val="auto"/>
              </w:rPr>
              <w:t>James E. Scheel</w:t>
            </w:r>
          </w:p>
        </w:tc>
        <w:tc>
          <w:tcPr>
            <w:tcW w:w="6040" w:type="dxa"/>
            <w:vAlign w:val="bottom"/>
            <w:tcBorders>
              <w:bottom w:val="single" w:sz="8" w:color="auto"/>
              <w:right w:val="single" w:sz="8" w:color="auto"/>
            </w:tcBorders>
            <w:shd w:val="clear" w:color="auto" w:fill="DDE6F2"/>
          </w:tcPr>
          <w:p>
            <w:pPr>
              <w:jc w:val="center"/>
              <w:ind w:left="2328"/>
              <w:spacing w:after="0"/>
              <w:rPr>
                <w:sz w:val="20"/>
                <w:szCs w:val="20"/>
                <w:color w:val="auto"/>
              </w:rPr>
            </w:pPr>
            <w:r>
              <w:rPr>
                <w:rFonts w:ascii="Arial" w:cs="Arial" w:eastAsia="Arial" w:hAnsi="Arial"/>
                <w:sz w:val="14"/>
                <w:szCs w:val="14"/>
                <w:color w:val="auto"/>
              </w:rPr>
              <w:t>965,313</w:t>
            </w:r>
          </w:p>
        </w:tc>
      </w:tr>
    </w:tbl>
    <w:p>
      <w:pPr>
        <w:spacing w:after="0" w:line="21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potential maximum values of the leveraged RSUs, subject to changes in performance outcomes, are as follows:</w:t>
      </w:r>
    </w:p>
    <w:p>
      <w:pPr>
        <w:spacing w:after="0" w:line="226" w:lineRule="exact"/>
        <w:rPr>
          <w:sz w:val="20"/>
          <w:szCs w:val="20"/>
          <w:color w:val="auto"/>
        </w:rPr>
      </w:pPr>
    </w:p>
    <w:tbl>
      <w:tblPr>
        <w:tblLayout w:type="fixed"/>
        <w:tblInd w:w="830" w:type="dxa"/>
        <w:tblCellMar>
          <w:top w:w="0" w:type="dxa"/>
          <w:left w:w="0" w:type="dxa"/>
          <w:bottom w:w="0" w:type="dxa"/>
          <w:right w:w="0" w:type="dxa"/>
        </w:tblCellMar>
      </w:tblPr>
      <w:tr>
        <w:trPr>
          <w:trHeight w:val="176"/>
        </w:trPr>
        <w:tc>
          <w:tcPr>
            <w:tcW w:w="4120" w:type="dxa"/>
            <w:vAlign w:val="bottom"/>
            <w:tcBorders>
              <w:top w:val="single" w:sz="8" w:color="auto"/>
              <w:left w:val="single" w:sz="8" w:color="auto"/>
              <w:bottom w:val="single" w:sz="8" w:color="auto"/>
            </w:tcBorders>
          </w:tcPr>
          <w:p>
            <w:pPr>
              <w:spacing w:after="0"/>
              <w:rPr>
                <w:sz w:val="15"/>
                <w:szCs w:val="15"/>
                <w:color w:val="auto"/>
              </w:rPr>
            </w:pPr>
          </w:p>
        </w:tc>
        <w:tc>
          <w:tcPr>
            <w:tcW w:w="5700" w:type="dxa"/>
            <w:vAlign w:val="bottom"/>
            <w:tcBorders>
              <w:top w:val="single" w:sz="8" w:color="auto"/>
              <w:bottom w:val="single" w:sz="8" w:color="auto"/>
              <w:right w:val="single" w:sz="8" w:color="auto"/>
            </w:tcBorders>
          </w:tcPr>
          <w:p>
            <w:pPr>
              <w:ind w:left="2760"/>
              <w:spacing w:after="0"/>
              <w:rPr>
                <w:sz w:val="20"/>
                <w:szCs w:val="20"/>
                <w:color w:val="auto"/>
              </w:rPr>
            </w:pPr>
            <w:r>
              <w:rPr>
                <w:rFonts w:ascii="Arial" w:cs="Arial" w:eastAsia="Arial" w:hAnsi="Arial"/>
                <w:sz w:val="14"/>
                <w:szCs w:val="14"/>
                <w:b w:val="1"/>
                <w:bCs w:val="1"/>
                <w:color w:val="auto"/>
              </w:rPr>
              <w:t>2014 Leveraged RSU Maximum Potential</w:t>
            </w:r>
          </w:p>
        </w:tc>
      </w:tr>
      <w:tr>
        <w:trPr>
          <w:trHeight w:val="156"/>
        </w:trPr>
        <w:tc>
          <w:tcPr>
            <w:tcW w:w="4120" w:type="dxa"/>
            <w:vAlign w:val="bottom"/>
            <w:tcBorders>
              <w:left w:val="single" w:sz="8" w:color="auto"/>
            </w:tcBorders>
            <w:shd w:val="clear" w:color="auto" w:fill="DDE6F2"/>
          </w:tcPr>
          <w:p>
            <w:pPr>
              <w:ind w:left="140"/>
              <w:spacing w:after="0" w:line="155" w:lineRule="exact"/>
              <w:rPr>
                <w:sz w:val="20"/>
                <w:szCs w:val="20"/>
                <w:color w:val="auto"/>
              </w:rPr>
            </w:pPr>
            <w:r>
              <w:rPr>
                <w:rFonts w:ascii="Arial" w:cs="Arial" w:eastAsia="Arial" w:hAnsi="Arial"/>
                <w:sz w:val="14"/>
                <w:szCs w:val="14"/>
                <w:color w:val="auto"/>
              </w:rPr>
              <w:t>Alan S. Armstrong</w:t>
            </w:r>
          </w:p>
        </w:tc>
        <w:tc>
          <w:tcPr>
            <w:tcW w:w="5700" w:type="dxa"/>
            <w:vAlign w:val="bottom"/>
            <w:tcBorders>
              <w:right w:val="single" w:sz="8" w:color="auto"/>
            </w:tcBorders>
            <w:shd w:val="clear" w:color="auto" w:fill="DDE6F2"/>
          </w:tcPr>
          <w:p>
            <w:pPr>
              <w:jc w:val="center"/>
              <w:ind w:left="2668"/>
              <w:spacing w:after="0" w:line="155" w:lineRule="exact"/>
              <w:rPr>
                <w:sz w:val="20"/>
                <w:szCs w:val="20"/>
                <w:color w:val="auto"/>
              </w:rPr>
            </w:pPr>
            <w:r>
              <w:rPr>
                <w:rFonts w:ascii="Arial" w:cs="Arial" w:eastAsia="Arial" w:hAnsi="Arial"/>
                <w:sz w:val="14"/>
                <w:szCs w:val="14"/>
                <w:color w:val="auto"/>
              </w:rPr>
              <w:t>$24,000,000</w:t>
            </w:r>
          </w:p>
        </w:tc>
      </w:tr>
      <w:tr>
        <w:trPr>
          <w:trHeight w:val="162"/>
        </w:trPr>
        <w:tc>
          <w:tcPr>
            <w:tcW w:w="412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Donald R. Chappel</w:t>
            </w:r>
          </w:p>
        </w:tc>
        <w:tc>
          <w:tcPr>
            <w:tcW w:w="5700" w:type="dxa"/>
            <w:vAlign w:val="bottom"/>
            <w:tcBorders>
              <w:right w:val="single" w:sz="8" w:color="auto"/>
            </w:tcBorders>
          </w:tcPr>
          <w:p>
            <w:pPr>
              <w:jc w:val="center"/>
              <w:ind w:left="2668"/>
              <w:spacing w:after="0"/>
              <w:rPr>
                <w:sz w:val="20"/>
                <w:szCs w:val="20"/>
                <w:color w:val="auto"/>
              </w:rPr>
            </w:pPr>
            <w:r>
              <w:rPr>
                <w:rFonts w:ascii="Arial" w:cs="Arial" w:eastAsia="Arial" w:hAnsi="Arial"/>
                <w:sz w:val="14"/>
                <w:szCs w:val="14"/>
                <w:color w:val="auto"/>
              </w:rPr>
              <w:t>16,800,000</w:t>
            </w:r>
          </w:p>
        </w:tc>
      </w:tr>
      <w:tr>
        <w:trPr>
          <w:trHeight w:val="162"/>
        </w:trPr>
        <w:tc>
          <w:tcPr>
            <w:tcW w:w="4120" w:type="dxa"/>
            <w:vAlign w:val="bottom"/>
            <w:tcBorders>
              <w:left w:val="single" w:sz="8" w:color="auto"/>
            </w:tcBorders>
            <w:shd w:val="clear" w:color="auto" w:fill="DDE6F2"/>
          </w:tcPr>
          <w:p>
            <w:pPr>
              <w:ind w:left="140"/>
              <w:spacing w:after="0"/>
              <w:rPr>
                <w:sz w:val="20"/>
                <w:szCs w:val="20"/>
                <w:color w:val="auto"/>
              </w:rPr>
            </w:pPr>
            <w:r>
              <w:rPr>
                <w:rFonts w:ascii="Arial" w:cs="Arial" w:eastAsia="Arial" w:hAnsi="Arial"/>
                <w:sz w:val="14"/>
                <w:szCs w:val="14"/>
                <w:color w:val="auto"/>
              </w:rPr>
              <w:t>Rory L. Miller</w:t>
            </w:r>
          </w:p>
        </w:tc>
        <w:tc>
          <w:tcPr>
            <w:tcW w:w="5700" w:type="dxa"/>
            <w:vAlign w:val="bottom"/>
            <w:tcBorders>
              <w:right w:val="single" w:sz="8" w:color="auto"/>
            </w:tcBorders>
            <w:shd w:val="clear" w:color="auto" w:fill="DDE6F2"/>
          </w:tcPr>
          <w:p>
            <w:pPr>
              <w:jc w:val="center"/>
              <w:ind w:left="2668"/>
              <w:spacing w:after="0"/>
              <w:rPr>
                <w:sz w:val="20"/>
                <w:szCs w:val="20"/>
                <w:color w:val="auto"/>
              </w:rPr>
            </w:pPr>
            <w:r>
              <w:rPr>
                <w:rFonts w:ascii="Arial" w:cs="Arial" w:eastAsia="Arial" w:hAnsi="Arial"/>
                <w:sz w:val="14"/>
                <w:szCs w:val="14"/>
                <w:color w:val="auto"/>
              </w:rPr>
              <w:t>7,920,000</w:t>
            </w:r>
          </w:p>
        </w:tc>
      </w:tr>
      <w:tr>
        <w:trPr>
          <w:trHeight w:val="162"/>
        </w:trPr>
        <w:tc>
          <w:tcPr>
            <w:tcW w:w="412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John R. Dearborn</w:t>
            </w:r>
          </w:p>
        </w:tc>
        <w:tc>
          <w:tcPr>
            <w:tcW w:w="5700" w:type="dxa"/>
            <w:vAlign w:val="bottom"/>
            <w:tcBorders>
              <w:right w:val="single" w:sz="8" w:color="auto"/>
            </w:tcBorders>
          </w:tcPr>
          <w:p>
            <w:pPr>
              <w:jc w:val="center"/>
              <w:ind w:left="2668"/>
              <w:spacing w:after="0"/>
              <w:rPr>
                <w:sz w:val="20"/>
                <w:szCs w:val="20"/>
                <w:color w:val="auto"/>
              </w:rPr>
            </w:pPr>
            <w:r>
              <w:rPr>
                <w:rFonts w:ascii="Arial" w:cs="Arial" w:eastAsia="Arial" w:hAnsi="Arial"/>
                <w:sz w:val="14"/>
                <w:szCs w:val="14"/>
                <w:color w:val="auto"/>
              </w:rPr>
              <w:t>7,920,000</w:t>
            </w:r>
          </w:p>
        </w:tc>
      </w:tr>
      <w:tr>
        <w:trPr>
          <w:trHeight w:val="162"/>
        </w:trPr>
        <w:tc>
          <w:tcPr>
            <w:tcW w:w="4120" w:type="dxa"/>
            <w:vAlign w:val="bottom"/>
            <w:tcBorders>
              <w:left w:val="single" w:sz="8" w:color="auto"/>
              <w:bottom w:val="single" w:sz="8" w:color="auto"/>
            </w:tcBorders>
            <w:shd w:val="clear" w:color="auto" w:fill="DDE6F2"/>
          </w:tcPr>
          <w:p>
            <w:pPr>
              <w:ind w:left="140"/>
              <w:spacing w:after="0"/>
              <w:rPr>
                <w:sz w:val="20"/>
                <w:szCs w:val="20"/>
                <w:color w:val="auto"/>
              </w:rPr>
            </w:pPr>
            <w:r>
              <w:rPr>
                <w:rFonts w:ascii="Arial" w:cs="Arial" w:eastAsia="Arial" w:hAnsi="Arial"/>
                <w:sz w:val="14"/>
                <w:szCs w:val="14"/>
                <w:color w:val="auto"/>
              </w:rPr>
              <w:t>James E. Scheel</w:t>
            </w:r>
          </w:p>
        </w:tc>
        <w:tc>
          <w:tcPr>
            <w:tcW w:w="5700" w:type="dxa"/>
            <w:vAlign w:val="bottom"/>
            <w:tcBorders>
              <w:bottom w:val="single" w:sz="8" w:color="auto"/>
              <w:right w:val="single" w:sz="8" w:color="auto"/>
            </w:tcBorders>
            <w:shd w:val="clear" w:color="auto" w:fill="DDE6F2"/>
          </w:tcPr>
          <w:p>
            <w:pPr>
              <w:jc w:val="center"/>
              <w:ind w:left="2668"/>
              <w:spacing w:after="0"/>
              <w:rPr>
                <w:sz w:val="20"/>
                <w:szCs w:val="20"/>
                <w:color w:val="auto"/>
              </w:rPr>
            </w:pPr>
            <w:r>
              <w:rPr>
                <w:rFonts w:ascii="Arial" w:cs="Arial" w:eastAsia="Arial" w:hAnsi="Arial"/>
                <w:sz w:val="14"/>
                <w:szCs w:val="14"/>
                <w:color w:val="auto"/>
              </w:rPr>
              <w:t>7,920,000</w:t>
            </w:r>
          </w:p>
        </w:tc>
      </w:tr>
    </w:tbl>
    <w:p>
      <w:pPr>
        <w:spacing w:after="0" w:line="126" w:lineRule="exact"/>
        <w:rPr>
          <w:sz w:val="20"/>
          <w:szCs w:val="20"/>
          <w:color w:val="auto"/>
        </w:rPr>
      </w:pPr>
    </w:p>
    <w:p>
      <w:pPr>
        <w:jc w:val="both"/>
        <w:ind w:left="800" w:hanging="346"/>
        <w:spacing w:after="0" w:line="241" w:lineRule="auto"/>
        <w:tabs>
          <w:tab w:leader="none" w:pos="8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Option Awards. Awards are granted under the terms of the 2007 Incentive Plan and include non-qualified stock options. Amounts shown are the grant date fair value of awards computed in accordance with FASB ASC Topic 718. The assumptions used to value the option awards can be found in our Annual Report on Form 10-K for the year-ended December 31, 2014.</w:t>
      </w:r>
    </w:p>
    <w:p>
      <w:pPr>
        <w:spacing w:after="0" w:line="1" w:lineRule="exact"/>
        <w:rPr>
          <w:rFonts w:ascii="Arial" w:cs="Arial" w:eastAsia="Arial" w:hAnsi="Arial"/>
          <w:sz w:val="14"/>
          <w:szCs w:val="14"/>
          <w:color w:val="auto"/>
        </w:rPr>
      </w:pPr>
    </w:p>
    <w:p>
      <w:pPr>
        <w:ind w:left="800" w:hanging="346"/>
        <w:spacing w:after="0"/>
        <w:tabs>
          <w:tab w:leader="none" w:pos="8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Non-Equity Incentive Plan. The maximum annual incentive pool funding for NEOs is 250% of target.</w:t>
      </w:r>
    </w:p>
    <w:p>
      <w:pPr>
        <w:spacing w:after="0" w:line="1" w:lineRule="exact"/>
        <w:rPr>
          <w:rFonts w:ascii="Arial" w:cs="Arial" w:eastAsia="Arial" w:hAnsi="Arial"/>
          <w:sz w:val="14"/>
          <w:szCs w:val="14"/>
          <w:color w:val="auto"/>
        </w:rPr>
      </w:pPr>
    </w:p>
    <w:p>
      <w:pPr>
        <w:jc w:val="both"/>
        <w:ind w:left="800" w:hanging="346"/>
        <w:spacing w:after="0" w:line="241" w:lineRule="auto"/>
        <w:tabs>
          <w:tab w:leader="none" w:pos="8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 in Pension Value and Nonqualified Deferred Compensation Earnings. The amount shown is the aggregate change from December 31, 2013 to December 31, 2014 in the actuarial present value of the accrued benefit under the qualified pension and non-qualified plan. The primary reasons for the increase in the change in present value is a lower discount rate and revised life expectancy rates used to measure these benefits at the end of 2014. The lower discount rate results in a larger present value at the end of 2014. The underlying design of these programs did not change from 2013 to 2014. Please refer to the “Pension Benefits” table for further details of the present value of the accrued benefit.</w:t>
      </w:r>
    </w:p>
    <w:p>
      <w:pPr>
        <w:spacing w:after="0" w:line="1" w:lineRule="exact"/>
        <w:rPr>
          <w:rFonts w:ascii="Arial" w:cs="Arial" w:eastAsia="Arial" w:hAnsi="Arial"/>
          <w:sz w:val="14"/>
          <w:szCs w:val="14"/>
          <w:color w:val="auto"/>
        </w:rPr>
      </w:pPr>
    </w:p>
    <w:p>
      <w:pPr>
        <w:jc w:val="both"/>
        <w:ind w:left="800" w:hanging="346"/>
        <w:spacing w:after="0" w:line="244" w:lineRule="auto"/>
        <w:tabs>
          <w:tab w:leader="none" w:pos="8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All Other Compensation. Amounts shown represent payments made on behalf of the NEOs and include life insurance premiums, a 401(k) matching contribution, tax gross-ups on the imputed income related to spousal travel for business purposes and perquisites (if applicable). Perquisites may include financial planning services, mandated annual physical exam and personal use of the Company aircraft. If the NEO used the Company aircraft, the incremental cost method is used to calculate the personal use of the Company aircraft. The incremental cost calculation includes such items as fuel, maintenance, weather and airport services, pilot meals, pilot overnight expenses, aircraft telephone and catering. There were no individual aggregate amounts exceeding $10,000 of perquisites for any of our NEOs. Amounts do not include arrangements that are generally available to our employees and do not discriminate in scope, terms or operations in favor of our NEOs, such as relocation, medical, dental, and disability programs.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Notable Items</w:t>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considers the compensation of CEOs from similarly-sized comparator companies when setting Mr. Armstrong’s pay. It is the competitive norm for CEOs to be paid more than other NEOs. In addition, the Compensation Committee believes the difference in pay between the CEO and other NEOs is</w:t>
      </w:r>
    </w:p>
    <w:p>
      <w:pPr>
        <w:spacing w:after="0" w:line="12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58</w:t>
            </w: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205740</wp:posOffset>
            </wp:positionV>
            <wp:extent cx="228092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809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consistent with our compensation philosophy (summarized in the CD&amp;A), which considers the external market and internal value of each job to the Company along with the incumbent’s experience and performance of the job in setting pay. The CEO’s job is different from the other NEOs because the CEO has ultimate responsibility for performance results and is accountable to the Board and stockholders. Consequently, the Compensation Committee believes it is appropriate for the CEO’s pay to be higher.</w:t>
      </w:r>
    </w:p>
    <w:p>
      <w:pPr>
        <w:spacing w:after="0" w:line="20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Mr. Chappel’s base pay, annual cash incentive target and long-term incentive amounts for 2014 are higher than other NEOs (other than the CEO) because of the impact of his role and market data. Because Mr. Chappel directly interfaces with stockholders and has greater accountability to stockholders, his pay is greater than that of the other NEOs, excluding the CEO.</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Grants of Plan Based Awards</w:t>
      </w:r>
    </w:p>
    <w:p>
      <w:pPr>
        <w:spacing w:after="0" w:line="23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sets forth certain information with respect to the grant of stock options, RSUs and awards payable under the Company’s annual cash incentive plan during the last fiscal year to the NEOs.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27"/>
        </w:trPr>
        <w:tc>
          <w:tcPr>
            <w:tcW w:w="1760" w:type="dxa"/>
            <w:vAlign w:val="bottom"/>
            <w:tcBorders>
              <w:top w:val="single" w:sz="8" w:color="auto"/>
              <w:lef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4"/>
              </w:rPr>
              <w:t>All Other</w:t>
            </w:r>
          </w:p>
        </w:tc>
        <w:tc>
          <w:tcPr>
            <w:tcW w:w="9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8"/>
              </w:rPr>
              <w:t>All Other</w:t>
            </w:r>
          </w:p>
        </w:tc>
        <w:tc>
          <w:tcPr>
            <w:tcW w:w="700" w:type="dxa"/>
            <w:vAlign w:val="bottom"/>
            <w:tcBorders>
              <w:top w:val="single" w:sz="8" w:color="auto"/>
            </w:tcBorders>
          </w:tcPr>
          <w:p>
            <w:pPr>
              <w:spacing w:after="0"/>
              <w:rPr>
                <w:sz w:val="11"/>
                <w:szCs w:val="11"/>
                <w:color w:val="auto"/>
              </w:rPr>
            </w:pPr>
          </w:p>
        </w:tc>
        <w:tc>
          <w:tcPr>
            <w:tcW w:w="100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Stock</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70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1000" w:type="dxa"/>
            <w:vAlign w:val="bottom"/>
            <w:tcBorders>
              <w:right w:val="single" w:sz="8" w:color="auto"/>
            </w:tcBorders>
          </w:tcPr>
          <w:p>
            <w:pPr>
              <w:jc w:val="center"/>
              <w:ind w:right="130"/>
              <w:spacing w:after="0" w:line="135"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35"/>
        </w:trPr>
        <w:tc>
          <w:tcPr>
            <w:tcW w:w="176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Number</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or Base</w:t>
            </w:r>
          </w:p>
        </w:tc>
        <w:tc>
          <w:tcPr>
            <w:tcW w:w="1000" w:type="dxa"/>
            <w:vAlign w:val="bottom"/>
            <w:tcBorders>
              <w:right w:val="single" w:sz="8" w:color="auto"/>
            </w:tcBorders>
          </w:tcPr>
          <w:p>
            <w:pPr>
              <w:jc w:val="center"/>
              <w:ind w:right="130"/>
              <w:spacing w:after="0" w:line="135" w:lineRule="exact"/>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44"/>
        </w:trPr>
        <w:tc>
          <w:tcPr>
            <w:tcW w:w="176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7"/>
              </w:rPr>
              <w:t>Estimated Future Payouts Under</w:t>
            </w:r>
          </w:p>
        </w:tc>
        <w:tc>
          <w:tcPr>
            <w:tcW w:w="242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6"/>
              </w:rPr>
              <w:t>Estimated Future Payouts Under</w:t>
            </w:r>
          </w:p>
        </w:tc>
        <w:tc>
          <w:tcPr>
            <w:tcW w:w="9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of Shares</w:t>
            </w:r>
          </w:p>
        </w:tc>
        <w:tc>
          <w:tcPr>
            <w:tcW w:w="9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Securities</w:t>
            </w: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Price of</w:t>
            </w:r>
          </w:p>
        </w:tc>
        <w:tc>
          <w:tcPr>
            <w:tcW w:w="1000" w:type="dxa"/>
            <w:vAlign w:val="bottom"/>
            <w:tcBorders>
              <w:right w:val="single" w:sz="8" w:color="auto"/>
            </w:tcBorders>
          </w:tcPr>
          <w:p>
            <w:pPr>
              <w:jc w:val="center"/>
              <w:ind w:right="110"/>
              <w:spacing w:after="0" w:line="144" w:lineRule="exact"/>
              <w:rPr>
                <w:sz w:val="20"/>
                <w:szCs w:val="20"/>
                <w:color w:val="auto"/>
              </w:rPr>
            </w:pPr>
            <w:r>
              <w:rPr>
                <w:rFonts w:ascii="Arial" w:cs="Arial" w:eastAsia="Arial" w:hAnsi="Arial"/>
                <w:sz w:val="13"/>
                <w:szCs w:val="13"/>
                <w:b w:val="1"/>
                <w:bCs w:val="1"/>
                <w:color w:val="auto"/>
                <w:w w:val="97"/>
              </w:rPr>
              <w:t>of Stock</w:t>
            </w:r>
          </w:p>
        </w:tc>
        <w:tc>
          <w:tcPr>
            <w:tcW w:w="0" w:type="dxa"/>
            <w:vAlign w:val="bottom"/>
          </w:tcPr>
          <w:p>
            <w:pPr>
              <w:spacing w:after="0"/>
              <w:rPr>
                <w:sz w:val="1"/>
                <w:szCs w:val="1"/>
                <w:color w:val="auto"/>
              </w:rPr>
            </w:pPr>
          </w:p>
        </w:tc>
      </w:tr>
      <w:tr>
        <w:trPr>
          <w:trHeight w:val="135"/>
        </w:trPr>
        <w:tc>
          <w:tcPr>
            <w:tcW w:w="176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Grant</w:t>
            </w:r>
          </w:p>
        </w:tc>
        <w:tc>
          <w:tcPr>
            <w:tcW w:w="28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7"/>
              </w:rPr>
              <w:t>Non-Equity Incentive Plan</w:t>
            </w:r>
          </w:p>
        </w:tc>
        <w:tc>
          <w:tcPr>
            <w:tcW w:w="24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6"/>
              </w:rPr>
              <w:t>Equity Incentive Plan</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of Stock</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1000" w:type="dxa"/>
            <w:vAlign w:val="bottom"/>
            <w:tcBorders>
              <w:right w:val="single" w:sz="8" w:color="auto"/>
            </w:tcBorders>
          </w:tcPr>
          <w:p>
            <w:pPr>
              <w:jc w:val="center"/>
              <w:ind w:right="110"/>
              <w:spacing w:after="0" w:line="135" w:lineRule="exact"/>
              <w:rPr>
                <w:sz w:val="20"/>
                <w:szCs w:val="20"/>
                <w:color w:val="auto"/>
              </w:rPr>
            </w:pPr>
            <w:r>
              <w:rPr>
                <w:rFonts w:ascii="Arial" w:cs="Arial" w:eastAsia="Arial" w:hAnsi="Arial"/>
                <w:sz w:val="13"/>
                <w:szCs w:val="13"/>
                <w:b w:val="1"/>
                <w:bCs w:val="1"/>
                <w:color w:val="auto"/>
                <w:w w:val="96"/>
              </w:rPr>
              <w:t>and Option</w:t>
            </w: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bottom w:val="single" w:sz="8" w:color="auto"/>
            </w:tcBorders>
          </w:tcPr>
          <w:p>
            <w:pPr>
              <w:ind w:left="800"/>
              <w:spacing w:after="0"/>
              <w:rPr>
                <w:sz w:val="20"/>
                <w:szCs w:val="20"/>
                <w:color w:val="auto"/>
              </w:rPr>
            </w:pPr>
            <w:r>
              <w:rPr>
                <w:rFonts w:ascii="Arial" w:cs="Arial" w:eastAsia="Arial" w:hAnsi="Arial"/>
                <w:sz w:val="13"/>
                <w:szCs w:val="13"/>
                <w:b w:val="1"/>
                <w:bCs w:val="1"/>
                <w:color w:val="auto"/>
              </w:rPr>
              <w:t>Name</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9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left="11"/>
              <w:spacing w:after="0"/>
              <w:rPr>
                <w:sz w:val="20"/>
                <w:szCs w:val="20"/>
                <w:color w:val="auto"/>
              </w:rPr>
            </w:pPr>
            <w:r>
              <w:rPr>
                <w:rFonts w:ascii="Arial" w:cs="Arial" w:eastAsia="Arial" w:hAnsi="Arial"/>
                <w:sz w:val="13"/>
                <w:szCs w:val="13"/>
                <w:b w:val="1"/>
                <w:bCs w:val="1"/>
                <w:color w:val="auto"/>
                <w:w w:val="96"/>
              </w:rPr>
              <w:t>Awards (1)</w:t>
            </w:r>
          </w:p>
        </w:tc>
        <w:tc>
          <w:tcPr>
            <w:tcW w:w="9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Awards (2) (3)</w:t>
            </w:r>
          </w:p>
        </w:tc>
        <w:tc>
          <w:tcPr>
            <w:tcW w:w="7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or Units (4)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Options (5)</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00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29"/>
        </w:trPr>
        <w:tc>
          <w:tcPr>
            <w:tcW w:w="1760" w:type="dxa"/>
            <w:vAlign w:val="bottom"/>
            <w:tcBorders>
              <w:left w:val="single" w:sz="8" w:color="auto"/>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91"/>
              <w:spacing w:after="0" w:line="129" w:lineRule="exact"/>
              <w:rPr>
                <w:sz w:val="20"/>
                <w:szCs w:val="20"/>
                <w:color w:val="auto"/>
              </w:rPr>
            </w:pPr>
            <w:r>
              <w:rPr>
                <w:rFonts w:ascii="Arial" w:cs="Arial" w:eastAsia="Arial" w:hAnsi="Arial"/>
                <w:sz w:val="13"/>
                <w:szCs w:val="13"/>
                <w:b w:val="1"/>
                <w:bCs w:val="1"/>
                <w:color w:val="auto"/>
              </w:rPr>
              <w:t>Threshold</w:t>
            </w:r>
          </w:p>
        </w:tc>
        <w:tc>
          <w:tcPr>
            <w:tcW w:w="1000" w:type="dxa"/>
            <w:vAlign w:val="bottom"/>
            <w:tcBorders>
              <w:bottom w:val="single" w:sz="8" w:color="auto"/>
            </w:tcBorders>
          </w:tcPr>
          <w:p>
            <w:pPr>
              <w:jc w:val="right"/>
              <w:ind w:right="71"/>
              <w:spacing w:after="0" w:line="129" w:lineRule="exact"/>
              <w:rPr>
                <w:sz w:val="20"/>
                <w:szCs w:val="20"/>
                <w:color w:val="auto"/>
              </w:rPr>
            </w:pPr>
            <w:r>
              <w:rPr>
                <w:rFonts w:ascii="Arial" w:cs="Arial" w:eastAsia="Arial" w:hAnsi="Arial"/>
                <w:sz w:val="13"/>
                <w:szCs w:val="13"/>
                <w:b w:val="1"/>
                <w:bCs w:val="1"/>
                <w:color w:val="auto"/>
              </w:rPr>
              <w:t>Target</w:t>
            </w:r>
          </w:p>
        </w:tc>
        <w:tc>
          <w:tcPr>
            <w:tcW w:w="960" w:type="dxa"/>
            <w:vAlign w:val="bottom"/>
            <w:tcBorders>
              <w:bottom w:val="single" w:sz="8" w:color="auto"/>
            </w:tcBorders>
          </w:tcPr>
          <w:p>
            <w:pPr>
              <w:jc w:val="right"/>
              <w:ind w:right="130"/>
              <w:spacing w:after="0" w:line="129" w:lineRule="exact"/>
              <w:rPr>
                <w:sz w:val="20"/>
                <w:szCs w:val="20"/>
                <w:color w:val="auto"/>
              </w:rPr>
            </w:pPr>
            <w:r>
              <w:rPr>
                <w:rFonts w:ascii="Arial" w:cs="Arial" w:eastAsia="Arial" w:hAnsi="Arial"/>
                <w:sz w:val="13"/>
                <w:szCs w:val="13"/>
                <w:b w:val="1"/>
                <w:bCs w:val="1"/>
                <w:color w:val="auto"/>
              </w:rPr>
              <w:t>Maximum</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Threshold</w:t>
            </w:r>
          </w:p>
        </w:tc>
        <w:tc>
          <w:tcPr>
            <w:tcW w:w="900" w:type="dxa"/>
            <w:vAlign w:val="bottom"/>
            <w:tcBorders>
              <w:bottom w:val="single" w:sz="8" w:color="auto"/>
            </w:tcBorders>
          </w:tcPr>
          <w:p>
            <w:pPr>
              <w:ind w:left="260"/>
              <w:spacing w:after="0" w:line="129" w:lineRule="exact"/>
              <w:rPr>
                <w:sz w:val="20"/>
                <w:szCs w:val="20"/>
                <w:color w:val="auto"/>
              </w:rPr>
            </w:pPr>
            <w:r>
              <w:rPr>
                <w:rFonts w:ascii="Arial" w:cs="Arial" w:eastAsia="Arial" w:hAnsi="Arial"/>
                <w:sz w:val="13"/>
                <w:szCs w:val="13"/>
                <w:b w:val="1"/>
                <w:bCs w:val="1"/>
                <w:color w:val="auto"/>
              </w:rPr>
              <w:t>Target</w:t>
            </w:r>
          </w:p>
        </w:tc>
        <w:tc>
          <w:tcPr>
            <w:tcW w:w="760" w:type="dxa"/>
            <w:vAlign w:val="bottom"/>
            <w:tcBorders>
              <w:bottom w:val="single" w:sz="8" w:color="auto"/>
            </w:tcBorders>
          </w:tcPr>
          <w:p>
            <w:pPr>
              <w:jc w:val="right"/>
              <w:ind w:right="69"/>
              <w:spacing w:after="0" w:line="129" w:lineRule="exact"/>
              <w:rPr>
                <w:sz w:val="20"/>
                <w:szCs w:val="20"/>
                <w:color w:val="auto"/>
              </w:rPr>
            </w:pPr>
            <w:r>
              <w:rPr>
                <w:rFonts w:ascii="Arial" w:cs="Arial" w:eastAsia="Arial" w:hAnsi="Arial"/>
                <w:sz w:val="13"/>
                <w:szCs w:val="13"/>
                <w:b w:val="1"/>
                <w:bCs w:val="1"/>
                <w:color w:val="auto"/>
                <w:w w:val="99"/>
              </w:rPr>
              <w:t>Maximum</w:t>
            </w:r>
          </w:p>
        </w:tc>
        <w:tc>
          <w:tcPr>
            <w:tcW w:w="9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760" w:type="dxa"/>
            <w:vAlign w:val="bottom"/>
            <w:tcBorders>
              <w:left w:val="single" w:sz="8" w:color="auto"/>
            </w:tcBorders>
          </w:tcPr>
          <w:p>
            <w:pPr>
              <w:spacing w:after="0"/>
              <w:rPr>
                <w:sz w:val="13"/>
                <w:szCs w:val="13"/>
                <w:color w:val="auto"/>
              </w:rPr>
            </w:pPr>
          </w:p>
        </w:tc>
        <w:tc>
          <w:tcPr>
            <w:tcW w:w="160" w:type="dxa"/>
            <w:vAlign w:val="bottom"/>
            <w:shd w:val="clear" w:color="auto" w:fill="DDE6F2"/>
          </w:tcPr>
          <w:p>
            <w:pPr>
              <w:spacing w:after="0"/>
              <w:rPr>
                <w:sz w:val="13"/>
                <w:szCs w:val="13"/>
                <w:color w:val="auto"/>
              </w:rPr>
            </w:pPr>
          </w:p>
        </w:tc>
        <w:tc>
          <w:tcPr>
            <w:tcW w:w="720" w:type="dxa"/>
            <w:vAlign w:val="bottom"/>
            <w:shd w:val="clear" w:color="auto" w:fill="DDE6F2"/>
          </w:tcPr>
          <w:p>
            <w:pPr>
              <w:jc w:val="center"/>
              <w:spacing w:after="0" w:line="155" w:lineRule="exact"/>
              <w:rPr>
                <w:sz w:val="20"/>
                <w:szCs w:val="20"/>
                <w:color w:val="auto"/>
              </w:rPr>
            </w:pPr>
            <w:r>
              <w:rPr>
                <w:rFonts w:ascii="Arial" w:cs="Arial" w:eastAsia="Arial" w:hAnsi="Arial"/>
                <w:sz w:val="14"/>
                <w:szCs w:val="14"/>
                <w:color w:val="auto"/>
              </w:rPr>
              <w:t>2/24/2014</w:t>
            </w:r>
          </w:p>
        </w:tc>
        <w:tc>
          <w:tcPr>
            <w:tcW w:w="920" w:type="dxa"/>
            <w:vAlign w:val="bottom"/>
            <w:shd w:val="clear" w:color="auto" w:fill="DDE6F2"/>
          </w:tcPr>
          <w:p>
            <w:pPr>
              <w:jc w:val="right"/>
              <w:ind w:right="71"/>
              <w:spacing w:after="0" w:line="155" w:lineRule="exact"/>
              <w:rPr>
                <w:sz w:val="20"/>
                <w:szCs w:val="20"/>
                <w:color w:val="auto"/>
              </w:rPr>
            </w:pPr>
            <w:r>
              <w:rPr>
                <w:rFonts w:ascii="Arial" w:cs="Arial" w:eastAsia="Arial" w:hAnsi="Arial"/>
                <w:sz w:val="14"/>
                <w:szCs w:val="14"/>
                <w:color w:val="auto"/>
              </w:rPr>
              <w:t>$0</w:t>
            </w:r>
          </w:p>
        </w:tc>
        <w:tc>
          <w:tcPr>
            <w:tcW w:w="1000" w:type="dxa"/>
            <w:vAlign w:val="bottom"/>
            <w:shd w:val="clear" w:color="auto" w:fill="DDE6F2"/>
          </w:tcPr>
          <w:p>
            <w:pPr>
              <w:jc w:val="right"/>
              <w:ind w:right="71"/>
              <w:spacing w:after="0" w:line="155" w:lineRule="exact"/>
              <w:rPr>
                <w:sz w:val="20"/>
                <w:szCs w:val="20"/>
                <w:color w:val="auto"/>
              </w:rPr>
            </w:pPr>
            <w:r>
              <w:rPr>
                <w:rFonts w:ascii="Arial" w:cs="Arial" w:eastAsia="Arial" w:hAnsi="Arial"/>
                <w:sz w:val="14"/>
                <w:szCs w:val="14"/>
                <w:color w:val="auto"/>
              </w:rPr>
              <w:t>$1,340,385</w:t>
            </w:r>
          </w:p>
        </w:tc>
        <w:tc>
          <w:tcPr>
            <w:tcW w:w="960" w:type="dxa"/>
            <w:vAlign w:val="bottom"/>
            <w:shd w:val="clear" w:color="auto" w:fill="DDE6F2"/>
          </w:tcPr>
          <w:p>
            <w:pPr>
              <w:jc w:val="right"/>
              <w:ind w:right="30"/>
              <w:spacing w:after="0" w:line="155" w:lineRule="exact"/>
              <w:rPr>
                <w:sz w:val="20"/>
                <w:szCs w:val="20"/>
                <w:color w:val="auto"/>
              </w:rPr>
            </w:pPr>
            <w:r>
              <w:rPr>
                <w:rFonts w:ascii="Arial" w:cs="Arial" w:eastAsia="Arial" w:hAnsi="Arial"/>
                <w:sz w:val="14"/>
                <w:szCs w:val="14"/>
                <w:color w:val="auto"/>
              </w:rPr>
              <w:t>$3,350,961</w:t>
            </w:r>
          </w:p>
        </w:tc>
        <w:tc>
          <w:tcPr>
            <w:tcW w:w="760" w:type="dxa"/>
            <w:vAlign w:val="bottom"/>
            <w:shd w:val="clear" w:color="auto" w:fill="DDE6F2"/>
          </w:tcPr>
          <w:p>
            <w:pPr>
              <w:spacing w:after="0"/>
              <w:rPr>
                <w:sz w:val="13"/>
                <w:szCs w:val="13"/>
                <w:color w:val="auto"/>
              </w:rPr>
            </w:pPr>
          </w:p>
        </w:tc>
        <w:tc>
          <w:tcPr>
            <w:tcW w:w="900" w:type="dxa"/>
            <w:vAlign w:val="bottom"/>
            <w:shd w:val="clear" w:color="auto" w:fill="DDE6F2"/>
          </w:tcPr>
          <w:p>
            <w:pPr>
              <w:spacing w:after="0"/>
              <w:rPr>
                <w:sz w:val="13"/>
                <w:szCs w:val="13"/>
                <w:color w:val="auto"/>
              </w:rPr>
            </w:pPr>
          </w:p>
        </w:tc>
        <w:tc>
          <w:tcPr>
            <w:tcW w:w="760" w:type="dxa"/>
            <w:vAlign w:val="bottom"/>
            <w:shd w:val="clear" w:color="auto" w:fill="DDE6F2"/>
          </w:tcPr>
          <w:p>
            <w:pPr>
              <w:spacing w:after="0"/>
              <w:rPr>
                <w:sz w:val="13"/>
                <w:szCs w:val="13"/>
                <w:color w:val="auto"/>
              </w:rPr>
            </w:pPr>
          </w:p>
        </w:tc>
        <w:tc>
          <w:tcPr>
            <w:tcW w:w="900" w:type="dxa"/>
            <w:vAlign w:val="bottom"/>
            <w:shd w:val="clear" w:color="auto" w:fill="DDE6F2"/>
          </w:tcPr>
          <w:p>
            <w:pPr>
              <w:spacing w:after="0"/>
              <w:rPr>
                <w:sz w:val="13"/>
                <w:szCs w:val="13"/>
                <w:color w:val="auto"/>
              </w:rPr>
            </w:pPr>
          </w:p>
        </w:tc>
        <w:tc>
          <w:tcPr>
            <w:tcW w:w="900" w:type="dxa"/>
            <w:vAlign w:val="bottom"/>
            <w:shd w:val="clear" w:color="auto" w:fill="DDE6F2"/>
          </w:tcPr>
          <w:p>
            <w:pPr>
              <w:jc w:val="right"/>
              <w:ind w:right="53"/>
              <w:spacing w:after="0" w:line="155" w:lineRule="exact"/>
              <w:rPr>
                <w:sz w:val="20"/>
                <w:szCs w:val="20"/>
                <w:color w:val="auto"/>
              </w:rPr>
            </w:pPr>
            <w:r>
              <w:rPr>
                <w:rFonts w:ascii="Arial" w:cs="Arial" w:eastAsia="Arial" w:hAnsi="Arial"/>
                <w:sz w:val="14"/>
                <w:szCs w:val="14"/>
                <w:color w:val="auto"/>
              </w:rPr>
              <w:t>133,080</w:t>
            </w:r>
          </w:p>
        </w:tc>
        <w:tc>
          <w:tcPr>
            <w:tcW w:w="700" w:type="dxa"/>
            <w:vAlign w:val="bottom"/>
            <w:shd w:val="clear" w:color="auto" w:fill="DDE6F2"/>
          </w:tcPr>
          <w:p>
            <w:pPr>
              <w:jc w:val="right"/>
              <w:spacing w:after="0" w:line="155" w:lineRule="exact"/>
              <w:rPr>
                <w:sz w:val="20"/>
                <w:szCs w:val="20"/>
                <w:color w:val="auto"/>
              </w:rPr>
            </w:pPr>
            <w:r>
              <w:rPr>
                <w:rFonts w:ascii="Arial" w:cs="Arial" w:eastAsia="Arial" w:hAnsi="Arial"/>
                <w:sz w:val="14"/>
                <w:szCs w:val="14"/>
                <w:color w:val="auto"/>
              </w:rPr>
              <w:t>$41.77</w:t>
            </w:r>
          </w:p>
        </w:tc>
        <w:tc>
          <w:tcPr>
            <w:tcW w:w="1000" w:type="dxa"/>
            <w:vAlign w:val="bottom"/>
            <w:tcBorders>
              <w:right w:val="single" w:sz="8" w:color="auto"/>
            </w:tcBorders>
            <w:shd w:val="clear" w:color="auto" w:fill="DDE6F2"/>
          </w:tcPr>
          <w:p>
            <w:pPr>
              <w:jc w:val="right"/>
              <w:ind w:right="170"/>
              <w:spacing w:after="0" w:line="155" w:lineRule="exact"/>
              <w:rPr>
                <w:sz w:val="20"/>
                <w:szCs w:val="20"/>
                <w:color w:val="auto"/>
              </w:rPr>
            </w:pPr>
            <w:r>
              <w:rPr>
                <w:rFonts w:ascii="Arial" w:cs="Arial" w:eastAsia="Arial" w:hAnsi="Arial"/>
                <w:sz w:val="14"/>
                <w:szCs w:val="14"/>
                <w:color w:val="auto"/>
              </w:rPr>
              <w:t>$998,100</w:t>
            </w: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color w:val="auto"/>
              </w:rPr>
              <w:t>Armstrong</w:t>
            </w:r>
          </w:p>
        </w:tc>
        <w:tc>
          <w:tcPr>
            <w:tcW w:w="160" w:type="dxa"/>
            <w:vAlign w:val="bottom"/>
            <w:shd w:val="clear" w:color="auto" w:fill="DDE6F2"/>
          </w:tcPr>
          <w:p>
            <w:pPr>
              <w:spacing w:after="0"/>
              <w:rPr>
                <w:sz w:val="14"/>
                <w:szCs w:val="14"/>
                <w:color w:val="auto"/>
              </w:rPr>
            </w:pPr>
          </w:p>
        </w:tc>
        <w:tc>
          <w:tcPr>
            <w:tcW w:w="720" w:type="dxa"/>
            <w:vAlign w:val="bottom"/>
            <w:shd w:val="clear" w:color="auto" w:fill="DDE6F2"/>
          </w:tcPr>
          <w:p>
            <w:pPr>
              <w:jc w:val="center"/>
              <w:spacing w:after="0"/>
              <w:rPr>
                <w:sz w:val="20"/>
                <w:szCs w:val="20"/>
                <w:color w:val="auto"/>
              </w:rPr>
            </w:pPr>
            <w:r>
              <w:rPr>
                <w:rFonts w:ascii="Arial" w:cs="Arial" w:eastAsia="Arial" w:hAnsi="Arial"/>
                <w:sz w:val="14"/>
                <w:szCs w:val="14"/>
                <w:color w:val="auto"/>
              </w:rPr>
              <w:t>2/24/2014</w:t>
            </w:r>
          </w:p>
        </w:tc>
        <w:tc>
          <w:tcPr>
            <w:tcW w:w="920" w:type="dxa"/>
            <w:vAlign w:val="bottom"/>
            <w:shd w:val="clear" w:color="auto" w:fill="DDE6F2"/>
          </w:tcPr>
          <w:p>
            <w:pPr>
              <w:spacing w:after="0"/>
              <w:rPr>
                <w:sz w:val="14"/>
                <w:szCs w:val="14"/>
                <w:color w:val="auto"/>
              </w:rPr>
            </w:pPr>
          </w:p>
        </w:tc>
        <w:tc>
          <w:tcPr>
            <w:tcW w:w="1000" w:type="dxa"/>
            <w:vAlign w:val="bottom"/>
            <w:shd w:val="clear" w:color="auto" w:fill="DDE6F2"/>
          </w:tcPr>
          <w:p>
            <w:pPr>
              <w:spacing w:after="0"/>
              <w:rPr>
                <w:sz w:val="14"/>
                <w:szCs w:val="14"/>
                <w:color w:val="auto"/>
              </w:rPr>
            </w:pPr>
          </w:p>
        </w:tc>
        <w:tc>
          <w:tcPr>
            <w:tcW w:w="960" w:type="dxa"/>
            <w:vAlign w:val="bottom"/>
            <w:shd w:val="clear" w:color="auto" w:fill="DDE6F2"/>
          </w:tcPr>
          <w:p>
            <w:pPr>
              <w:spacing w:after="0"/>
              <w:rPr>
                <w:sz w:val="14"/>
                <w:szCs w:val="14"/>
                <w:color w:val="auto"/>
              </w:rPr>
            </w:pPr>
          </w:p>
        </w:tc>
        <w:tc>
          <w:tcPr>
            <w:tcW w:w="760" w:type="dxa"/>
            <w:vAlign w:val="bottom"/>
            <w:shd w:val="clear" w:color="auto" w:fill="DDE6F2"/>
          </w:tcPr>
          <w:p>
            <w:pPr>
              <w:jc w:val="right"/>
              <w:spacing w:after="0"/>
              <w:rPr>
                <w:sz w:val="20"/>
                <w:szCs w:val="20"/>
                <w:color w:val="auto"/>
              </w:rPr>
            </w:pPr>
            <w:r>
              <w:rPr>
                <w:rFonts w:ascii="Arial" w:cs="Arial" w:eastAsia="Arial" w:hAnsi="Arial"/>
                <w:sz w:val="14"/>
                <w:szCs w:val="14"/>
                <w:color w:val="auto"/>
              </w:rPr>
              <w:t>0</w:t>
            </w:r>
          </w:p>
        </w:tc>
        <w:tc>
          <w:tcPr>
            <w:tcW w:w="900" w:type="dxa"/>
            <w:vAlign w:val="bottom"/>
            <w:shd w:val="clear" w:color="auto" w:fill="DDE6F2"/>
          </w:tcPr>
          <w:p>
            <w:pPr>
              <w:ind w:left="260"/>
              <w:spacing w:after="0"/>
              <w:rPr>
                <w:sz w:val="20"/>
                <w:szCs w:val="20"/>
                <w:color w:val="auto"/>
              </w:rPr>
            </w:pPr>
            <w:r>
              <w:rPr>
                <w:rFonts w:ascii="Arial" w:cs="Arial" w:eastAsia="Arial" w:hAnsi="Arial"/>
                <w:sz w:val="14"/>
                <w:szCs w:val="14"/>
                <w:color w:val="auto"/>
              </w:rPr>
              <w:t>78,041</w:t>
            </w:r>
          </w:p>
        </w:tc>
        <w:tc>
          <w:tcPr>
            <w:tcW w:w="760" w:type="dxa"/>
            <w:vAlign w:val="bottom"/>
            <w:shd w:val="clear" w:color="auto" w:fill="DDE6F2"/>
          </w:tcPr>
          <w:p>
            <w:pPr>
              <w:jc w:val="right"/>
              <w:ind w:right="49"/>
              <w:spacing w:after="0"/>
              <w:rPr>
                <w:sz w:val="20"/>
                <w:szCs w:val="20"/>
                <w:color w:val="auto"/>
              </w:rPr>
            </w:pPr>
            <w:r>
              <w:rPr>
                <w:rFonts w:ascii="Arial" w:cs="Arial" w:eastAsia="Arial" w:hAnsi="Arial"/>
                <w:sz w:val="14"/>
                <w:szCs w:val="14"/>
                <w:color w:val="auto"/>
              </w:rPr>
              <w:t>156,082</w:t>
            </w:r>
          </w:p>
        </w:tc>
        <w:tc>
          <w:tcPr>
            <w:tcW w:w="900" w:type="dxa"/>
            <w:vAlign w:val="bottom"/>
            <w:shd w:val="clear" w:color="auto" w:fill="DDE6F2"/>
          </w:tcPr>
          <w:p>
            <w:pPr>
              <w:spacing w:after="0"/>
              <w:rPr>
                <w:sz w:val="14"/>
                <w:szCs w:val="14"/>
                <w:color w:val="auto"/>
              </w:rPr>
            </w:pPr>
          </w:p>
        </w:tc>
        <w:tc>
          <w:tcPr>
            <w:tcW w:w="900" w:type="dxa"/>
            <w:vAlign w:val="bottom"/>
            <w:shd w:val="clear" w:color="auto" w:fill="DDE6F2"/>
          </w:tcPr>
          <w:p>
            <w:pPr>
              <w:spacing w:after="0"/>
              <w:rPr>
                <w:sz w:val="14"/>
                <w:szCs w:val="14"/>
                <w:color w:val="auto"/>
              </w:rPr>
            </w:pPr>
          </w:p>
        </w:tc>
        <w:tc>
          <w:tcPr>
            <w:tcW w:w="700" w:type="dxa"/>
            <w:vAlign w:val="bottom"/>
            <w:shd w:val="clear" w:color="auto" w:fill="DDE6F2"/>
          </w:tcPr>
          <w:p>
            <w:pPr>
              <w:spacing w:after="0"/>
              <w:rPr>
                <w:sz w:val="14"/>
                <w:szCs w:val="14"/>
                <w:color w:val="auto"/>
              </w:rPr>
            </w:pPr>
          </w:p>
        </w:tc>
        <w:tc>
          <w:tcPr>
            <w:tcW w:w="1000" w:type="dxa"/>
            <w:vAlign w:val="bottom"/>
            <w:tcBorders>
              <w:right w:val="single" w:sz="8" w:color="auto"/>
            </w:tcBorders>
            <w:shd w:val="clear" w:color="auto" w:fill="DDE6F2"/>
          </w:tcPr>
          <w:p>
            <w:pPr>
              <w:jc w:val="right"/>
              <w:ind w:right="170"/>
              <w:spacing w:after="0"/>
              <w:rPr>
                <w:sz w:val="20"/>
                <w:szCs w:val="20"/>
                <w:color w:val="auto"/>
              </w:rPr>
            </w:pPr>
            <w:r>
              <w:rPr>
                <w:rFonts w:ascii="Arial" w:cs="Arial" w:eastAsia="Arial" w:hAnsi="Arial"/>
                <w:sz w:val="14"/>
                <w:szCs w:val="14"/>
                <w:color w:val="auto"/>
              </w:rPr>
              <w:t>2,580,816</w:t>
            </w:r>
          </w:p>
        </w:tc>
        <w:tc>
          <w:tcPr>
            <w:tcW w:w="0" w:type="dxa"/>
            <w:vAlign w:val="bottom"/>
          </w:tcPr>
          <w:p>
            <w:pPr>
              <w:spacing w:after="0"/>
              <w:rPr>
                <w:sz w:val="1"/>
                <w:szCs w:val="1"/>
                <w:color w:val="auto"/>
              </w:rPr>
            </w:pPr>
          </w:p>
        </w:tc>
      </w:tr>
      <w:tr>
        <w:trPr>
          <w:trHeight w:val="96"/>
        </w:trPr>
        <w:tc>
          <w:tcPr>
            <w:tcW w:w="1760" w:type="dxa"/>
            <w:vAlign w:val="bottom"/>
            <w:tcBorders>
              <w:left w:val="single" w:sz="8" w:color="auto"/>
            </w:tcBorders>
            <w:vMerge w:val="continue"/>
          </w:tcPr>
          <w:p>
            <w:pPr>
              <w:spacing w:after="0"/>
              <w:rPr>
                <w:sz w:val="8"/>
                <w:szCs w:val="8"/>
                <w:color w:val="auto"/>
              </w:rPr>
            </w:pPr>
          </w:p>
        </w:tc>
        <w:tc>
          <w:tcPr>
            <w:tcW w:w="160" w:type="dxa"/>
            <w:vAlign w:val="bottom"/>
            <w:shd w:val="clear" w:color="auto" w:fill="DDE6F2"/>
          </w:tcPr>
          <w:p>
            <w:pPr>
              <w:spacing w:after="0"/>
              <w:rPr>
                <w:sz w:val="8"/>
                <w:szCs w:val="8"/>
                <w:color w:val="auto"/>
              </w:rPr>
            </w:pPr>
          </w:p>
        </w:tc>
        <w:tc>
          <w:tcPr>
            <w:tcW w:w="720" w:type="dxa"/>
            <w:vAlign w:val="bottom"/>
            <w:vMerge w:val="restart"/>
            <w:shd w:val="clear" w:color="auto" w:fill="DDE6F2"/>
          </w:tcPr>
          <w:p>
            <w:pPr>
              <w:jc w:val="center"/>
              <w:spacing w:after="0"/>
              <w:rPr>
                <w:sz w:val="20"/>
                <w:szCs w:val="20"/>
                <w:color w:val="auto"/>
              </w:rPr>
            </w:pPr>
            <w:r>
              <w:rPr>
                <w:rFonts w:ascii="Arial" w:cs="Arial" w:eastAsia="Arial" w:hAnsi="Arial"/>
                <w:sz w:val="14"/>
                <w:szCs w:val="14"/>
                <w:color w:val="auto"/>
              </w:rPr>
              <w:t>2/24/2014</w:t>
            </w:r>
          </w:p>
        </w:tc>
        <w:tc>
          <w:tcPr>
            <w:tcW w:w="920" w:type="dxa"/>
            <w:vAlign w:val="bottom"/>
            <w:shd w:val="clear" w:color="auto" w:fill="DDE6F2"/>
          </w:tcPr>
          <w:p>
            <w:pPr>
              <w:spacing w:after="0"/>
              <w:rPr>
                <w:sz w:val="8"/>
                <w:szCs w:val="8"/>
                <w:color w:val="auto"/>
              </w:rPr>
            </w:pPr>
          </w:p>
        </w:tc>
        <w:tc>
          <w:tcPr>
            <w:tcW w:w="1000" w:type="dxa"/>
            <w:vAlign w:val="bottom"/>
            <w:shd w:val="clear" w:color="auto" w:fill="DDE6F2"/>
          </w:tcPr>
          <w:p>
            <w:pPr>
              <w:spacing w:after="0"/>
              <w:rPr>
                <w:sz w:val="8"/>
                <w:szCs w:val="8"/>
                <w:color w:val="auto"/>
              </w:rPr>
            </w:pPr>
          </w:p>
        </w:tc>
        <w:tc>
          <w:tcPr>
            <w:tcW w:w="960" w:type="dxa"/>
            <w:vAlign w:val="bottom"/>
            <w:shd w:val="clear" w:color="auto" w:fill="DDE6F2"/>
          </w:tcPr>
          <w:p>
            <w:pPr>
              <w:spacing w:after="0"/>
              <w:rPr>
                <w:sz w:val="8"/>
                <w:szCs w:val="8"/>
                <w:color w:val="auto"/>
              </w:rPr>
            </w:pPr>
          </w:p>
        </w:tc>
        <w:tc>
          <w:tcPr>
            <w:tcW w:w="760" w:type="dxa"/>
            <w:vAlign w:val="bottom"/>
            <w:shd w:val="clear" w:color="auto" w:fill="DDE6F2"/>
          </w:tcPr>
          <w:p>
            <w:pPr>
              <w:spacing w:after="0"/>
              <w:rPr>
                <w:sz w:val="8"/>
                <w:szCs w:val="8"/>
                <w:color w:val="auto"/>
              </w:rPr>
            </w:pPr>
          </w:p>
        </w:tc>
        <w:tc>
          <w:tcPr>
            <w:tcW w:w="900" w:type="dxa"/>
            <w:vAlign w:val="bottom"/>
            <w:shd w:val="clear" w:color="auto" w:fill="DDE6F2"/>
          </w:tcPr>
          <w:p>
            <w:pPr>
              <w:spacing w:after="0"/>
              <w:rPr>
                <w:sz w:val="8"/>
                <w:szCs w:val="8"/>
                <w:color w:val="auto"/>
              </w:rPr>
            </w:pPr>
          </w:p>
        </w:tc>
        <w:tc>
          <w:tcPr>
            <w:tcW w:w="760" w:type="dxa"/>
            <w:vAlign w:val="bottom"/>
            <w:shd w:val="clear" w:color="auto" w:fill="DDE6F2"/>
          </w:tcPr>
          <w:p>
            <w:pPr>
              <w:spacing w:after="0"/>
              <w:rPr>
                <w:sz w:val="8"/>
                <w:szCs w:val="8"/>
                <w:color w:val="auto"/>
              </w:rPr>
            </w:pPr>
          </w:p>
        </w:tc>
        <w:tc>
          <w:tcPr>
            <w:tcW w:w="900" w:type="dxa"/>
            <w:vAlign w:val="bottom"/>
            <w:vMerge w:val="restart"/>
            <w:shd w:val="clear" w:color="auto" w:fill="DDE6F2"/>
          </w:tcPr>
          <w:p>
            <w:pPr>
              <w:jc w:val="right"/>
              <w:ind w:right="53"/>
              <w:spacing w:after="0"/>
              <w:rPr>
                <w:sz w:val="20"/>
                <w:szCs w:val="20"/>
                <w:color w:val="auto"/>
              </w:rPr>
            </w:pPr>
            <w:r>
              <w:rPr>
                <w:rFonts w:ascii="Arial" w:cs="Arial" w:eastAsia="Arial" w:hAnsi="Arial"/>
                <w:sz w:val="14"/>
                <w:szCs w:val="14"/>
                <w:color w:val="auto"/>
              </w:rPr>
              <w:t>31,422</w:t>
            </w:r>
          </w:p>
        </w:tc>
        <w:tc>
          <w:tcPr>
            <w:tcW w:w="900" w:type="dxa"/>
            <w:vAlign w:val="bottom"/>
            <w:shd w:val="clear" w:color="auto" w:fill="DDE6F2"/>
          </w:tcPr>
          <w:p>
            <w:pPr>
              <w:spacing w:after="0"/>
              <w:rPr>
                <w:sz w:val="8"/>
                <w:szCs w:val="8"/>
                <w:color w:val="auto"/>
              </w:rPr>
            </w:pPr>
          </w:p>
        </w:tc>
        <w:tc>
          <w:tcPr>
            <w:tcW w:w="700" w:type="dxa"/>
            <w:vAlign w:val="bottom"/>
            <w:shd w:val="clear" w:color="auto" w:fill="DDE6F2"/>
          </w:tcPr>
          <w:p>
            <w:pPr>
              <w:spacing w:after="0"/>
              <w:rPr>
                <w:sz w:val="8"/>
                <w:szCs w:val="8"/>
                <w:color w:val="auto"/>
              </w:rPr>
            </w:pPr>
          </w:p>
        </w:tc>
        <w:tc>
          <w:tcPr>
            <w:tcW w:w="1000" w:type="dxa"/>
            <w:vAlign w:val="bottom"/>
            <w:tcBorders>
              <w:right w:val="single" w:sz="8" w:color="auto"/>
            </w:tcBorders>
            <w:vMerge w:val="restart"/>
            <w:shd w:val="clear" w:color="auto" w:fill="DDE6F2"/>
          </w:tcPr>
          <w:p>
            <w:pPr>
              <w:jc w:val="right"/>
              <w:ind w:right="170"/>
              <w:spacing w:after="0"/>
              <w:rPr>
                <w:sz w:val="20"/>
                <w:szCs w:val="20"/>
                <w:color w:val="auto"/>
              </w:rPr>
            </w:pPr>
            <w:r>
              <w:rPr>
                <w:rFonts w:ascii="Arial" w:cs="Arial" w:eastAsia="Arial" w:hAnsi="Arial"/>
                <w:sz w:val="14"/>
                <w:szCs w:val="14"/>
                <w:color w:val="auto"/>
              </w:rPr>
              <w:t>1,312,497</w:t>
            </w:r>
          </w:p>
        </w:tc>
        <w:tc>
          <w:tcPr>
            <w:tcW w:w="0" w:type="dxa"/>
            <w:vAlign w:val="bottom"/>
          </w:tcPr>
          <w:p>
            <w:pPr>
              <w:spacing w:after="0"/>
              <w:rPr>
                <w:sz w:val="1"/>
                <w:szCs w:val="1"/>
                <w:color w:val="auto"/>
              </w:rPr>
            </w:pPr>
          </w:p>
        </w:tc>
      </w:tr>
      <w:tr>
        <w:trPr>
          <w:trHeight w:val="66"/>
        </w:trPr>
        <w:tc>
          <w:tcPr>
            <w:tcW w:w="1760" w:type="dxa"/>
            <w:vAlign w:val="bottom"/>
            <w:tcBorders>
              <w:left w:val="single" w:sz="8" w:color="auto"/>
            </w:tcBorders>
          </w:tcPr>
          <w:p>
            <w:pPr>
              <w:spacing w:after="0"/>
              <w:rPr>
                <w:sz w:val="5"/>
                <w:szCs w:val="5"/>
                <w:color w:val="auto"/>
              </w:rPr>
            </w:pPr>
          </w:p>
        </w:tc>
        <w:tc>
          <w:tcPr>
            <w:tcW w:w="160" w:type="dxa"/>
            <w:vAlign w:val="bottom"/>
            <w:shd w:val="clear" w:color="auto" w:fill="DDE6F2"/>
          </w:tcPr>
          <w:p>
            <w:pPr>
              <w:spacing w:after="0"/>
              <w:rPr>
                <w:sz w:val="5"/>
                <w:szCs w:val="5"/>
                <w:color w:val="auto"/>
              </w:rPr>
            </w:pPr>
          </w:p>
        </w:tc>
        <w:tc>
          <w:tcPr>
            <w:tcW w:w="720" w:type="dxa"/>
            <w:vAlign w:val="bottom"/>
            <w:vMerge w:val="continue"/>
            <w:shd w:val="clear" w:color="auto" w:fill="DDE6F2"/>
          </w:tcPr>
          <w:p>
            <w:pPr>
              <w:spacing w:after="0"/>
              <w:rPr>
                <w:sz w:val="5"/>
                <w:szCs w:val="5"/>
                <w:color w:val="auto"/>
              </w:rPr>
            </w:pPr>
          </w:p>
        </w:tc>
        <w:tc>
          <w:tcPr>
            <w:tcW w:w="920" w:type="dxa"/>
            <w:vAlign w:val="bottom"/>
            <w:shd w:val="clear" w:color="auto" w:fill="DDE6F2"/>
          </w:tcPr>
          <w:p>
            <w:pPr>
              <w:spacing w:after="0"/>
              <w:rPr>
                <w:sz w:val="5"/>
                <w:szCs w:val="5"/>
                <w:color w:val="auto"/>
              </w:rPr>
            </w:pPr>
          </w:p>
        </w:tc>
        <w:tc>
          <w:tcPr>
            <w:tcW w:w="1000" w:type="dxa"/>
            <w:vAlign w:val="bottom"/>
            <w:shd w:val="clear" w:color="auto" w:fill="DDE6F2"/>
          </w:tcPr>
          <w:p>
            <w:pPr>
              <w:spacing w:after="0"/>
              <w:rPr>
                <w:sz w:val="5"/>
                <w:szCs w:val="5"/>
                <w:color w:val="auto"/>
              </w:rPr>
            </w:pPr>
          </w:p>
        </w:tc>
        <w:tc>
          <w:tcPr>
            <w:tcW w:w="960" w:type="dxa"/>
            <w:vAlign w:val="bottom"/>
            <w:shd w:val="clear" w:color="auto" w:fill="DDE6F2"/>
          </w:tcPr>
          <w:p>
            <w:pPr>
              <w:spacing w:after="0"/>
              <w:rPr>
                <w:sz w:val="5"/>
                <w:szCs w:val="5"/>
                <w:color w:val="auto"/>
              </w:rPr>
            </w:pPr>
          </w:p>
        </w:tc>
        <w:tc>
          <w:tcPr>
            <w:tcW w:w="760" w:type="dxa"/>
            <w:vAlign w:val="bottom"/>
            <w:shd w:val="clear" w:color="auto" w:fill="DDE6F2"/>
          </w:tcPr>
          <w:p>
            <w:pPr>
              <w:spacing w:after="0"/>
              <w:rPr>
                <w:sz w:val="5"/>
                <w:szCs w:val="5"/>
                <w:color w:val="auto"/>
              </w:rPr>
            </w:pPr>
          </w:p>
        </w:tc>
        <w:tc>
          <w:tcPr>
            <w:tcW w:w="900" w:type="dxa"/>
            <w:vAlign w:val="bottom"/>
            <w:shd w:val="clear" w:color="auto" w:fill="DDE6F2"/>
          </w:tcPr>
          <w:p>
            <w:pPr>
              <w:spacing w:after="0"/>
              <w:rPr>
                <w:sz w:val="5"/>
                <w:szCs w:val="5"/>
                <w:color w:val="auto"/>
              </w:rPr>
            </w:pPr>
          </w:p>
        </w:tc>
        <w:tc>
          <w:tcPr>
            <w:tcW w:w="760" w:type="dxa"/>
            <w:vAlign w:val="bottom"/>
            <w:shd w:val="clear" w:color="auto" w:fill="DDE6F2"/>
          </w:tcPr>
          <w:p>
            <w:pPr>
              <w:spacing w:after="0"/>
              <w:rPr>
                <w:sz w:val="5"/>
                <w:szCs w:val="5"/>
                <w:color w:val="auto"/>
              </w:rPr>
            </w:pPr>
          </w:p>
        </w:tc>
        <w:tc>
          <w:tcPr>
            <w:tcW w:w="900" w:type="dxa"/>
            <w:vAlign w:val="bottom"/>
            <w:vMerge w:val="continue"/>
            <w:shd w:val="clear" w:color="auto" w:fill="DDE6F2"/>
          </w:tcPr>
          <w:p>
            <w:pPr>
              <w:spacing w:after="0"/>
              <w:rPr>
                <w:sz w:val="5"/>
                <w:szCs w:val="5"/>
                <w:color w:val="auto"/>
              </w:rPr>
            </w:pPr>
          </w:p>
        </w:tc>
        <w:tc>
          <w:tcPr>
            <w:tcW w:w="900" w:type="dxa"/>
            <w:vAlign w:val="bottom"/>
            <w:shd w:val="clear" w:color="auto" w:fill="DDE6F2"/>
          </w:tcPr>
          <w:p>
            <w:pPr>
              <w:spacing w:after="0"/>
              <w:rPr>
                <w:sz w:val="5"/>
                <w:szCs w:val="5"/>
                <w:color w:val="auto"/>
              </w:rPr>
            </w:pPr>
          </w:p>
        </w:tc>
        <w:tc>
          <w:tcPr>
            <w:tcW w:w="700" w:type="dxa"/>
            <w:vAlign w:val="bottom"/>
            <w:shd w:val="clear" w:color="auto" w:fill="DDE6F2"/>
          </w:tcPr>
          <w:p>
            <w:pPr>
              <w:spacing w:after="0"/>
              <w:rPr>
                <w:sz w:val="5"/>
                <w:szCs w:val="5"/>
                <w:color w:val="auto"/>
              </w:rPr>
            </w:pPr>
          </w:p>
        </w:tc>
        <w:tc>
          <w:tcPr>
            <w:tcW w:w="1000" w:type="dxa"/>
            <w:vAlign w:val="bottom"/>
            <w:tcBorders>
              <w:right w:val="single" w:sz="8" w:color="auto"/>
            </w:tcBorders>
            <w:vMerge w:val="continue"/>
            <w:shd w:val="clear" w:color="auto" w:fill="DDE6F2"/>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bottom w:val="single" w:sz="8" w:color="auto"/>
            </w:tcBorders>
          </w:tcPr>
          <w:p>
            <w:pPr>
              <w:spacing w:after="0"/>
              <w:rPr>
                <w:sz w:val="14"/>
                <w:szCs w:val="14"/>
                <w:color w:val="auto"/>
              </w:rPr>
            </w:pPr>
          </w:p>
        </w:tc>
        <w:tc>
          <w:tcPr>
            <w:tcW w:w="160" w:type="dxa"/>
            <w:vAlign w:val="bottom"/>
            <w:tcBorders>
              <w:bottom w:val="single" w:sz="8" w:color="auto"/>
            </w:tcBorders>
            <w:shd w:val="clear" w:color="auto" w:fill="DDE6F2"/>
          </w:tcPr>
          <w:p>
            <w:pPr>
              <w:spacing w:after="0"/>
              <w:rPr>
                <w:sz w:val="14"/>
                <w:szCs w:val="14"/>
                <w:color w:val="auto"/>
              </w:rPr>
            </w:pPr>
          </w:p>
        </w:tc>
        <w:tc>
          <w:tcPr>
            <w:tcW w:w="720" w:type="dxa"/>
            <w:vAlign w:val="bottom"/>
            <w:tcBorders>
              <w:bottom w:val="single" w:sz="8" w:color="auto"/>
            </w:tcBorders>
            <w:shd w:val="clear" w:color="auto" w:fill="DDE6F2"/>
          </w:tcPr>
          <w:p>
            <w:pPr>
              <w:jc w:val="center"/>
              <w:spacing w:after="0"/>
              <w:rPr>
                <w:sz w:val="20"/>
                <w:szCs w:val="20"/>
                <w:color w:val="auto"/>
              </w:rPr>
            </w:pPr>
            <w:r>
              <w:rPr>
                <w:rFonts w:ascii="Arial" w:cs="Arial" w:eastAsia="Arial" w:hAnsi="Arial"/>
                <w:sz w:val="14"/>
                <w:szCs w:val="14"/>
                <w:color w:val="auto"/>
              </w:rPr>
              <w:t>10/25/2014</w:t>
            </w:r>
          </w:p>
        </w:tc>
        <w:tc>
          <w:tcPr>
            <w:tcW w:w="920" w:type="dxa"/>
            <w:vAlign w:val="bottom"/>
            <w:tcBorders>
              <w:bottom w:val="single" w:sz="8" w:color="auto"/>
            </w:tcBorders>
            <w:shd w:val="clear" w:color="auto" w:fill="DDE6F2"/>
          </w:tcPr>
          <w:p>
            <w:pPr>
              <w:spacing w:after="0"/>
              <w:rPr>
                <w:sz w:val="14"/>
                <w:szCs w:val="14"/>
                <w:color w:val="auto"/>
              </w:rPr>
            </w:pPr>
          </w:p>
        </w:tc>
        <w:tc>
          <w:tcPr>
            <w:tcW w:w="1000" w:type="dxa"/>
            <w:vAlign w:val="bottom"/>
            <w:tcBorders>
              <w:bottom w:val="single" w:sz="8" w:color="auto"/>
            </w:tcBorders>
            <w:shd w:val="clear" w:color="auto" w:fill="DDE6F2"/>
          </w:tcPr>
          <w:p>
            <w:pPr>
              <w:spacing w:after="0"/>
              <w:rPr>
                <w:sz w:val="14"/>
                <w:szCs w:val="14"/>
                <w:color w:val="auto"/>
              </w:rPr>
            </w:pPr>
          </w:p>
        </w:tc>
        <w:tc>
          <w:tcPr>
            <w:tcW w:w="960" w:type="dxa"/>
            <w:vAlign w:val="bottom"/>
            <w:tcBorders>
              <w:bottom w:val="single" w:sz="8" w:color="auto"/>
            </w:tcBorders>
            <w:shd w:val="clear" w:color="auto" w:fill="DDE6F2"/>
          </w:tcPr>
          <w:p>
            <w:pPr>
              <w:spacing w:after="0"/>
              <w:rPr>
                <w:sz w:val="14"/>
                <w:szCs w:val="14"/>
                <w:color w:val="auto"/>
              </w:rPr>
            </w:pPr>
          </w:p>
        </w:tc>
        <w:tc>
          <w:tcPr>
            <w:tcW w:w="760" w:type="dxa"/>
            <w:vAlign w:val="bottom"/>
            <w:tcBorders>
              <w:bottom w:val="single" w:sz="8" w:color="auto"/>
            </w:tcBorders>
            <w:shd w:val="clear" w:color="auto" w:fill="DDE6F2"/>
          </w:tcPr>
          <w:p>
            <w:pPr>
              <w:jc w:val="right"/>
              <w:spacing w:after="0"/>
              <w:rPr>
                <w:sz w:val="20"/>
                <w:szCs w:val="20"/>
                <w:color w:val="auto"/>
              </w:rPr>
            </w:pPr>
            <w:r>
              <w:rPr>
                <w:rFonts w:ascii="Arial" w:cs="Arial" w:eastAsia="Arial" w:hAnsi="Arial"/>
                <w:sz w:val="14"/>
                <w:szCs w:val="14"/>
                <w:color w:val="auto"/>
              </w:rPr>
              <w:t>0</w:t>
            </w:r>
          </w:p>
        </w:tc>
        <w:tc>
          <w:tcPr>
            <w:tcW w:w="900" w:type="dxa"/>
            <w:vAlign w:val="bottom"/>
            <w:tcBorders>
              <w:bottom w:val="single" w:sz="8" w:color="auto"/>
            </w:tcBorders>
            <w:shd w:val="clear" w:color="auto" w:fill="DDE6F2"/>
          </w:tcPr>
          <w:p>
            <w:pPr>
              <w:ind w:left="260"/>
              <w:spacing w:after="0"/>
              <w:rPr>
                <w:sz w:val="20"/>
                <w:szCs w:val="20"/>
                <w:color w:val="auto"/>
              </w:rPr>
            </w:pPr>
            <w:r>
              <w:rPr>
                <w:rFonts w:ascii="Arial" w:cs="Arial" w:eastAsia="Arial" w:hAnsi="Arial"/>
                <w:sz w:val="14"/>
                <w:szCs w:val="14"/>
                <w:color w:val="auto"/>
              </w:rPr>
              <w:t>56,807</w:t>
            </w:r>
          </w:p>
        </w:tc>
        <w:tc>
          <w:tcPr>
            <w:tcW w:w="760" w:type="dxa"/>
            <w:vAlign w:val="bottom"/>
            <w:tcBorders>
              <w:bottom w:val="single" w:sz="8" w:color="auto"/>
            </w:tcBorders>
            <w:shd w:val="clear" w:color="auto" w:fill="DDE6F2"/>
          </w:tcPr>
          <w:p>
            <w:pPr>
              <w:jc w:val="right"/>
              <w:ind w:right="49"/>
              <w:spacing w:after="0"/>
              <w:rPr>
                <w:sz w:val="20"/>
                <w:szCs w:val="20"/>
                <w:color w:val="auto"/>
              </w:rPr>
            </w:pPr>
            <w:r>
              <w:rPr>
                <w:rFonts w:ascii="Arial" w:cs="Arial" w:eastAsia="Arial" w:hAnsi="Arial"/>
                <w:sz w:val="14"/>
                <w:szCs w:val="14"/>
                <w:color w:val="auto"/>
              </w:rPr>
              <w:t>284,035</w:t>
            </w:r>
          </w:p>
        </w:tc>
        <w:tc>
          <w:tcPr>
            <w:tcW w:w="900" w:type="dxa"/>
            <w:vAlign w:val="bottom"/>
            <w:tcBorders>
              <w:bottom w:val="single" w:sz="8" w:color="auto"/>
            </w:tcBorders>
            <w:shd w:val="clear" w:color="auto" w:fill="DDE6F2"/>
          </w:tcPr>
          <w:p>
            <w:pPr>
              <w:spacing w:after="0"/>
              <w:rPr>
                <w:sz w:val="14"/>
                <w:szCs w:val="14"/>
                <w:color w:val="auto"/>
              </w:rPr>
            </w:pPr>
          </w:p>
        </w:tc>
        <w:tc>
          <w:tcPr>
            <w:tcW w:w="900" w:type="dxa"/>
            <w:vAlign w:val="bottom"/>
            <w:tcBorders>
              <w:bottom w:val="single" w:sz="8" w:color="auto"/>
            </w:tcBorders>
            <w:shd w:val="clear" w:color="auto" w:fill="DDE6F2"/>
          </w:tcPr>
          <w:p>
            <w:pPr>
              <w:spacing w:after="0"/>
              <w:rPr>
                <w:sz w:val="14"/>
                <w:szCs w:val="14"/>
                <w:color w:val="auto"/>
              </w:rPr>
            </w:pPr>
          </w:p>
        </w:tc>
        <w:tc>
          <w:tcPr>
            <w:tcW w:w="700" w:type="dxa"/>
            <w:vAlign w:val="bottom"/>
            <w:tcBorders>
              <w:bottom w:val="single" w:sz="8" w:color="auto"/>
            </w:tcBorders>
            <w:shd w:val="clear" w:color="auto" w:fill="DDE6F2"/>
          </w:tcPr>
          <w:p>
            <w:pPr>
              <w:spacing w:after="0"/>
              <w:rPr>
                <w:sz w:val="14"/>
                <w:szCs w:val="14"/>
                <w:color w:val="auto"/>
              </w:rPr>
            </w:pPr>
          </w:p>
        </w:tc>
        <w:tc>
          <w:tcPr>
            <w:tcW w:w="1000" w:type="dxa"/>
            <w:vAlign w:val="bottom"/>
            <w:tcBorders>
              <w:bottom w:val="single" w:sz="8" w:color="auto"/>
              <w:right w:val="single" w:sz="8" w:color="auto"/>
            </w:tcBorders>
            <w:shd w:val="clear" w:color="auto" w:fill="DDE6F2"/>
          </w:tcPr>
          <w:p>
            <w:pPr>
              <w:jc w:val="right"/>
              <w:ind w:right="170"/>
              <w:spacing w:after="0"/>
              <w:rPr>
                <w:sz w:val="20"/>
                <w:szCs w:val="20"/>
                <w:color w:val="auto"/>
              </w:rPr>
            </w:pPr>
            <w:r>
              <w:rPr>
                <w:rFonts w:ascii="Arial" w:cs="Arial" w:eastAsia="Arial" w:hAnsi="Arial"/>
                <w:sz w:val="14"/>
                <w:szCs w:val="14"/>
                <w:color w:val="auto"/>
              </w:rPr>
              <w:t>3,350,670</w:t>
            </w:r>
          </w:p>
        </w:tc>
        <w:tc>
          <w:tcPr>
            <w:tcW w:w="0" w:type="dxa"/>
            <w:vAlign w:val="bottom"/>
          </w:tcPr>
          <w:p>
            <w:pPr>
              <w:spacing w:after="0"/>
              <w:rPr>
                <w:sz w:val="1"/>
                <w:szCs w:val="1"/>
                <w:color w:val="auto"/>
              </w:rPr>
            </w:pPr>
          </w:p>
        </w:tc>
      </w:tr>
      <w:tr>
        <w:trPr>
          <w:trHeight w:val="160"/>
        </w:trPr>
        <w:tc>
          <w:tcPr>
            <w:tcW w:w="1760" w:type="dxa"/>
            <w:vAlign w:val="bottom"/>
            <w:tcBorders>
              <w:left w:val="single" w:sz="8" w:color="auto"/>
            </w:tcBorders>
          </w:tcPr>
          <w:p>
            <w:pPr>
              <w:spacing w:after="0"/>
              <w:rPr>
                <w:sz w:val="13"/>
                <w:szCs w:val="13"/>
                <w:color w:val="auto"/>
              </w:rPr>
            </w:pPr>
          </w:p>
        </w:tc>
        <w:tc>
          <w:tcPr>
            <w:tcW w:w="880" w:type="dxa"/>
            <w:vAlign w:val="bottom"/>
            <w:gridSpan w:val="2"/>
          </w:tcPr>
          <w:p>
            <w:pPr>
              <w:jc w:val="center"/>
              <w:ind w:left="88"/>
              <w:spacing w:after="0"/>
              <w:rPr>
                <w:sz w:val="20"/>
                <w:szCs w:val="20"/>
                <w:color w:val="auto"/>
              </w:rPr>
            </w:pPr>
            <w:r>
              <w:rPr>
                <w:rFonts w:ascii="Arial" w:cs="Arial" w:eastAsia="Arial" w:hAnsi="Arial"/>
                <w:sz w:val="14"/>
                <w:szCs w:val="14"/>
                <w:color w:val="auto"/>
              </w:rPr>
              <w:t>2/24/2014</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492,000</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1,230,000</w:t>
            </w: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color w:val="auto"/>
              </w:rPr>
              <w:t>60,837</w:t>
            </w:r>
          </w:p>
        </w:tc>
        <w:tc>
          <w:tcPr>
            <w:tcW w:w="700" w:type="dxa"/>
            <w:vAlign w:val="bottom"/>
          </w:tcPr>
          <w:p>
            <w:pPr>
              <w:jc w:val="right"/>
              <w:spacing w:after="0"/>
              <w:rPr>
                <w:sz w:val="20"/>
                <w:szCs w:val="20"/>
                <w:color w:val="auto"/>
              </w:rPr>
            </w:pPr>
            <w:r>
              <w:rPr>
                <w:rFonts w:ascii="Arial" w:cs="Arial" w:eastAsia="Arial" w:hAnsi="Arial"/>
                <w:sz w:val="14"/>
                <w:szCs w:val="14"/>
                <w:color w:val="auto"/>
              </w:rPr>
              <w:t>41.77</w:t>
            </w:r>
          </w:p>
        </w:tc>
        <w:tc>
          <w:tcPr>
            <w:tcW w:w="1000" w:type="dxa"/>
            <w:vAlign w:val="bottom"/>
            <w:tcBorders>
              <w:right w:val="single" w:sz="8" w:color="auto"/>
            </w:tcBorders>
          </w:tcPr>
          <w:p>
            <w:pPr>
              <w:jc w:val="right"/>
              <w:ind w:right="170"/>
              <w:spacing w:after="0"/>
              <w:rPr>
                <w:sz w:val="20"/>
                <w:szCs w:val="20"/>
                <w:color w:val="auto"/>
              </w:rPr>
            </w:pPr>
            <w:r>
              <w:rPr>
                <w:rFonts w:ascii="Arial" w:cs="Arial" w:eastAsia="Arial" w:hAnsi="Arial"/>
                <w:sz w:val="14"/>
                <w:szCs w:val="14"/>
                <w:color w:val="auto"/>
              </w:rPr>
              <w:t>456,278</w:t>
            </w: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color w:val="auto"/>
              </w:rPr>
              <w:t>Chappel</w:t>
            </w:r>
          </w:p>
        </w:tc>
        <w:tc>
          <w:tcPr>
            <w:tcW w:w="880" w:type="dxa"/>
            <w:vAlign w:val="bottom"/>
            <w:gridSpan w:val="2"/>
          </w:tcPr>
          <w:p>
            <w:pPr>
              <w:jc w:val="center"/>
              <w:ind w:left="88"/>
              <w:spacing w:after="0"/>
              <w:rPr>
                <w:sz w:val="20"/>
                <w:szCs w:val="20"/>
                <w:color w:val="auto"/>
              </w:rPr>
            </w:pPr>
            <w:r>
              <w:rPr>
                <w:rFonts w:ascii="Arial" w:cs="Arial" w:eastAsia="Arial" w:hAnsi="Arial"/>
                <w:sz w:val="14"/>
                <w:szCs w:val="14"/>
                <w:color w:val="auto"/>
              </w:rPr>
              <w:t>2/24/2014</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w:t>
            </w:r>
          </w:p>
        </w:tc>
        <w:tc>
          <w:tcPr>
            <w:tcW w:w="900" w:type="dxa"/>
            <w:vAlign w:val="bottom"/>
          </w:tcPr>
          <w:p>
            <w:pPr>
              <w:ind w:left="260"/>
              <w:spacing w:after="0"/>
              <w:rPr>
                <w:sz w:val="20"/>
                <w:szCs w:val="20"/>
                <w:color w:val="auto"/>
              </w:rPr>
            </w:pPr>
            <w:r>
              <w:rPr>
                <w:rFonts w:ascii="Arial" w:cs="Arial" w:eastAsia="Arial" w:hAnsi="Arial"/>
                <w:sz w:val="14"/>
                <w:szCs w:val="14"/>
                <w:color w:val="auto"/>
              </w:rPr>
              <w:t>29,189</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58,378</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Borders>
              <w:right w:val="single" w:sz="8" w:color="auto"/>
            </w:tcBorders>
          </w:tcPr>
          <w:p>
            <w:pPr>
              <w:jc w:val="right"/>
              <w:ind w:right="170"/>
              <w:spacing w:after="0"/>
              <w:rPr>
                <w:sz w:val="20"/>
                <w:szCs w:val="20"/>
                <w:color w:val="auto"/>
              </w:rPr>
            </w:pPr>
            <w:r>
              <w:rPr>
                <w:rFonts w:ascii="Arial" w:cs="Arial" w:eastAsia="Arial" w:hAnsi="Arial"/>
                <w:sz w:val="14"/>
                <w:szCs w:val="14"/>
                <w:color w:val="auto"/>
              </w:rPr>
              <w:t>965,280</w:t>
            </w:r>
          </w:p>
        </w:tc>
        <w:tc>
          <w:tcPr>
            <w:tcW w:w="0" w:type="dxa"/>
            <w:vAlign w:val="bottom"/>
          </w:tcPr>
          <w:p>
            <w:pPr>
              <w:spacing w:after="0"/>
              <w:rPr>
                <w:sz w:val="1"/>
                <w:szCs w:val="1"/>
                <w:color w:val="auto"/>
              </w:rPr>
            </w:pPr>
          </w:p>
        </w:tc>
      </w:tr>
      <w:tr>
        <w:trPr>
          <w:trHeight w:val="91"/>
        </w:trPr>
        <w:tc>
          <w:tcPr>
            <w:tcW w:w="1760" w:type="dxa"/>
            <w:vAlign w:val="bottom"/>
            <w:tcBorders>
              <w:left w:val="single" w:sz="8" w:color="auto"/>
            </w:tcBorders>
            <w:vMerge w:val="continue"/>
          </w:tcPr>
          <w:p>
            <w:pPr>
              <w:spacing w:after="0"/>
              <w:rPr>
                <w:sz w:val="7"/>
                <w:szCs w:val="7"/>
                <w:color w:val="auto"/>
              </w:rPr>
            </w:pPr>
          </w:p>
        </w:tc>
        <w:tc>
          <w:tcPr>
            <w:tcW w:w="88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rPr>
              <w:t>2/24/2014</w:t>
            </w:r>
          </w:p>
        </w:tc>
        <w:tc>
          <w:tcPr>
            <w:tcW w:w="9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4"/>
                <w:szCs w:val="14"/>
                <w:color w:val="auto"/>
              </w:rPr>
              <w:t>20,110</w:t>
            </w: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4"/>
                <w:szCs w:val="14"/>
                <w:color w:val="auto"/>
              </w:rPr>
              <w:t>839,995</w:t>
            </w:r>
          </w:p>
        </w:tc>
        <w:tc>
          <w:tcPr>
            <w:tcW w:w="0" w:type="dxa"/>
            <w:vAlign w:val="bottom"/>
          </w:tcPr>
          <w:p>
            <w:pPr>
              <w:spacing w:after="0"/>
              <w:rPr>
                <w:sz w:val="1"/>
                <w:szCs w:val="1"/>
                <w:color w:val="auto"/>
              </w:rPr>
            </w:pPr>
          </w:p>
        </w:tc>
      </w:tr>
      <w:tr>
        <w:trPr>
          <w:trHeight w:val="71"/>
        </w:trPr>
        <w:tc>
          <w:tcPr>
            <w:tcW w:w="1760" w:type="dxa"/>
            <w:vAlign w:val="bottom"/>
            <w:tcBorders>
              <w:lef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60" w:type="dxa"/>
            <w:vAlign w:val="bottom"/>
            <w:tcBorders>
              <w:left w:val="single" w:sz="8" w:color="auto"/>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left="88"/>
              <w:spacing w:after="0" w:line="157" w:lineRule="exact"/>
              <w:rPr>
                <w:sz w:val="20"/>
                <w:szCs w:val="20"/>
                <w:color w:val="auto"/>
              </w:rPr>
            </w:pPr>
            <w:r>
              <w:rPr>
                <w:rFonts w:ascii="Arial" w:cs="Arial" w:eastAsia="Arial" w:hAnsi="Arial"/>
                <w:sz w:val="14"/>
                <w:szCs w:val="14"/>
                <w:color w:val="auto"/>
              </w:rPr>
              <w:t>10/25/2014</w:t>
            </w:r>
          </w:p>
        </w:tc>
        <w:tc>
          <w:tcPr>
            <w:tcW w:w="9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0</w:t>
            </w:r>
          </w:p>
        </w:tc>
        <w:tc>
          <w:tcPr>
            <w:tcW w:w="90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39,765</w:t>
            </w:r>
          </w:p>
        </w:tc>
        <w:tc>
          <w:tcPr>
            <w:tcW w:w="76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198,825</w:t>
            </w: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right"/>
              <w:ind w:right="170"/>
              <w:spacing w:after="0" w:line="157" w:lineRule="exact"/>
              <w:rPr>
                <w:sz w:val="20"/>
                <w:szCs w:val="20"/>
                <w:color w:val="auto"/>
              </w:rPr>
            </w:pPr>
            <w:r>
              <w:rPr>
                <w:rFonts w:ascii="Arial" w:cs="Arial" w:eastAsia="Arial" w:hAnsi="Arial"/>
                <w:sz w:val="14"/>
                <w:szCs w:val="14"/>
                <w:color w:val="auto"/>
              </w:rPr>
              <w:t>2,345,472</w:t>
            </w:r>
          </w:p>
        </w:tc>
        <w:tc>
          <w:tcPr>
            <w:tcW w:w="0" w:type="dxa"/>
            <w:vAlign w:val="bottom"/>
          </w:tcPr>
          <w:p>
            <w:pPr>
              <w:spacing w:after="0"/>
              <w:rPr>
                <w:sz w:val="1"/>
                <w:szCs w:val="1"/>
                <w:color w:val="auto"/>
              </w:rPr>
            </w:pPr>
          </w:p>
        </w:tc>
      </w:tr>
      <w:tr>
        <w:trPr>
          <w:trHeight w:val="156"/>
        </w:trPr>
        <w:tc>
          <w:tcPr>
            <w:tcW w:w="1760" w:type="dxa"/>
            <w:vAlign w:val="bottom"/>
            <w:tcBorders>
              <w:left w:val="single" w:sz="8" w:color="auto"/>
            </w:tcBorders>
          </w:tcPr>
          <w:p>
            <w:pPr>
              <w:spacing w:after="0"/>
              <w:rPr>
                <w:sz w:val="13"/>
                <w:szCs w:val="13"/>
                <w:color w:val="auto"/>
              </w:rPr>
            </w:pPr>
          </w:p>
        </w:tc>
        <w:tc>
          <w:tcPr>
            <w:tcW w:w="160" w:type="dxa"/>
            <w:vAlign w:val="bottom"/>
            <w:shd w:val="clear" w:color="auto" w:fill="DDE6F2"/>
          </w:tcPr>
          <w:p>
            <w:pPr>
              <w:spacing w:after="0"/>
              <w:rPr>
                <w:sz w:val="13"/>
                <w:szCs w:val="13"/>
                <w:color w:val="auto"/>
              </w:rPr>
            </w:pPr>
          </w:p>
        </w:tc>
        <w:tc>
          <w:tcPr>
            <w:tcW w:w="720" w:type="dxa"/>
            <w:vAlign w:val="bottom"/>
            <w:shd w:val="clear" w:color="auto" w:fill="DDE6F2"/>
          </w:tcPr>
          <w:p>
            <w:pPr>
              <w:jc w:val="center"/>
              <w:spacing w:after="0" w:line="155" w:lineRule="exact"/>
              <w:rPr>
                <w:sz w:val="20"/>
                <w:szCs w:val="20"/>
                <w:color w:val="auto"/>
              </w:rPr>
            </w:pPr>
            <w:r>
              <w:rPr>
                <w:rFonts w:ascii="Arial" w:cs="Arial" w:eastAsia="Arial" w:hAnsi="Arial"/>
                <w:sz w:val="14"/>
                <w:szCs w:val="14"/>
                <w:color w:val="auto"/>
              </w:rPr>
              <w:t>2/24/2014</w:t>
            </w:r>
          </w:p>
        </w:tc>
        <w:tc>
          <w:tcPr>
            <w:tcW w:w="920" w:type="dxa"/>
            <w:vAlign w:val="bottom"/>
            <w:shd w:val="clear" w:color="auto" w:fill="DDE6F2"/>
          </w:tcPr>
          <w:p>
            <w:pPr>
              <w:jc w:val="right"/>
              <w:ind w:right="71"/>
              <w:spacing w:after="0" w:line="155" w:lineRule="exact"/>
              <w:rPr>
                <w:sz w:val="20"/>
                <w:szCs w:val="20"/>
                <w:color w:val="auto"/>
              </w:rPr>
            </w:pPr>
            <w:r>
              <w:rPr>
                <w:rFonts w:ascii="Arial" w:cs="Arial" w:eastAsia="Arial" w:hAnsi="Arial"/>
                <w:sz w:val="14"/>
                <w:szCs w:val="14"/>
                <w:color w:val="auto"/>
              </w:rPr>
              <w:t>0</w:t>
            </w:r>
          </w:p>
        </w:tc>
        <w:tc>
          <w:tcPr>
            <w:tcW w:w="1000" w:type="dxa"/>
            <w:vAlign w:val="bottom"/>
            <w:shd w:val="clear" w:color="auto" w:fill="DDE6F2"/>
          </w:tcPr>
          <w:p>
            <w:pPr>
              <w:jc w:val="right"/>
              <w:ind w:right="71"/>
              <w:spacing w:after="0" w:line="155" w:lineRule="exact"/>
              <w:rPr>
                <w:sz w:val="20"/>
                <w:szCs w:val="20"/>
                <w:color w:val="auto"/>
              </w:rPr>
            </w:pPr>
            <w:r>
              <w:rPr>
                <w:rFonts w:ascii="Arial" w:cs="Arial" w:eastAsia="Arial" w:hAnsi="Arial"/>
                <w:sz w:val="14"/>
                <w:szCs w:val="14"/>
                <w:color w:val="auto"/>
              </w:rPr>
              <w:t>330,346</w:t>
            </w:r>
          </w:p>
        </w:tc>
        <w:tc>
          <w:tcPr>
            <w:tcW w:w="960" w:type="dxa"/>
            <w:vAlign w:val="bottom"/>
            <w:shd w:val="clear" w:color="auto" w:fill="DDE6F2"/>
          </w:tcPr>
          <w:p>
            <w:pPr>
              <w:jc w:val="right"/>
              <w:ind w:right="30"/>
              <w:spacing w:after="0" w:line="155" w:lineRule="exact"/>
              <w:rPr>
                <w:sz w:val="20"/>
                <w:szCs w:val="20"/>
                <w:color w:val="auto"/>
              </w:rPr>
            </w:pPr>
            <w:r>
              <w:rPr>
                <w:rFonts w:ascii="Arial" w:cs="Arial" w:eastAsia="Arial" w:hAnsi="Arial"/>
                <w:sz w:val="14"/>
                <w:szCs w:val="14"/>
                <w:color w:val="auto"/>
              </w:rPr>
              <w:t>825,865</w:t>
            </w:r>
          </w:p>
        </w:tc>
        <w:tc>
          <w:tcPr>
            <w:tcW w:w="760" w:type="dxa"/>
            <w:vAlign w:val="bottom"/>
            <w:shd w:val="clear" w:color="auto" w:fill="DDE6F2"/>
          </w:tcPr>
          <w:p>
            <w:pPr>
              <w:spacing w:after="0"/>
              <w:rPr>
                <w:sz w:val="13"/>
                <w:szCs w:val="13"/>
                <w:color w:val="auto"/>
              </w:rPr>
            </w:pPr>
          </w:p>
        </w:tc>
        <w:tc>
          <w:tcPr>
            <w:tcW w:w="900" w:type="dxa"/>
            <w:vAlign w:val="bottom"/>
            <w:shd w:val="clear" w:color="auto" w:fill="DDE6F2"/>
          </w:tcPr>
          <w:p>
            <w:pPr>
              <w:spacing w:after="0"/>
              <w:rPr>
                <w:sz w:val="13"/>
                <w:szCs w:val="13"/>
                <w:color w:val="auto"/>
              </w:rPr>
            </w:pPr>
          </w:p>
        </w:tc>
        <w:tc>
          <w:tcPr>
            <w:tcW w:w="760" w:type="dxa"/>
            <w:vAlign w:val="bottom"/>
            <w:shd w:val="clear" w:color="auto" w:fill="DDE6F2"/>
          </w:tcPr>
          <w:p>
            <w:pPr>
              <w:spacing w:after="0"/>
              <w:rPr>
                <w:sz w:val="13"/>
                <w:szCs w:val="13"/>
                <w:color w:val="auto"/>
              </w:rPr>
            </w:pPr>
          </w:p>
        </w:tc>
        <w:tc>
          <w:tcPr>
            <w:tcW w:w="900" w:type="dxa"/>
            <w:vAlign w:val="bottom"/>
            <w:shd w:val="clear" w:color="auto" w:fill="DDE6F2"/>
          </w:tcPr>
          <w:p>
            <w:pPr>
              <w:spacing w:after="0"/>
              <w:rPr>
                <w:sz w:val="13"/>
                <w:szCs w:val="13"/>
                <w:color w:val="auto"/>
              </w:rPr>
            </w:pPr>
          </w:p>
        </w:tc>
        <w:tc>
          <w:tcPr>
            <w:tcW w:w="900" w:type="dxa"/>
            <w:vAlign w:val="bottom"/>
            <w:shd w:val="clear" w:color="auto" w:fill="DDE6F2"/>
          </w:tcPr>
          <w:p>
            <w:pPr>
              <w:jc w:val="right"/>
              <w:ind w:right="53"/>
              <w:spacing w:after="0" w:line="155" w:lineRule="exact"/>
              <w:rPr>
                <w:sz w:val="20"/>
                <w:szCs w:val="20"/>
                <w:color w:val="auto"/>
              </w:rPr>
            </w:pPr>
            <w:r>
              <w:rPr>
                <w:rFonts w:ascii="Arial" w:cs="Arial" w:eastAsia="Arial" w:hAnsi="Arial"/>
                <w:sz w:val="14"/>
                <w:szCs w:val="14"/>
                <w:color w:val="auto"/>
              </w:rPr>
              <w:t>38,023</w:t>
            </w:r>
          </w:p>
        </w:tc>
        <w:tc>
          <w:tcPr>
            <w:tcW w:w="700" w:type="dxa"/>
            <w:vAlign w:val="bottom"/>
            <w:shd w:val="clear" w:color="auto" w:fill="DDE6F2"/>
          </w:tcPr>
          <w:p>
            <w:pPr>
              <w:jc w:val="right"/>
              <w:spacing w:after="0" w:line="155" w:lineRule="exact"/>
              <w:rPr>
                <w:sz w:val="20"/>
                <w:szCs w:val="20"/>
                <w:color w:val="auto"/>
              </w:rPr>
            </w:pPr>
            <w:r>
              <w:rPr>
                <w:rFonts w:ascii="Arial" w:cs="Arial" w:eastAsia="Arial" w:hAnsi="Arial"/>
                <w:sz w:val="14"/>
                <w:szCs w:val="14"/>
                <w:color w:val="auto"/>
              </w:rPr>
              <w:t>41.77</w:t>
            </w:r>
          </w:p>
        </w:tc>
        <w:tc>
          <w:tcPr>
            <w:tcW w:w="1000" w:type="dxa"/>
            <w:vAlign w:val="bottom"/>
            <w:tcBorders>
              <w:right w:val="single" w:sz="8" w:color="auto"/>
            </w:tcBorders>
            <w:shd w:val="clear" w:color="auto" w:fill="DDE6F2"/>
          </w:tcPr>
          <w:p>
            <w:pPr>
              <w:jc w:val="right"/>
              <w:ind w:right="170"/>
              <w:spacing w:after="0" w:line="155" w:lineRule="exact"/>
              <w:rPr>
                <w:sz w:val="20"/>
                <w:szCs w:val="20"/>
                <w:color w:val="auto"/>
              </w:rPr>
            </w:pPr>
            <w:r>
              <w:rPr>
                <w:rFonts w:ascii="Arial" w:cs="Arial" w:eastAsia="Arial" w:hAnsi="Arial"/>
                <w:sz w:val="14"/>
                <w:szCs w:val="14"/>
                <w:color w:val="auto"/>
              </w:rPr>
              <w:t>285,173</w:t>
            </w: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color w:val="auto"/>
              </w:rPr>
              <w:t>Miller</w:t>
            </w:r>
          </w:p>
        </w:tc>
        <w:tc>
          <w:tcPr>
            <w:tcW w:w="160" w:type="dxa"/>
            <w:vAlign w:val="bottom"/>
            <w:shd w:val="clear" w:color="auto" w:fill="DDE6F2"/>
          </w:tcPr>
          <w:p>
            <w:pPr>
              <w:spacing w:after="0"/>
              <w:rPr>
                <w:sz w:val="14"/>
                <w:szCs w:val="14"/>
                <w:color w:val="auto"/>
              </w:rPr>
            </w:pPr>
          </w:p>
        </w:tc>
        <w:tc>
          <w:tcPr>
            <w:tcW w:w="720" w:type="dxa"/>
            <w:vAlign w:val="bottom"/>
            <w:shd w:val="clear" w:color="auto" w:fill="DDE6F2"/>
          </w:tcPr>
          <w:p>
            <w:pPr>
              <w:jc w:val="center"/>
              <w:spacing w:after="0"/>
              <w:rPr>
                <w:sz w:val="20"/>
                <w:szCs w:val="20"/>
                <w:color w:val="auto"/>
              </w:rPr>
            </w:pPr>
            <w:r>
              <w:rPr>
                <w:rFonts w:ascii="Arial" w:cs="Arial" w:eastAsia="Arial" w:hAnsi="Arial"/>
                <w:sz w:val="14"/>
                <w:szCs w:val="14"/>
                <w:color w:val="auto"/>
              </w:rPr>
              <w:t>2/24/2014</w:t>
            </w:r>
          </w:p>
        </w:tc>
        <w:tc>
          <w:tcPr>
            <w:tcW w:w="920" w:type="dxa"/>
            <w:vAlign w:val="bottom"/>
            <w:shd w:val="clear" w:color="auto" w:fill="DDE6F2"/>
          </w:tcPr>
          <w:p>
            <w:pPr>
              <w:spacing w:after="0"/>
              <w:rPr>
                <w:sz w:val="14"/>
                <w:szCs w:val="14"/>
                <w:color w:val="auto"/>
              </w:rPr>
            </w:pPr>
          </w:p>
        </w:tc>
        <w:tc>
          <w:tcPr>
            <w:tcW w:w="1000" w:type="dxa"/>
            <w:vAlign w:val="bottom"/>
            <w:shd w:val="clear" w:color="auto" w:fill="DDE6F2"/>
          </w:tcPr>
          <w:p>
            <w:pPr>
              <w:spacing w:after="0"/>
              <w:rPr>
                <w:sz w:val="14"/>
                <w:szCs w:val="14"/>
                <w:color w:val="auto"/>
              </w:rPr>
            </w:pPr>
          </w:p>
        </w:tc>
        <w:tc>
          <w:tcPr>
            <w:tcW w:w="960" w:type="dxa"/>
            <w:vAlign w:val="bottom"/>
            <w:shd w:val="clear" w:color="auto" w:fill="DDE6F2"/>
          </w:tcPr>
          <w:p>
            <w:pPr>
              <w:spacing w:after="0"/>
              <w:rPr>
                <w:sz w:val="14"/>
                <w:szCs w:val="14"/>
                <w:color w:val="auto"/>
              </w:rPr>
            </w:pPr>
          </w:p>
        </w:tc>
        <w:tc>
          <w:tcPr>
            <w:tcW w:w="760" w:type="dxa"/>
            <w:vAlign w:val="bottom"/>
            <w:shd w:val="clear" w:color="auto" w:fill="DDE6F2"/>
          </w:tcPr>
          <w:p>
            <w:pPr>
              <w:jc w:val="right"/>
              <w:spacing w:after="0"/>
              <w:rPr>
                <w:sz w:val="20"/>
                <w:szCs w:val="20"/>
                <w:color w:val="auto"/>
              </w:rPr>
            </w:pPr>
            <w:r>
              <w:rPr>
                <w:rFonts w:ascii="Arial" w:cs="Arial" w:eastAsia="Arial" w:hAnsi="Arial"/>
                <w:sz w:val="14"/>
                <w:szCs w:val="14"/>
                <w:color w:val="auto"/>
              </w:rPr>
              <w:t>0</w:t>
            </w:r>
          </w:p>
        </w:tc>
        <w:tc>
          <w:tcPr>
            <w:tcW w:w="900" w:type="dxa"/>
            <w:vAlign w:val="bottom"/>
            <w:shd w:val="clear" w:color="auto" w:fill="DDE6F2"/>
          </w:tcPr>
          <w:p>
            <w:pPr>
              <w:ind w:left="260"/>
              <w:spacing w:after="0"/>
              <w:rPr>
                <w:sz w:val="20"/>
                <w:szCs w:val="20"/>
                <w:color w:val="auto"/>
              </w:rPr>
            </w:pPr>
            <w:r>
              <w:rPr>
                <w:rFonts w:ascii="Arial" w:cs="Arial" w:eastAsia="Arial" w:hAnsi="Arial"/>
                <w:sz w:val="14"/>
                <w:szCs w:val="14"/>
                <w:color w:val="auto"/>
              </w:rPr>
              <w:t>18,243</w:t>
            </w:r>
          </w:p>
        </w:tc>
        <w:tc>
          <w:tcPr>
            <w:tcW w:w="760" w:type="dxa"/>
            <w:vAlign w:val="bottom"/>
            <w:shd w:val="clear" w:color="auto" w:fill="DDE6F2"/>
          </w:tcPr>
          <w:p>
            <w:pPr>
              <w:jc w:val="right"/>
              <w:ind w:right="49"/>
              <w:spacing w:after="0"/>
              <w:rPr>
                <w:sz w:val="20"/>
                <w:szCs w:val="20"/>
                <w:color w:val="auto"/>
              </w:rPr>
            </w:pPr>
            <w:r>
              <w:rPr>
                <w:rFonts w:ascii="Arial" w:cs="Arial" w:eastAsia="Arial" w:hAnsi="Arial"/>
                <w:sz w:val="14"/>
                <w:szCs w:val="14"/>
                <w:color w:val="auto"/>
              </w:rPr>
              <w:t>36,486</w:t>
            </w:r>
          </w:p>
        </w:tc>
        <w:tc>
          <w:tcPr>
            <w:tcW w:w="900" w:type="dxa"/>
            <w:vAlign w:val="bottom"/>
            <w:shd w:val="clear" w:color="auto" w:fill="DDE6F2"/>
          </w:tcPr>
          <w:p>
            <w:pPr>
              <w:spacing w:after="0"/>
              <w:rPr>
                <w:sz w:val="14"/>
                <w:szCs w:val="14"/>
                <w:color w:val="auto"/>
              </w:rPr>
            </w:pPr>
          </w:p>
        </w:tc>
        <w:tc>
          <w:tcPr>
            <w:tcW w:w="900" w:type="dxa"/>
            <w:vAlign w:val="bottom"/>
            <w:shd w:val="clear" w:color="auto" w:fill="DDE6F2"/>
          </w:tcPr>
          <w:p>
            <w:pPr>
              <w:spacing w:after="0"/>
              <w:rPr>
                <w:sz w:val="14"/>
                <w:szCs w:val="14"/>
                <w:color w:val="auto"/>
              </w:rPr>
            </w:pPr>
          </w:p>
        </w:tc>
        <w:tc>
          <w:tcPr>
            <w:tcW w:w="700" w:type="dxa"/>
            <w:vAlign w:val="bottom"/>
            <w:shd w:val="clear" w:color="auto" w:fill="DDE6F2"/>
          </w:tcPr>
          <w:p>
            <w:pPr>
              <w:spacing w:after="0"/>
              <w:rPr>
                <w:sz w:val="14"/>
                <w:szCs w:val="14"/>
                <w:color w:val="auto"/>
              </w:rPr>
            </w:pPr>
          </w:p>
        </w:tc>
        <w:tc>
          <w:tcPr>
            <w:tcW w:w="1000" w:type="dxa"/>
            <w:vAlign w:val="bottom"/>
            <w:tcBorders>
              <w:right w:val="single" w:sz="8" w:color="auto"/>
            </w:tcBorders>
            <w:shd w:val="clear" w:color="auto" w:fill="DDE6F2"/>
          </w:tcPr>
          <w:p>
            <w:pPr>
              <w:jc w:val="right"/>
              <w:ind w:right="170"/>
              <w:spacing w:after="0"/>
              <w:rPr>
                <w:sz w:val="20"/>
                <w:szCs w:val="20"/>
                <w:color w:val="auto"/>
              </w:rPr>
            </w:pPr>
            <w:r>
              <w:rPr>
                <w:rFonts w:ascii="Arial" w:cs="Arial" w:eastAsia="Arial" w:hAnsi="Arial"/>
                <w:sz w:val="14"/>
                <w:szCs w:val="14"/>
                <w:color w:val="auto"/>
              </w:rPr>
              <w:t>603,296</w:t>
            </w:r>
          </w:p>
        </w:tc>
        <w:tc>
          <w:tcPr>
            <w:tcW w:w="0" w:type="dxa"/>
            <w:vAlign w:val="bottom"/>
          </w:tcPr>
          <w:p>
            <w:pPr>
              <w:spacing w:after="0"/>
              <w:rPr>
                <w:sz w:val="1"/>
                <w:szCs w:val="1"/>
                <w:color w:val="auto"/>
              </w:rPr>
            </w:pPr>
          </w:p>
        </w:tc>
      </w:tr>
      <w:tr>
        <w:trPr>
          <w:trHeight w:val="96"/>
        </w:trPr>
        <w:tc>
          <w:tcPr>
            <w:tcW w:w="1760" w:type="dxa"/>
            <w:vAlign w:val="bottom"/>
            <w:tcBorders>
              <w:left w:val="single" w:sz="8" w:color="auto"/>
            </w:tcBorders>
            <w:vMerge w:val="continue"/>
          </w:tcPr>
          <w:p>
            <w:pPr>
              <w:spacing w:after="0"/>
              <w:rPr>
                <w:sz w:val="8"/>
                <w:szCs w:val="8"/>
                <w:color w:val="auto"/>
              </w:rPr>
            </w:pPr>
          </w:p>
        </w:tc>
        <w:tc>
          <w:tcPr>
            <w:tcW w:w="160" w:type="dxa"/>
            <w:vAlign w:val="bottom"/>
            <w:shd w:val="clear" w:color="auto" w:fill="DDE6F2"/>
          </w:tcPr>
          <w:p>
            <w:pPr>
              <w:spacing w:after="0"/>
              <w:rPr>
                <w:sz w:val="8"/>
                <w:szCs w:val="8"/>
                <w:color w:val="auto"/>
              </w:rPr>
            </w:pPr>
          </w:p>
        </w:tc>
        <w:tc>
          <w:tcPr>
            <w:tcW w:w="720" w:type="dxa"/>
            <w:vAlign w:val="bottom"/>
            <w:vMerge w:val="restart"/>
            <w:shd w:val="clear" w:color="auto" w:fill="DDE6F2"/>
          </w:tcPr>
          <w:p>
            <w:pPr>
              <w:jc w:val="center"/>
              <w:spacing w:after="0"/>
              <w:rPr>
                <w:sz w:val="20"/>
                <w:szCs w:val="20"/>
                <w:color w:val="auto"/>
              </w:rPr>
            </w:pPr>
            <w:r>
              <w:rPr>
                <w:rFonts w:ascii="Arial" w:cs="Arial" w:eastAsia="Arial" w:hAnsi="Arial"/>
                <w:sz w:val="14"/>
                <w:szCs w:val="14"/>
                <w:color w:val="auto"/>
              </w:rPr>
              <w:t>2/24/2014</w:t>
            </w:r>
          </w:p>
        </w:tc>
        <w:tc>
          <w:tcPr>
            <w:tcW w:w="920" w:type="dxa"/>
            <w:vAlign w:val="bottom"/>
            <w:shd w:val="clear" w:color="auto" w:fill="DDE6F2"/>
          </w:tcPr>
          <w:p>
            <w:pPr>
              <w:spacing w:after="0"/>
              <w:rPr>
                <w:sz w:val="8"/>
                <w:szCs w:val="8"/>
                <w:color w:val="auto"/>
              </w:rPr>
            </w:pPr>
          </w:p>
        </w:tc>
        <w:tc>
          <w:tcPr>
            <w:tcW w:w="1000" w:type="dxa"/>
            <w:vAlign w:val="bottom"/>
            <w:shd w:val="clear" w:color="auto" w:fill="DDE6F2"/>
          </w:tcPr>
          <w:p>
            <w:pPr>
              <w:spacing w:after="0"/>
              <w:rPr>
                <w:sz w:val="8"/>
                <w:szCs w:val="8"/>
                <w:color w:val="auto"/>
              </w:rPr>
            </w:pPr>
          </w:p>
        </w:tc>
        <w:tc>
          <w:tcPr>
            <w:tcW w:w="960" w:type="dxa"/>
            <w:vAlign w:val="bottom"/>
            <w:shd w:val="clear" w:color="auto" w:fill="DDE6F2"/>
          </w:tcPr>
          <w:p>
            <w:pPr>
              <w:spacing w:after="0"/>
              <w:rPr>
                <w:sz w:val="8"/>
                <w:szCs w:val="8"/>
                <w:color w:val="auto"/>
              </w:rPr>
            </w:pPr>
          </w:p>
        </w:tc>
        <w:tc>
          <w:tcPr>
            <w:tcW w:w="760" w:type="dxa"/>
            <w:vAlign w:val="bottom"/>
            <w:shd w:val="clear" w:color="auto" w:fill="DDE6F2"/>
          </w:tcPr>
          <w:p>
            <w:pPr>
              <w:spacing w:after="0"/>
              <w:rPr>
                <w:sz w:val="8"/>
                <w:szCs w:val="8"/>
                <w:color w:val="auto"/>
              </w:rPr>
            </w:pPr>
          </w:p>
        </w:tc>
        <w:tc>
          <w:tcPr>
            <w:tcW w:w="900" w:type="dxa"/>
            <w:vAlign w:val="bottom"/>
            <w:shd w:val="clear" w:color="auto" w:fill="DDE6F2"/>
          </w:tcPr>
          <w:p>
            <w:pPr>
              <w:spacing w:after="0"/>
              <w:rPr>
                <w:sz w:val="8"/>
                <w:szCs w:val="8"/>
                <w:color w:val="auto"/>
              </w:rPr>
            </w:pPr>
          </w:p>
        </w:tc>
        <w:tc>
          <w:tcPr>
            <w:tcW w:w="760" w:type="dxa"/>
            <w:vAlign w:val="bottom"/>
            <w:shd w:val="clear" w:color="auto" w:fill="DDE6F2"/>
          </w:tcPr>
          <w:p>
            <w:pPr>
              <w:spacing w:after="0"/>
              <w:rPr>
                <w:sz w:val="8"/>
                <w:szCs w:val="8"/>
                <w:color w:val="auto"/>
              </w:rPr>
            </w:pPr>
          </w:p>
        </w:tc>
        <w:tc>
          <w:tcPr>
            <w:tcW w:w="900" w:type="dxa"/>
            <w:vAlign w:val="bottom"/>
            <w:vMerge w:val="restart"/>
            <w:shd w:val="clear" w:color="auto" w:fill="DDE6F2"/>
          </w:tcPr>
          <w:p>
            <w:pPr>
              <w:jc w:val="right"/>
              <w:ind w:right="53"/>
              <w:spacing w:after="0"/>
              <w:rPr>
                <w:sz w:val="20"/>
                <w:szCs w:val="20"/>
                <w:color w:val="auto"/>
              </w:rPr>
            </w:pPr>
            <w:r>
              <w:rPr>
                <w:rFonts w:ascii="Arial" w:cs="Arial" w:eastAsia="Arial" w:hAnsi="Arial"/>
                <w:sz w:val="14"/>
                <w:szCs w:val="14"/>
                <w:color w:val="auto"/>
              </w:rPr>
              <w:t>12,569</w:t>
            </w:r>
          </w:p>
        </w:tc>
        <w:tc>
          <w:tcPr>
            <w:tcW w:w="900" w:type="dxa"/>
            <w:vAlign w:val="bottom"/>
            <w:shd w:val="clear" w:color="auto" w:fill="DDE6F2"/>
          </w:tcPr>
          <w:p>
            <w:pPr>
              <w:spacing w:after="0"/>
              <w:rPr>
                <w:sz w:val="8"/>
                <w:szCs w:val="8"/>
                <w:color w:val="auto"/>
              </w:rPr>
            </w:pPr>
          </w:p>
        </w:tc>
        <w:tc>
          <w:tcPr>
            <w:tcW w:w="700" w:type="dxa"/>
            <w:vAlign w:val="bottom"/>
            <w:shd w:val="clear" w:color="auto" w:fill="DDE6F2"/>
          </w:tcPr>
          <w:p>
            <w:pPr>
              <w:spacing w:after="0"/>
              <w:rPr>
                <w:sz w:val="8"/>
                <w:szCs w:val="8"/>
                <w:color w:val="auto"/>
              </w:rPr>
            </w:pPr>
          </w:p>
        </w:tc>
        <w:tc>
          <w:tcPr>
            <w:tcW w:w="1000" w:type="dxa"/>
            <w:vAlign w:val="bottom"/>
            <w:tcBorders>
              <w:right w:val="single" w:sz="8" w:color="auto"/>
            </w:tcBorders>
            <w:vMerge w:val="restart"/>
            <w:shd w:val="clear" w:color="auto" w:fill="DDE6F2"/>
          </w:tcPr>
          <w:p>
            <w:pPr>
              <w:jc w:val="right"/>
              <w:ind w:right="170"/>
              <w:spacing w:after="0"/>
              <w:rPr>
                <w:sz w:val="20"/>
                <w:szCs w:val="20"/>
                <w:color w:val="auto"/>
              </w:rPr>
            </w:pPr>
            <w:r>
              <w:rPr>
                <w:rFonts w:ascii="Arial" w:cs="Arial" w:eastAsia="Arial" w:hAnsi="Arial"/>
                <w:sz w:val="14"/>
                <w:szCs w:val="14"/>
                <w:color w:val="auto"/>
              </w:rPr>
              <w:t>525,007</w:t>
            </w:r>
          </w:p>
        </w:tc>
        <w:tc>
          <w:tcPr>
            <w:tcW w:w="0" w:type="dxa"/>
            <w:vAlign w:val="bottom"/>
          </w:tcPr>
          <w:p>
            <w:pPr>
              <w:spacing w:after="0"/>
              <w:rPr>
                <w:sz w:val="1"/>
                <w:szCs w:val="1"/>
                <w:color w:val="auto"/>
              </w:rPr>
            </w:pPr>
          </w:p>
        </w:tc>
      </w:tr>
      <w:tr>
        <w:trPr>
          <w:trHeight w:val="66"/>
        </w:trPr>
        <w:tc>
          <w:tcPr>
            <w:tcW w:w="1760" w:type="dxa"/>
            <w:vAlign w:val="bottom"/>
            <w:tcBorders>
              <w:left w:val="single" w:sz="8" w:color="auto"/>
            </w:tcBorders>
          </w:tcPr>
          <w:p>
            <w:pPr>
              <w:spacing w:after="0"/>
              <w:rPr>
                <w:sz w:val="5"/>
                <w:szCs w:val="5"/>
                <w:color w:val="auto"/>
              </w:rPr>
            </w:pPr>
          </w:p>
        </w:tc>
        <w:tc>
          <w:tcPr>
            <w:tcW w:w="160" w:type="dxa"/>
            <w:vAlign w:val="bottom"/>
            <w:shd w:val="clear" w:color="auto" w:fill="DDE6F2"/>
          </w:tcPr>
          <w:p>
            <w:pPr>
              <w:spacing w:after="0"/>
              <w:rPr>
                <w:sz w:val="5"/>
                <w:szCs w:val="5"/>
                <w:color w:val="auto"/>
              </w:rPr>
            </w:pPr>
          </w:p>
        </w:tc>
        <w:tc>
          <w:tcPr>
            <w:tcW w:w="720" w:type="dxa"/>
            <w:vAlign w:val="bottom"/>
            <w:vMerge w:val="continue"/>
            <w:shd w:val="clear" w:color="auto" w:fill="DDE6F2"/>
          </w:tcPr>
          <w:p>
            <w:pPr>
              <w:spacing w:after="0"/>
              <w:rPr>
                <w:sz w:val="5"/>
                <w:szCs w:val="5"/>
                <w:color w:val="auto"/>
              </w:rPr>
            </w:pPr>
          </w:p>
        </w:tc>
        <w:tc>
          <w:tcPr>
            <w:tcW w:w="920" w:type="dxa"/>
            <w:vAlign w:val="bottom"/>
            <w:shd w:val="clear" w:color="auto" w:fill="DDE6F2"/>
          </w:tcPr>
          <w:p>
            <w:pPr>
              <w:spacing w:after="0"/>
              <w:rPr>
                <w:sz w:val="5"/>
                <w:szCs w:val="5"/>
                <w:color w:val="auto"/>
              </w:rPr>
            </w:pPr>
          </w:p>
        </w:tc>
        <w:tc>
          <w:tcPr>
            <w:tcW w:w="1000" w:type="dxa"/>
            <w:vAlign w:val="bottom"/>
            <w:shd w:val="clear" w:color="auto" w:fill="DDE6F2"/>
          </w:tcPr>
          <w:p>
            <w:pPr>
              <w:spacing w:after="0"/>
              <w:rPr>
                <w:sz w:val="5"/>
                <w:szCs w:val="5"/>
                <w:color w:val="auto"/>
              </w:rPr>
            </w:pPr>
          </w:p>
        </w:tc>
        <w:tc>
          <w:tcPr>
            <w:tcW w:w="960" w:type="dxa"/>
            <w:vAlign w:val="bottom"/>
            <w:shd w:val="clear" w:color="auto" w:fill="DDE6F2"/>
          </w:tcPr>
          <w:p>
            <w:pPr>
              <w:spacing w:after="0"/>
              <w:rPr>
                <w:sz w:val="5"/>
                <w:szCs w:val="5"/>
                <w:color w:val="auto"/>
              </w:rPr>
            </w:pPr>
          </w:p>
        </w:tc>
        <w:tc>
          <w:tcPr>
            <w:tcW w:w="760" w:type="dxa"/>
            <w:vAlign w:val="bottom"/>
            <w:shd w:val="clear" w:color="auto" w:fill="DDE6F2"/>
          </w:tcPr>
          <w:p>
            <w:pPr>
              <w:spacing w:after="0"/>
              <w:rPr>
                <w:sz w:val="5"/>
                <w:szCs w:val="5"/>
                <w:color w:val="auto"/>
              </w:rPr>
            </w:pPr>
          </w:p>
        </w:tc>
        <w:tc>
          <w:tcPr>
            <w:tcW w:w="900" w:type="dxa"/>
            <w:vAlign w:val="bottom"/>
            <w:shd w:val="clear" w:color="auto" w:fill="DDE6F2"/>
          </w:tcPr>
          <w:p>
            <w:pPr>
              <w:spacing w:after="0"/>
              <w:rPr>
                <w:sz w:val="5"/>
                <w:szCs w:val="5"/>
                <w:color w:val="auto"/>
              </w:rPr>
            </w:pPr>
          </w:p>
        </w:tc>
        <w:tc>
          <w:tcPr>
            <w:tcW w:w="760" w:type="dxa"/>
            <w:vAlign w:val="bottom"/>
            <w:shd w:val="clear" w:color="auto" w:fill="DDE6F2"/>
          </w:tcPr>
          <w:p>
            <w:pPr>
              <w:spacing w:after="0"/>
              <w:rPr>
                <w:sz w:val="5"/>
                <w:szCs w:val="5"/>
                <w:color w:val="auto"/>
              </w:rPr>
            </w:pPr>
          </w:p>
        </w:tc>
        <w:tc>
          <w:tcPr>
            <w:tcW w:w="900" w:type="dxa"/>
            <w:vAlign w:val="bottom"/>
            <w:vMerge w:val="continue"/>
            <w:shd w:val="clear" w:color="auto" w:fill="DDE6F2"/>
          </w:tcPr>
          <w:p>
            <w:pPr>
              <w:spacing w:after="0"/>
              <w:rPr>
                <w:sz w:val="5"/>
                <w:szCs w:val="5"/>
                <w:color w:val="auto"/>
              </w:rPr>
            </w:pPr>
          </w:p>
        </w:tc>
        <w:tc>
          <w:tcPr>
            <w:tcW w:w="900" w:type="dxa"/>
            <w:vAlign w:val="bottom"/>
            <w:shd w:val="clear" w:color="auto" w:fill="DDE6F2"/>
          </w:tcPr>
          <w:p>
            <w:pPr>
              <w:spacing w:after="0"/>
              <w:rPr>
                <w:sz w:val="5"/>
                <w:szCs w:val="5"/>
                <w:color w:val="auto"/>
              </w:rPr>
            </w:pPr>
          </w:p>
        </w:tc>
        <w:tc>
          <w:tcPr>
            <w:tcW w:w="700" w:type="dxa"/>
            <w:vAlign w:val="bottom"/>
            <w:shd w:val="clear" w:color="auto" w:fill="DDE6F2"/>
          </w:tcPr>
          <w:p>
            <w:pPr>
              <w:spacing w:after="0"/>
              <w:rPr>
                <w:sz w:val="5"/>
                <w:szCs w:val="5"/>
                <w:color w:val="auto"/>
              </w:rPr>
            </w:pPr>
          </w:p>
        </w:tc>
        <w:tc>
          <w:tcPr>
            <w:tcW w:w="1000" w:type="dxa"/>
            <w:vAlign w:val="bottom"/>
            <w:tcBorders>
              <w:right w:val="single" w:sz="8" w:color="auto"/>
            </w:tcBorders>
            <w:vMerge w:val="continue"/>
            <w:shd w:val="clear" w:color="auto" w:fill="DDE6F2"/>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bottom w:val="single" w:sz="8" w:color="auto"/>
            </w:tcBorders>
          </w:tcPr>
          <w:p>
            <w:pPr>
              <w:spacing w:after="0"/>
              <w:rPr>
                <w:sz w:val="14"/>
                <w:szCs w:val="14"/>
                <w:color w:val="auto"/>
              </w:rPr>
            </w:pPr>
          </w:p>
        </w:tc>
        <w:tc>
          <w:tcPr>
            <w:tcW w:w="160" w:type="dxa"/>
            <w:vAlign w:val="bottom"/>
            <w:tcBorders>
              <w:bottom w:val="single" w:sz="8" w:color="auto"/>
            </w:tcBorders>
            <w:shd w:val="clear" w:color="auto" w:fill="DDE6F2"/>
          </w:tcPr>
          <w:p>
            <w:pPr>
              <w:spacing w:after="0"/>
              <w:rPr>
                <w:sz w:val="14"/>
                <w:szCs w:val="14"/>
                <w:color w:val="auto"/>
              </w:rPr>
            </w:pPr>
          </w:p>
        </w:tc>
        <w:tc>
          <w:tcPr>
            <w:tcW w:w="720" w:type="dxa"/>
            <w:vAlign w:val="bottom"/>
            <w:tcBorders>
              <w:bottom w:val="single" w:sz="8" w:color="auto"/>
            </w:tcBorders>
            <w:shd w:val="clear" w:color="auto" w:fill="DDE6F2"/>
          </w:tcPr>
          <w:p>
            <w:pPr>
              <w:jc w:val="center"/>
              <w:spacing w:after="0"/>
              <w:rPr>
                <w:sz w:val="20"/>
                <w:szCs w:val="20"/>
                <w:color w:val="auto"/>
              </w:rPr>
            </w:pPr>
            <w:r>
              <w:rPr>
                <w:rFonts w:ascii="Arial" w:cs="Arial" w:eastAsia="Arial" w:hAnsi="Arial"/>
                <w:sz w:val="14"/>
                <w:szCs w:val="14"/>
                <w:color w:val="auto"/>
              </w:rPr>
              <w:t>10/25/2014</w:t>
            </w:r>
          </w:p>
        </w:tc>
        <w:tc>
          <w:tcPr>
            <w:tcW w:w="920" w:type="dxa"/>
            <w:vAlign w:val="bottom"/>
            <w:tcBorders>
              <w:bottom w:val="single" w:sz="8" w:color="auto"/>
            </w:tcBorders>
            <w:shd w:val="clear" w:color="auto" w:fill="DDE6F2"/>
          </w:tcPr>
          <w:p>
            <w:pPr>
              <w:spacing w:after="0"/>
              <w:rPr>
                <w:sz w:val="14"/>
                <w:szCs w:val="14"/>
                <w:color w:val="auto"/>
              </w:rPr>
            </w:pPr>
          </w:p>
        </w:tc>
        <w:tc>
          <w:tcPr>
            <w:tcW w:w="1000" w:type="dxa"/>
            <w:vAlign w:val="bottom"/>
            <w:tcBorders>
              <w:bottom w:val="single" w:sz="8" w:color="auto"/>
            </w:tcBorders>
            <w:shd w:val="clear" w:color="auto" w:fill="DDE6F2"/>
          </w:tcPr>
          <w:p>
            <w:pPr>
              <w:spacing w:after="0"/>
              <w:rPr>
                <w:sz w:val="14"/>
                <w:szCs w:val="14"/>
                <w:color w:val="auto"/>
              </w:rPr>
            </w:pPr>
          </w:p>
        </w:tc>
        <w:tc>
          <w:tcPr>
            <w:tcW w:w="960" w:type="dxa"/>
            <w:vAlign w:val="bottom"/>
            <w:tcBorders>
              <w:bottom w:val="single" w:sz="8" w:color="auto"/>
            </w:tcBorders>
            <w:shd w:val="clear" w:color="auto" w:fill="DDE6F2"/>
          </w:tcPr>
          <w:p>
            <w:pPr>
              <w:spacing w:after="0"/>
              <w:rPr>
                <w:sz w:val="14"/>
                <w:szCs w:val="14"/>
                <w:color w:val="auto"/>
              </w:rPr>
            </w:pPr>
          </w:p>
        </w:tc>
        <w:tc>
          <w:tcPr>
            <w:tcW w:w="760" w:type="dxa"/>
            <w:vAlign w:val="bottom"/>
            <w:tcBorders>
              <w:bottom w:val="single" w:sz="8" w:color="auto"/>
            </w:tcBorders>
            <w:shd w:val="clear" w:color="auto" w:fill="DDE6F2"/>
          </w:tcPr>
          <w:p>
            <w:pPr>
              <w:jc w:val="right"/>
              <w:spacing w:after="0"/>
              <w:rPr>
                <w:sz w:val="20"/>
                <w:szCs w:val="20"/>
                <w:color w:val="auto"/>
              </w:rPr>
            </w:pPr>
            <w:r>
              <w:rPr>
                <w:rFonts w:ascii="Arial" w:cs="Arial" w:eastAsia="Arial" w:hAnsi="Arial"/>
                <w:sz w:val="14"/>
                <w:szCs w:val="14"/>
                <w:color w:val="auto"/>
              </w:rPr>
              <w:t>0</w:t>
            </w:r>
          </w:p>
        </w:tc>
        <w:tc>
          <w:tcPr>
            <w:tcW w:w="900" w:type="dxa"/>
            <w:vAlign w:val="bottom"/>
            <w:tcBorders>
              <w:bottom w:val="single" w:sz="8" w:color="auto"/>
            </w:tcBorders>
            <w:shd w:val="clear" w:color="auto" w:fill="DDE6F2"/>
          </w:tcPr>
          <w:p>
            <w:pPr>
              <w:ind w:left="260"/>
              <w:spacing w:after="0"/>
              <w:rPr>
                <w:sz w:val="20"/>
                <w:szCs w:val="20"/>
                <w:color w:val="auto"/>
              </w:rPr>
            </w:pPr>
            <w:r>
              <w:rPr>
                <w:rFonts w:ascii="Arial" w:cs="Arial" w:eastAsia="Arial" w:hAnsi="Arial"/>
                <w:sz w:val="14"/>
                <w:szCs w:val="14"/>
                <w:color w:val="auto"/>
              </w:rPr>
              <w:t>18,746</w:t>
            </w:r>
          </w:p>
        </w:tc>
        <w:tc>
          <w:tcPr>
            <w:tcW w:w="760" w:type="dxa"/>
            <w:vAlign w:val="bottom"/>
            <w:tcBorders>
              <w:bottom w:val="single" w:sz="8" w:color="auto"/>
            </w:tcBorders>
            <w:shd w:val="clear" w:color="auto" w:fill="DDE6F2"/>
          </w:tcPr>
          <w:p>
            <w:pPr>
              <w:jc w:val="right"/>
              <w:ind w:right="49"/>
              <w:spacing w:after="0"/>
              <w:rPr>
                <w:sz w:val="20"/>
                <w:szCs w:val="20"/>
                <w:color w:val="auto"/>
              </w:rPr>
            </w:pPr>
            <w:r>
              <w:rPr>
                <w:rFonts w:ascii="Arial" w:cs="Arial" w:eastAsia="Arial" w:hAnsi="Arial"/>
                <w:sz w:val="14"/>
                <w:szCs w:val="14"/>
                <w:color w:val="auto"/>
              </w:rPr>
              <w:t>93,730</w:t>
            </w:r>
          </w:p>
        </w:tc>
        <w:tc>
          <w:tcPr>
            <w:tcW w:w="900" w:type="dxa"/>
            <w:vAlign w:val="bottom"/>
            <w:tcBorders>
              <w:bottom w:val="single" w:sz="8" w:color="auto"/>
            </w:tcBorders>
            <w:shd w:val="clear" w:color="auto" w:fill="DDE6F2"/>
          </w:tcPr>
          <w:p>
            <w:pPr>
              <w:spacing w:after="0"/>
              <w:rPr>
                <w:sz w:val="14"/>
                <w:szCs w:val="14"/>
                <w:color w:val="auto"/>
              </w:rPr>
            </w:pPr>
          </w:p>
        </w:tc>
        <w:tc>
          <w:tcPr>
            <w:tcW w:w="900" w:type="dxa"/>
            <w:vAlign w:val="bottom"/>
            <w:tcBorders>
              <w:bottom w:val="single" w:sz="8" w:color="auto"/>
            </w:tcBorders>
            <w:shd w:val="clear" w:color="auto" w:fill="DDE6F2"/>
          </w:tcPr>
          <w:p>
            <w:pPr>
              <w:spacing w:after="0"/>
              <w:rPr>
                <w:sz w:val="14"/>
                <w:szCs w:val="14"/>
                <w:color w:val="auto"/>
              </w:rPr>
            </w:pPr>
          </w:p>
        </w:tc>
        <w:tc>
          <w:tcPr>
            <w:tcW w:w="700" w:type="dxa"/>
            <w:vAlign w:val="bottom"/>
            <w:tcBorders>
              <w:bottom w:val="single" w:sz="8" w:color="auto"/>
            </w:tcBorders>
            <w:shd w:val="clear" w:color="auto" w:fill="DDE6F2"/>
          </w:tcPr>
          <w:p>
            <w:pPr>
              <w:spacing w:after="0"/>
              <w:rPr>
                <w:sz w:val="14"/>
                <w:szCs w:val="14"/>
                <w:color w:val="auto"/>
              </w:rPr>
            </w:pPr>
          </w:p>
        </w:tc>
        <w:tc>
          <w:tcPr>
            <w:tcW w:w="1000" w:type="dxa"/>
            <w:vAlign w:val="bottom"/>
            <w:tcBorders>
              <w:bottom w:val="single" w:sz="8" w:color="auto"/>
              <w:right w:val="single" w:sz="8" w:color="auto"/>
            </w:tcBorders>
            <w:shd w:val="clear" w:color="auto" w:fill="DDE6F2"/>
          </w:tcPr>
          <w:p>
            <w:pPr>
              <w:jc w:val="right"/>
              <w:ind w:right="170"/>
              <w:spacing w:after="0"/>
              <w:rPr>
                <w:sz w:val="20"/>
                <w:szCs w:val="20"/>
                <w:color w:val="auto"/>
              </w:rPr>
            </w:pPr>
            <w:r>
              <w:rPr>
                <w:rFonts w:ascii="Arial" w:cs="Arial" w:eastAsia="Arial" w:hAnsi="Arial"/>
                <w:sz w:val="14"/>
                <w:szCs w:val="14"/>
                <w:color w:val="auto"/>
              </w:rPr>
              <w:t>1,105,706</w:t>
            </w:r>
          </w:p>
        </w:tc>
        <w:tc>
          <w:tcPr>
            <w:tcW w:w="0" w:type="dxa"/>
            <w:vAlign w:val="bottom"/>
          </w:tcPr>
          <w:p>
            <w:pPr>
              <w:spacing w:after="0"/>
              <w:rPr>
                <w:sz w:val="1"/>
                <w:szCs w:val="1"/>
                <w:color w:val="auto"/>
              </w:rPr>
            </w:pPr>
          </w:p>
        </w:tc>
      </w:tr>
      <w:tr>
        <w:trPr>
          <w:trHeight w:val="160"/>
        </w:trPr>
        <w:tc>
          <w:tcPr>
            <w:tcW w:w="1760" w:type="dxa"/>
            <w:vAlign w:val="bottom"/>
            <w:tcBorders>
              <w:left w:val="single" w:sz="8" w:color="auto"/>
            </w:tcBorders>
          </w:tcPr>
          <w:p>
            <w:pPr>
              <w:spacing w:after="0"/>
              <w:rPr>
                <w:sz w:val="13"/>
                <w:szCs w:val="13"/>
                <w:color w:val="auto"/>
              </w:rPr>
            </w:pPr>
          </w:p>
        </w:tc>
        <w:tc>
          <w:tcPr>
            <w:tcW w:w="880" w:type="dxa"/>
            <w:vAlign w:val="bottom"/>
            <w:gridSpan w:val="2"/>
          </w:tcPr>
          <w:p>
            <w:pPr>
              <w:jc w:val="center"/>
              <w:ind w:left="88"/>
              <w:spacing w:after="0"/>
              <w:rPr>
                <w:sz w:val="20"/>
                <w:szCs w:val="20"/>
                <w:color w:val="auto"/>
              </w:rPr>
            </w:pPr>
            <w:r>
              <w:rPr>
                <w:rFonts w:ascii="Arial" w:cs="Arial" w:eastAsia="Arial" w:hAnsi="Arial"/>
                <w:sz w:val="14"/>
                <w:szCs w:val="14"/>
                <w:color w:val="auto"/>
              </w:rPr>
              <w:t>2/24/2014</w:t>
            </w: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287,750</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719,375</w:t>
            </w: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color w:val="auto"/>
              </w:rPr>
              <w:t>35,488</w:t>
            </w:r>
          </w:p>
        </w:tc>
        <w:tc>
          <w:tcPr>
            <w:tcW w:w="700" w:type="dxa"/>
            <w:vAlign w:val="bottom"/>
          </w:tcPr>
          <w:p>
            <w:pPr>
              <w:jc w:val="right"/>
              <w:spacing w:after="0"/>
              <w:rPr>
                <w:sz w:val="20"/>
                <w:szCs w:val="20"/>
                <w:color w:val="auto"/>
              </w:rPr>
            </w:pPr>
            <w:r>
              <w:rPr>
                <w:rFonts w:ascii="Arial" w:cs="Arial" w:eastAsia="Arial" w:hAnsi="Arial"/>
                <w:sz w:val="14"/>
                <w:szCs w:val="14"/>
                <w:color w:val="auto"/>
              </w:rPr>
              <w:t>41.77</w:t>
            </w:r>
          </w:p>
        </w:tc>
        <w:tc>
          <w:tcPr>
            <w:tcW w:w="1000" w:type="dxa"/>
            <w:vAlign w:val="bottom"/>
            <w:tcBorders>
              <w:right w:val="single" w:sz="8" w:color="auto"/>
            </w:tcBorders>
          </w:tcPr>
          <w:p>
            <w:pPr>
              <w:jc w:val="right"/>
              <w:ind w:right="170"/>
              <w:spacing w:after="0"/>
              <w:rPr>
                <w:sz w:val="20"/>
                <w:szCs w:val="20"/>
                <w:color w:val="auto"/>
              </w:rPr>
            </w:pPr>
            <w:r>
              <w:rPr>
                <w:rFonts w:ascii="Arial" w:cs="Arial" w:eastAsia="Arial" w:hAnsi="Arial"/>
                <w:sz w:val="14"/>
                <w:szCs w:val="14"/>
                <w:color w:val="auto"/>
              </w:rPr>
              <w:t>266,160</w:t>
            </w: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color w:val="auto"/>
              </w:rPr>
              <w:t>Dearborn</w:t>
            </w:r>
          </w:p>
        </w:tc>
        <w:tc>
          <w:tcPr>
            <w:tcW w:w="880" w:type="dxa"/>
            <w:vAlign w:val="bottom"/>
            <w:gridSpan w:val="2"/>
          </w:tcPr>
          <w:p>
            <w:pPr>
              <w:jc w:val="center"/>
              <w:ind w:left="88"/>
              <w:spacing w:after="0"/>
              <w:rPr>
                <w:sz w:val="20"/>
                <w:szCs w:val="20"/>
                <w:color w:val="auto"/>
              </w:rPr>
            </w:pPr>
            <w:r>
              <w:rPr>
                <w:rFonts w:ascii="Arial" w:cs="Arial" w:eastAsia="Arial" w:hAnsi="Arial"/>
                <w:sz w:val="14"/>
                <w:szCs w:val="14"/>
                <w:color w:val="auto"/>
              </w:rPr>
              <w:t>2/24/2014</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w:t>
            </w:r>
          </w:p>
        </w:tc>
        <w:tc>
          <w:tcPr>
            <w:tcW w:w="900" w:type="dxa"/>
            <w:vAlign w:val="bottom"/>
          </w:tcPr>
          <w:p>
            <w:pPr>
              <w:ind w:left="260"/>
              <w:spacing w:after="0"/>
              <w:rPr>
                <w:sz w:val="20"/>
                <w:szCs w:val="20"/>
                <w:color w:val="auto"/>
              </w:rPr>
            </w:pPr>
            <w:r>
              <w:rPr>
                <w:rFonts w:ascii="Arial" w:cs="Arial" w:eastAsia="Arial" w:hAnsi="Arial"/>
                <w:sz w:val="14"/>
                <w:szCs w:val="14"/>
                <w:color w:val="auto"/>
              </w:rPr>
              <w:t>17,027</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34,054</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Borders>
              <w:right w:val="single" w:sz="8" w:color="auto"/>
            </w:tcBorders>
          </w:tcPr>
          <w:p>
            <w:pPr>
              <w:jc w:val="right"/>
              <w:ind w:right="170"/>
              <w:spacing w:after="0"/>
              <w:rPr>
                <w:sz w:val="20"/>
                <w:szCs w:val="20"/>
                <w:color w:val="auto"/>
              </w:rPr>
            </w:pPr>
            <w:r>
              <w:rPr>
                <w:rFonts w:ascii="Arial" w:cs="Arial" w:eastAsia="Arial" w:hAnsi="Arial"/>
                <w:sz w:val="14"/>
                <w:szCs w:val="14"/>
                <w:color w:val="auto"/>
              </w:rPr>
              <w:t>563,083</w:t>
            </w:r>
          </w:p>
        </w:tc>
        <w:tc>
          <w:tcPr>
            <w:tcW w:w="0" w:type="dxa"/>
            <w:vAlign w:val="bottom"/>
          </w:tcPr>
          <w:p>
            <w:pPr>
              <w:spacing w:after="0"/>
              <w:rPr>
                <w:sz w:val="1"/>
                <w:szCs w:val="1"/>
                <w:color w:val="auto"/>
              </w:rPr>
            </w:pPr>
          </w:p>
        </w:tc>
      </w:tr>
      <w:tr>
        <w:trPr>
          <w:trHeight w:val="91"/>
        </w:trPr>
        <w:tc>
          <w:tcPr>
            <w:tcW w:w="1760" w:type="dxa"/>
            <w:vAlign w:val="bottom"/>
            <w:tcBorders>
              <w:left w:val="single" w:sz="8" w:color="auto"/>
            </w:tcBorders>
            <w:vMerge w:val="continue"/>
          </w:tcPr>
          <w:p>
            <w:pPr>
              <w:spacing w:after="0"/>
              <w:rPr>
                <w:sz w:val="7"/>
                <w:szCs w:val="7"/>
                <w:color w:val="auto"/>
              </w:rPr>
            </w:pPr>
          </w:p>
        </w:tc>
        <w:tc>
          <w:tcPr>
            <w:tcW w:w="88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rPr>
              <w:t>2/24/2014</w:t>
            </w:r>
          </w:p>
        </w:tc>
        <w:tc>
          <w:tcPr>
            <w:tcW w:w="9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4"/>
                <w:szCs w:val="14"/>
                <w:color w:val="auto"/>
              </w:rPr>
              <w:t>11,731</w:t>
            </w: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4"/>
                <w:szCs w:val="14"/>
                <w:color w:val="auto"/>
              </w:rPr>
              <w:t>490,004</w:t>
            </w:r>
          </w:p>
        </w:tc>
        <w:tc>
          <w:tcPr>
            <w:tcW w:w="0" w:type="dxa"/>
            <w:vAlign w:val="bottom"/>
          </w:tcPr>
          <w:p>
            <w:pPr>
              <w:spacing w:after="0"/>
              <w:rPr>
                <w:sz w:val="1"/>
                <w:szCs w:val="1"/>
                <w:color w:val="auto"/>
              </w:rPr>
            </w:pPr>
          </w:p>
        </w:tc>
      </w:tr>
      <w:tr>
        <w:trPr>
          <w:trHeight w:val="71"/>
        </w:trPr>
        <w:tc>
          <w:tcPr>
            <w:tcW w:w="1760" w:type="dxa"/>
            <w:vAlign w:val="bottom"/>
            <w:tcBorders>
              <w:lef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60" w:type="dxa"/>
            <w:vAlign w:val="bottom"/>
            <w:tcBorders>
              <w:left w:val="single" w:sz="8" w:color="auto"/>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left="88"/>
              <w:spacing w:after="0" w:line="157" w:lineRule="exact"/>
              <w:rPr>
                <w:sz w:val="20"/>
                <w:szCs w:val="20"/>
                <w:color w:val="auto"/>
              </w:rPr>
            </w:pPr>
            <w:r>
              <w:rPr>
                <w:rFonts w:ascii="Arial" w:cs="Arial" w:eastAsia="Arial" w:hAnsi="Arial"/>
                <w:sz w:val="14"/>
                <w:szCs w:val="14"/>
                <w:color w:val="auto"/>
              </w:rPr>
              <w:t>10/25/2014</w:t>
            </w:r>
          </w:p>
        </w:tc>
        <w:tc>
          <w:tcPr>
            <w:tcW w:w="9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0</w:t>
            </w:r>
          </w:p>
        </w:tc>
        <w:tc>
          <w:tcPr>
            <w:tcW w:w="90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18,746</w:t>
            </w:r>
          </w:p>
        </w:tc>
        <w:tc>
          <w:tcPr>
            <w:tcW w:w="76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93,730</w:t>
            </w: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right"/>
              <w:ind w:right="170"/>
              <w:spacing w:after="0" w:line="157" w:lineRule="exact"/>
              <w:rPr>
                <w:sz w:val="20"/>
                <w:szCs w:val="20"/>
                <w:color w:val="auto"/>
              </w:rPr>
            </w:pPr>
            <w:r>
              <w:rPr>
                <w:rFonts w:ascii="Arial" w:cs="Arial" w:eastAsia="Arial" w:hAnsi="Arial"/>
                <w:sz w:val="14"/>
                <w:szCs w:val="14"/>
                <w:color w:val="auto"/>
              </w:rPr>
              <w:t>1,105,706</w:t>
            </w:r>
          </w:p>
        </w:tc>
        <w:tc>
          <w:tcPr>
            <w:tcW w:w="0" w:type="dxa"/>
            <w:vAlign w:val="bottom"/>
          </w:tcPr>
          <w:p>
            <w:pPr>
              <w:spacing w:after="0"/>
              <w:rPr>
                <w:sz w:val="1"/>
                <w:szCs w:val="1"/>
                <w:color w:val="auto"/>
              </w:rPr>
            </w:pPr>
          </w:p>
        </w:tc>
      </w:tr>
      <w:tr>
        <w:trPr>
          <w:trHeight w:val="156"/>
        </w:trPr>
        <w:tc>
          <w:tcPr>
            <w:tcW w:w="1760" w:type="dxa"/>
            <w:vAlign w:val="bottom"/>
            <w:tcBorders>
              <w:left w:val="single" w:sz="8" w:color="auto"/>
            </w:tcBorders>
          </w:tcPr>
          <w:p>
            <w:pPr>
              <w:spacing w:after="0"/>
              <w:rPr>
                <w:sz w:val="13"/>
                <w:szCs w:val="13"/>
                <w:color w:val="auto"/>
              </w:rPr>
            </w:pPr>
          </w:p>
        </w:tc>
        <w:tc>
          <w:tcPr>
            <w:tcW w:w="160" w:type="dxa"/>
            <w:vAlign w:val="bottom"/>
            <w:shd w:val="clear" w:color="auto" w:fill="DDE6F2"/>
          </w:tcPr>
          <w:p>
            <w:pPr>
              <w:spacing w:after="0"/>
              <w:rPr>
                <w:sz w:val="13"/>
                <w:szCs w:val="13"/>
                <w:color w:val="auto"/>
              </w:rPr>
            </w:pPr>
          </w:p>
        </w:tc>
        <w:tc>
          <w:tcPr>
            <w:tcW w:w="720" w:type="dxa"/>
            <w:vAlign w:val="bottom"/>
            <w:shd w:val="clear" w:color="auto" w:fill="DDE6F2"/>
          </w:tcPr>
          <w:p>
            <w:pPr>
              <w:jc w:val="center"/>
              <w:spacing w:after="0" w:line="155" w:lineRule="exact"/>
              <w:rPr>
                <w:sz w:val="20"/>
                <w:szCs w:val="20"/>
                <w:color w:val="auto"/>
              </w:rPr>
            </w:pPr>
            <w:r>
              <w:rPr>
                <w:rFonts w:ascii="Arial" w:cs="Arial" w:eastAsia="Arial" w:hAnsi="Arial"/>
                <w:sz w:val="14"/>
                <w:szCs w:val="14"/>
                <w:color w:val="auto"/>
              </w:rPr>
              <w:t>2/24/2014</w:t>
            </w:r>
          </w:p>
        </w:tc>
        <w:tc>
          <w:tcPr>
            <w:tcW w:w="920" w:type="dxa"/>
            <w:vAlign w:val="bottom"/>
            <w:shd w:val="clear" w:color="auto" w:fill="DDE6F2"/>
          </w:tcPr>
          <w:p>
            <w:pPr>
              <w:jc w:val="right"/>
              <w:ind w:right="71"/>
              <w:spacing w:after="0" w:line="155" w:lineRule="exact"/>
              <w:rPr>
                <w:sz w:val="20"/>
                <w:szCs w:val="20"/>
                <w:color w:val="auto"/>
              </w:rPr>
            </w:pPr>
            <w:r>
              <w:rPr>
                <w:rFonts w:ascii="Arial" w:cs="Arial" w:eastAsia="Arial" w:hAnsi="Arial"/>
                <w:sz w:val="14"/>
                <w:szCs w:val="14"/>
                <w:color w:val="auto"/>
              </w:rPr>
              <w:t>0</w:t>
            </w:r>
          </w:p>
        </w:tc>
        <w:tc>
          <w:tcPr>
            <w:tcW w:w="1000" w:type="dxa"/>
            <w:vAlign w:val="bottom"/>
            <w:shd w:val="clear" w:color="auto" w:fill="DDE6F2"/>
          </w:tcPr>
          <w:p>
            <w:pPr>
              <w:jc w:val="right"/>
              <w:ind w:right="71"/>
              <w:spacing w:after="0" w:line="155" w:lineRule="exact"/>
              <w:rPr>
                <w:sz w:val="20"/>
                <w:szCs w:val="20"/>
                <w:color w:val="auto"/>
              </w:rPr>
            </w:pPr>
            <w:r>
              <w:rPr>
                <w:rFonts w:ascii="Arial" w:cs="Arial" w:eastAsia="Arial" w:hAnsi="Arial"/>
                <w:sz w:val="14"/>
                <w:szCs w:val="14"/>
                <w:color w:val="auto"/>
              </w:rPr>
              <w:t>294,269</w:t>
            </w:r>
          </w:p>
        </w:tc>
        <w:tc>
          <w:tcPr>
            <w:tcW w:w="960" w:type="dxa"/>
            <w:vAlign w:val="bottom"/>
            <w:shd w:val="clear" w:color="auto" w:fill="DDE6F2"/>
          </w:tcPr>
          <w:p>
            <w:pPr>
              <w:jc w:val="right"/>
              <w:ind w:right="30"/>
              <w:spacing w:after="0" w:line="155" w:lineRule="exact"/>
              <w:rPr>
                <w:sz w:val="20"/>
                <w:szCs w:val="20"/>
                <w:color w:val="auto"/>
              </w:rPr>
            </w:pPr>
            <w:r>
              <w:rPr>
                <w:rFonts w:ascii="Arial" w:cs="Arial" w:eastAsia="Arial" w:hAnsi="Arial"/>
                <w:sz w:val="14"/>
                <w:szCs w:val="14"/>
                <w:color w:val="auto"/>
              </w:rPr>
              <w:t>735,673</w:t>
            </w:r>
          </w:p>
        </w:tc>
        <w:tc>
          <w:tcPr>
            <w:tcW w:w="760" w:type="dxa"/>
            <w:vAlign w:val="bottom"/>
            <w:shd w:val="clear" w:color="auto" w:fill="DDE6F2"/>
          </w:tcPr>
          <w:p>
            <w:pPr>
              <w:spacing w:after="0"/>
              <w:rPr>
                <w:sz w:val="13"/>
                <w:szCs w:val="13"/>
                <w:color w:val="auto"/>
              </w:rPr>
            </w:pPr>
          </w:p>
        </w:tc>
        <w:tc>
          <w:tcPr>
            <w:tcW w:w="900" w:type="dxa"/>
            <w:vAlign w:val="bottom"/>
            <w:shd w:val="clear" w:color="auto" w:fill="DDE6F2"/>
          </w:tcPr>
          <w:p>
            <w:pPr>
              <w:spacing w:after="0"/>
              <w:rPr>
                <w:sz w:val="13"/>
                <w:szCs w:val="13"/>
                <w:color w:val="auto"/>
              </w:rPr>
            </w:pPr>
          </w:p>
        </w:tc>
        <w:tc>
          <w:tcPr>
            <w:tcW w:w="760" w:type="dxa"/>
            <w:vAlign w:val="bottom"/>
            <w:shd w:val="clear" w:color="auto" w:fill="DDE6F2"/>
          </w:tcPr>
          <w:p>
            <w:pPr>
              <w:spacing w:after="0"/>
              <w:rPr>
                <w:sz w:val="13"/>
                <w:szCs w:val="13"/>
                <w:color w:val="auto"/>
              </w:rPr>
            </w:pPr>
          </w:p>
        </w:tc>
        <w:tc>
          <w:tcPr>
            <w:tcW w:w="900" w:type="dxa"/>
            <w:vAlign w:val="bottom"/>
            <w:shd w:val="clear" w:color="auto" w:fill="DDE6F2"/>
          </w:tcPr>
          <w:p>
            <w:pPr>
              <w:spacing w:after="0"/>
              <w:rPr>
                <w:sz w:val="13"/>
                <w:szCs w:val="13"/>
                <w:color w:val="auto"/>
              </w:rPr>
            </w:pPr>
          </w:p>
        </w:tc>
        <w:tc>
          <w:tcPr>
            <w:tcW w:w="900" w:type="dxa"/>
            <w:vAlign w:val="bottom"/>
            <w:shd w:val="clear" w:color="auto" w:fill="DDE6F2"/>
          </w:tcPr>
          <w:p>
            <w:pPr>
              <w:jc w:val="right"/>
              <w:ind w:right="53"/>
              <w:spacing w:after="0" w:line="155" w:lineRule="exact"/>
              <w:rPr>
                <w:sz w:val="20"/>
                <w:szCs w:val="20"/>
                <w:color w:val="auto"/>
              </w:rPr>
            </w:pPr>
            <w:r>
              <w:rPr>
                <w:rFonts w:ascii="Arial" w:cs="Arial" w:eastAsia="Arial" w:hAnsi="Arial"/>
                <w:sz w:val="14"/>
                <w:szCs w:val="14"/>
                <w:color w:val="auto"/>
              </w:rPr>
              <w:t>30,418</w:t>
            </w:r>
          </w:p>
        </w:tc>
        <w:tc>
          <w:tcPr>
            <w:tcW w:w="700" w:type="dxa"/>
            <w:vAlign w:val="bottom"/>
            <w:shd w:val="clear" w:color="auto" w:fill="DDE6F2"/>
          </w:tcPr>
          <w:p>
            <w:pPr>
              <w:jc w:val="right"/>
              <w:spacing w:after="0" w:line="155" w:lineRule="exact"/>
              <w:rPr>
                <w:sz w:val="20"/>
                <w:szCs w:val="20"/>
                <w:color w:val="auto"/>
              </w:rPr>
            </w:pPr>
            <w:r>
              <w:rPr>
                <w:rFonts w:ascii="Arial" w:cs="Arial" w:eastAsia="Arial" w:hAnsi="Arial"/>
                <w:sz w:val="14"/>
                <w:szCs w:val="14"/>
                <w:color w:val="auto"/>
              </w:rPr>
              <w:t>41.77</w:t>
            </w:r>
          </w:p>
        </w:tc>
        <w:tc>
          <w:tcPr>
            <w:tcW w:w="1000" w:type="dxa"/>
            <w:vAlign w:val="bottom"/>
            <w:tcBorders>
              <w:right w:val="single" w:sz="8" w:color="auto"/>
            </w:tcBorders>
            <w:shd w:val="clear" w:color="auto" w:fill="DDE6F2"/>
          </w:tcPr>
          <w:p>
            <w:pPr>
              <w:jc w:val="right"/>
              <w:ind w:right="170"/>
              <w:spacing w:after="0" w:line="155" w:lineRule="exact"/>
              <w:rPr>
                <w:sz w:val="20"/>
                <w:szCs w:val="20"/>
                <w:color w:val="auto"/>
              </w:rPr>
            </w:pPr>
            <w:r>
              <w:rPr>
                <w:rFonts w:ascii="Arial" w:cs="Arial" w:eastAsia="Arial" w:hAnsi="Arial"/>
                <w:sz w:val="14"/>
                <w:szCs w:val="14"/>
                <w:color w:val="auto"/>
              </w:rPr>
              <w:t>228,135</w:t>
            </w: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color w:val="auto"/>
              </w:rPr>
              <w:t>Scheel</w:t>
            </w:r>
          </w:p>
        </w:tc>
        <w:tc>
          <w:tcPr>
            <w:tcW w:w="160" w:type="dxa"/>
            <w:vAlign w:val="bottom"/>
            <w:shd w:val="clear" w:color="auto" w:fill="DDE6F2"/>
          </w:tcPr>
          <w:p>
            <w:pPr>
              <w:spacing w:after="0"/>
              <w:rPr>
                <w:sz w:val="14"/>
                <w:szCs w:val="14"/>
                <w:color w:val="auto"/>
              </w:rPr>
            </w:pPr>
          </w:p>
        </w:tc>
        <w:tc>
          <w:tcPr>
            <w:tcW w:w="720" w:type="dxa"/>
            <w:vAlign w:val="bottom"/>
            <w:shd w:val="clear" w:color="auto" w:fill="DDE6F2"/>
          </w:tcPr>
          <w:p>
            <w:pPr>
              <w:jc w:val="center"/>
              <w:spacing w:after="0"/>
              <w:rPr>
                <w:sz w:val="20"/>
                <w:szCs w:val="20"/>
                <w:color w:val="auto"/>
              </w:rPr>
            </w:pPr>
            <w:r>
              <w:rPr>
                <w:rFonts w:ascii="Arial" w:cs="Arial" w:eastAsia="Arial" w:hAnsi="Arial"/>
                <w:sz w:val="14"/>
                <w:szCs w:val="14"/>
                <w:color w:val="auto"/>
              </w:rPr>
              <w:t>2/24/2014</w:t>
            </w:r>
          </w:p>
        </w:tc>
        <w:tc>
          <w:tcPr>
            <w:tcW w:w="920" w:type="dxa"/>
            <w:vAlign w:val="bottom"/>
            <w:shd w:val="clear" w:color="auto" w:fill="DDE6F2"/>
          </w:tcPr>
          <w:p>
            <w:pPr>
              <w:spacing w:after="0"/>
              <w:rPr>
                <w:sz w:val="14"/>
                <w:szCs w:val="14"/>
                <w:color w:val="auto"/>
              </w:rPr>
            </w:pPr>
          </w:p>
        </w:tc>
        <w:tc>
          <w:tcPr>
            <w:tcW w:w="1000" w:type="dxa"/>
            <w:vAlign w:val="bottom"/>
            <w:shd w:val="clear" w:color="auto" w:fill="DDE6F2"/>
          </w:tcPr>
          <w:p>
            <w:pPr>
              <w:spacing w:after="0"/>
              <w:rPr>
                <w:sz w:val="14"/>
                <w:szCs w:val="14"/>
                <w:color w:val="auto"/>
              </w:rPr>
            </w:pPr>
          </w:p>
        </w:tc>
        <w:tc>
          <w:tcPr>
            <w:tcW w:w="960" w:type="dxa"/>
            <w:vAlign w:val="bottom"/>
            <w:shd w:val="clear" w:color="auto" w:fill="DDE6F2"/>
          </w:tcPr>
          <w:p>
            <w:pPr>
              <w:spacing w:after="0"/>
              <w:rPr>
                <w:sz w:val="14"/>
                <w:szCs w:val="14"/>
                <w:color w:val="auto"/>
              </w:rPr>
            </w:pPr>
          </w:p>
        </w:tc>
        <w:tc>
          <w:tcPr>
            <w:tcW w:w="760" w:type="dxa"/>
            <w:vAlign w:val="bottom"/>
            <w:shd w:val="clear" w:color="auto" w:fill="DDE6F2"/>
          </w:tcPr>
          <w:p>
            <w:pPr>
              <w:jc w:val="right"/>
              <w:spacing w:after="0"/>
              <w:rPr>
                <w:sz w:val="20"/>
                <w:szCs w:val="20"/>
                <w:color w:val="auto"/>
              </w:rPr>
            </w:pPr>
            <w:r>
              <w:rPr>
                <w:rFonts w:ascii="Arial" w:cs="Arial" w:eastAsia="Arial" w:hAnsi="Arial"/>
                <w:sz w:val="14"/>
                <w:szCs w:val="14"/>
                <w:color w:val="auto"/>
              </w:rPr>
              <w:t>0</w:t>
            </w:r>
          </w:p>
        </w:tc>
        <w:tc>
          <w:tcPr>
            <w:tcW w:w="900" w:type="dxa"/>
            <w:vAlign w:val="bottom"/>
            <w:shd w:val="clear" w:color="auto" w:fill="DDE6F2"/>
          </w:tcPr>
          <w:p>
            <w:pPr>
              <w:ind w:left="260"/>
              <w:spacing w:after="0"/>
              <w:rPr>
                <w:sz w:val="20"/>
                <w:szCs w:val="20"/>
                <w:color w:val="auto"/>
              </w:rPr>
            </w:pPr>
            <w:r>
              <w:rPr>
                <w:rFonts w:ascii="Arial" w:cs="Arial" w:eastAsia="Arial" w:hAnsi="Arial"/>
                <w:sz w:val="14"/>
                <w:szCs w:val="14"/>
                <w:color w:val="auto"/>
              </w:rPr>
              <w:t>14,595</w:t>
            </w:r>
          </w:p>
        </w:tc>
        <w:tc>
          <w:tcPr>
            <w:tcW w:w="760" w:type="dxa"/>
            <w:vAlign w:val="bottom"/>
            <w:shd w:val="clear" w:color="auto" w:fill="DDE6F2"/>
          </w:tcPr>
          <w:p>
            <w:pPr>
              <w:jc w:val="right"/>
              <w:ind w:right="49"/>
              <w:spacing w:after="0"/>
              <w:rPr>
                <w:sz w:val="20"/>
                <w:szCs w:val="20"/>
                <w:color w:val="auto"/>
              </w:rPr>
            </w:pPr>
            <w:r>
              <w:rPr>
                <w:rFonts w:ascii="Arial" w:cs="Arial" w:eastAsia="Arial" w:hAnsi="Arial"/>
                <w:sz w:val="14"/>
                <w:szCs w:val="14"/>
                <w:color w:val="auto"/>
              </w:rPr>
              <w:t>29,190</w:t>
            </w:r>
          </w:p>
        </w:tc>
        <w:tc>
          <w:tcPr>
            <w:tcW w:w="900" w:type="dxa"/>
            <w:vAlign w:val="bottom"/>
            <w:shd w:val="clear" w:color="auto" w:fill="DDE6F2"/>
          </w:tcPr>
          <w:p>
            <w:pPr>
              <w:spacing w:after="0"/>
              <w:rPr>
                <w:sz w:val="14"/>
                <w:szCs w:val="14"/>
                <w:color w:val="auto"/>
              </w:rPr>
            </w:pPr>
          </w:p>
        </w:tc>
        <w:tc>
          <w:tcPr>
            <w:tcW w:w="900" w:type="dxa"/>
            <w:vAlign w:val="bottom"/>
            <w:shd w:val="clear" w:color="auto" w:fill="DDE6F2"/>
          </w:tcPr>
          <w:p>
            <w:pPr>
              <w:spacing w:after="0"/>
              <w:rPr>
                <w:sz w:val="14"/>
                <w:szCs w:val="14"/>
                <w:color w:val="auto"/>
              </w:rPr>
            </w:pPr>
          </w:p>
        </w:tc>
        <w:tc>
          <w:tcPr>
            <w:tcW w:w="700" w:type="dxa"/>
            <w:vAlign w:val="bottom"/>
            <w:shd w:val="clear" w:color="auto" w:fill="DDE6F2"/>
          </w:tcPr>
          <w:p>
            <w:pPr>
              <w:spacing w:after="0"/>
              <w:rPr>
                <w:sz w:val="14"/>
                <w:szCs w:val="14"/>
                <w:color w:val="auto"/>
              </w:rPr>
            </w:pPr>
          </w:p>
        </w:tc>
        <w:tc>
          <w:tcPr>
            <w:tcW w:w="1000" w:type="dxa"/>
            <w:vAlign w:val="bottom"/>
            <w:tcBorders>
              <w:right w:val="single" w:sz="8" w:color="auto"/>
            </w:tcBorders>
            <w:shd w:val="clear" w:color="auto" w:fill="DDE6F2"/>
          </w:tcPr>
          <w:p>
            <w:pPr>
              <w:jc w:val="right"/>
              <w:ind w:right="170"/>
              <w:spacing w:after="0"/>
              <w:rPr>
                <w:sz w:val="20"/>
                <w:szCs w:val="20"/>
                <w:color w:val="auto"/>
              </w:rPr>
            </w:pPr>
            <w:r>
              <w:rPr>
                <w:rFonts w:ascii="Arial" w:cs="Arial" w:eastAsia="Arial" w:hAnsi="Arial"/>
                <w:sz w:val="14"/>
                <w:szCs w:val="14"/>
                <w:color w:val="auto"/>
              </w:rPr>
              <w:t>482,657</w:t>
            </w:r>
          </w:p>
        </w:tc>
        <w:tc>
          <w:tcPr>
            <w:tcW w:w="0" w:type="dxa"/>
            <w:vAlign w:val="bottom"/>
          </w:tcPr>
          <w:p>
            <w:pPr>
              <w:spacing w:after="0"/>
              <w:rPr>
                <w:sz w:val="1"/>
                <w:szCs w:val="1"/>
                <w:color w:val="auto"/>
              </w:rPr>
            </w:pPr>
          </w:p>
        </w:tc>
      </w:tr>
      <w:tr>
        <w:trPr>
          <w:trHeight w:val="96"/>
        </w:trPr>
        <w:tc>
          <w:tcPr>
            <w:tcW w:w="1760" w:type="dxa"/>
            <w:vAlign w:val="bottom"/>
            <w:tcBorders>
              <w:left w:val="single" w:sz="8" w:color="auto"/>
            </w:tcBorders>
            <w:vMerge w:val="continue"/>
          </w:tcPr>
          <w:p>
            <w:pPr>
              <w:spacing w:after="0"/>
              <w:rPr>
                <w:sz w:val="8"/>
                <w:szCs w:val="8"/>
                <w:color w:val="auto"/>
              </w:rPr>
            </w:pPr>
          </w:p>
        </w:tc>
        <w:tc>
          <w:tcPr>
            <w:tcW w:w="160" w:type="dxa"/>
            <w:vAlign w:val="bottom"/>
            <w:shd w:val="clear" w:color="auto" w:fill="DDE6F2"/>
          </w:tcPr>
          <w:p>
            <w:pPr>
              <w:spacing w:after="0"/>
              <w:rPr>
                <w:sz w:val="8"/>
                <w:szCs w:val="8"/>
                <w:color w:val="auto"/>
              </w:rPr>
            </w:pPr>
          </w:p>
        </w:tc>
        <w:tc>
          <w:tcPr>
            <w:tcW w:w="720" w:type="dxa"/>
            <w:vAlign w:val="bottom"/>
            <w:vMerge w:val="restart"/>
            <w:shd w:val="clear" w:color="auto" w:fill="DDE6F2"/>
          </w:tcPr>
          <w:p>
            <w:pPr>
              <w:jc w:val="center"/>
              <w:spacing w:after="0"/>
              <w:rPr>
                <w:sz w:val="20"/>
                <w:szCs w:val="20"/>
                <w:color w:val="auto"/>
              </w:rPr>
            </w:pPr>
            <w:r>
              <w:rPr>
                <w:rFonts w:ascii="Arial" w:cs="Arial" w:eastAsia="Arial" w:hAnsi="Arial"/>
                <w:sz w:val="14"/>
                <w:szCs w:val="14"/>
                <w:color w:val="auto"/>
              </w:rPr>
              <w:t>2/24/2014</w:t>
            </w:r>
          </w:p>
        </w:tc>
        <w:tc>
          <w:tcPr>
            <w:tcW w:w="920" w:type="dxa"/>
            <w:vAlign w:val="bottom"/>
            <w:shd w:val="clear" w:color="auto" w:fill="DDE6F2"/>
          </w:tcPr>
          <w:p>
            <w:pPr>
              <w:spacing w:after="0"/>
              <w:rPr>
                <w:sz w:val="8"/>
                <w:szCs w:val="8"/>
                <w:color w:val="auto"/>
              </w:rPr>
            </w:pPr>
          </w:p>
        </w:tc>
        <w:tc>
          <w:tcPr>
            <w:tcW w:w="1000" w:type="dxa"/>
            <w:vAlign w:val="bottom"/>
            <w:shd w:val="clear" w:color="auto" w:fill="DDE6F2"/>
          </w:tcPr>
          <w:p>
            <w:pPr>
              <w:spacing w:after="0"/>
              <w:rPr>
                <w:sz w:val="8"/>
                <w:szCs w:val="8"/>
                <w:color w:val="auto"/>
              </w:rPr>
            </w:pPr>
          </w:p>
        </w:tc>
        <w:tc>
          <w:tcPr>
            <w:tcW w:w="960" w:type="dxa"/>
            <w:vAlign w:val="bottom"/>
            <w:shd w:val="clear" w:color="auto" w:fill="DDE6F2"/>
          </w:tcPr>
          <w:p>
            <w:pPr>
              <w:spacing w:after="0"/>
              <w:rPr>
                <w:sz w:val="8"/>
                <w:szCs w:val="8"/>
                <w:color w:val="auto"/>
              </w:rPr>
            </w:pPr>
          </w:p>
        </w:tc>
        <w:tc>
          <w:tcPr>
            <w:tcW w:w="760" w:type="dxa"/>
            <w:vAlign w:val="bottom"/>
            <w:shd w:val="clear" w:color="auto" w:fill="DDE6F2"/>
          </w:tcPr>
          <w:p>
            <w:pPr>
              <w:spacing w:after="0"/>
              <w:rPr>
                <w:sz w:val="8"/>
                <w:szCs w:val="8"/>
                <w:color w:val="auto"/>
              </w:rPr>
            </w:pPr>
          </w:p>
        </w:tc>
        <w:tc>
          <w:tcPr>
            <w:tcW w:w="900" w:type="dxa"/>
            <w:vAlign w:val="bottom"/>
            <w:shd w:val="clear" w:color="auto" w:fill="DDE6F2"/>
          </w:tcPr>
          <w:p>
            <w:pPr>
              <w:spacing w:after="0"/>
              <w:rPr>
                <w:sz w:val="8"/>
                <w:szCs w:val="8"/>
                <w:color w:val="auto"/>
              </w:rPr>
            </w:pPr>
          </w:p>
        </w:tc>
        <w:tc>
          <w:tcPr>
            <w:tcW w:w="760" w:type="dxa"/>
            <w:vAlign w:val="bottom"/>
            <w:shd w:val="clear" w:color="auto" w:fill="DDE6F2"/>
          </w:tcPr>
          <w:p>
            <w:pPr>
              <w:spacing w:after="0"/>
              <w:rPr>
                <w:sz w:val="8"/>
                <w:szCs w:val="8"/>
                <w:color w:val="auto"/>
              </w:rPr>
            </w:pPr>
          </w:p>
        </w:tc>
        <w:tc>
          <w:tcPr>
            <w:tcW w:w="900" w:type="dxa"/>
            <w:vAlign w:val="bottom"/>
            <w:vMerge w:val="restart"/>
            <w:shd w:val="clear" w:color="auto" w:fill="DDE6F2"/>
          </w:tcPr>
          <w:p>
            <w:pPr>
              <w:jc w:val="right"/>
              <w:ind w:right="53"/>
              <w:spacing w:after="0"/>
              <w:rPr>
                <w:sz w:val="20"/>
                <w:szCs w:val="20"/>
                <w:color w:val="auto"/>
              </w:rPr>
            </w:pPr>
            <w:r>
              <w:rPr>
                <w:rFonts w:ascii="Arial" w:cs="Arial" w:eastAsia="Arial" w:hAnsi="Arial"/>
                <w:sz w:val="14"/>
                <w:szCs w:val="14"/>
                <w:color w:val="auto"/>
              </w:rPr>
              <w:t>10,055</w:t>
            </w:r>
          </w:p>
        </w:tc>
        <w:tc>
          <w:tcPr>
            <w:tcW w:w="900" w:type="dxa"/>
            <w:vAlign w:val="bottom"/>
            <w:shd w:val="clear" w:color="auto" w:fill="DDE6F2"/>
          </w:tcPr>
          <w:p>
            <w:pPr>
              <w:spacing w:after="0"/>
              <w:rPr>
                <w:sz w:val="8"/>
                <w:szCs w:val="8"/>
                <w:color w:val="auto"/>
              </w:rPr>
            </w:pPr>
          </w:p>
        </w:tc>
        <w:tc>
          <w:tcPr>
            <w:tcW w:w="700" w:type="dxa"/>
            <w:vAlign w:val="bottom"/>
            <w:shd w:val="clear" w:color="auto" w:fill="DDE6F2"/>
          </w:tcPr>
          <w:p>
            <w:pPr>
              <w:spacing w:after="0"/>
              <w:rPr>
                <w:sz w:val="8"/>
                <w:szCs w:val="8"/>
                <w:color w:val="auto"/>
              </w:rPr>
            </w:pPr>
          </w:p>
        </w:tc>
        <w:tc>
          <w:tcPr>
            <w:tcW w:w="1000" w:type="dxa"/>
            <w:vAlign w:val="bottom"/>
            <w:tcBorders>
              <w:right w:val="single" w:sz="8" w:color="auto"/>
            </w:tcBorders>
            <w:vMerge w:val="restart"/>
            <w:shd w:val="clear" w:color="auto" w:fill="DDE6F2"/>
          </w:tcPr>
          <w:p>
            <w:pPr>
              <w:jc w:val="right"/>
              <w:ind w:right="170"/>
              <w:spacing w:after="0"/>
              <w:rPr>
                <w:sz w:val="20"/>
                <w:szCs w:val="20"/>
                <w:color w:val="auto"/>
              </w:rPr>
            </w:pPr>
            <w:r>
              <w:rPr>
                <w:rFonts w:ascii="Arial" w:cs="Arial" w:eastAsia="Arial" w:hAnsi="Arial"/>
                <w:sz w:val="14"/>
                <w:szCs w:val="14"/>
                <w:color w:val="auto"/>
              </w:rPr>
              <w:t>419,997</w:t>
            </w:r>
          </w:p>
        </w:tc>
        <w:tc>
          <w:tcPr>
            <w:tcW w:w="0" w:type="dxa"/>
            <w:vAlign w:val="bottom"/>
          </w:tcPr>
          <w:p>
            <w:pPr>
              <w:spacing w:after="0"/>
              <w:rPr>
                <w:sz w:val="1"/>
                <w:szCs w:val="1"/>
                <w:color w:val="auto"/>
              </w:rPr>
            </w:pPr>
          </w:p>
        </w:tc>
      </w:tr>
      <w:tr>
        <w:trPr>
          <w:trHeight w:val="66"/>
        </w:trPr>
        <w:tc>
          <w:tcPr>
            <w:tcW w:w="1760" w:type="dxa"/>
            <w:vAlign w:val="bottom"/>
            <w:tcBorders>
              <w:left w:val="single" w:sz="8" w:color="auto"/>
            </w:tcBorders>
          </w:tcPr>
          <w:p>
            <w:pPr>
              <w:spacing w:after="0"/>
              <w:rPr>
                <w:sz w:val="5"/>
                <w:szCs w:val="5"/>
                <w:color w:val="auto"/>
              </w:rPr>
            </w:pPr>
          </w:p>
        </w:tc>
        <w:tc>
          <w:tcPr>
            <w:tcW w:w="160" w:type="dxa"/>
            <w:vAlign w:val="bottom"/>
            <w:shd w:val="clear" w:color="auto" w:fill="DDE6F2"/>
          </w:tcPr>
          <w:p>
            <w:pPr>
              <w:spacing w:after="0"/>
              <w:rPr>
                <w:sz w:val="5"/>
                <w:szCs w:val="5"/>
                <w:color w:val="auto"/>
              </w:rPr>
            </w:pPr>
          </w:p>
        </w:tc>
        <w:tc>
          <w:tcPr>
            <w:tcW w:w="720" w:type="dxa"/>
            <w:vAlign w:val="bottom"/>
            <w:vMerge w:val="continue"/>
            <w:shd w:val="clear" w:color="auto" w:fill="DDE6F2"/>
          </w:tcPr>
          <w:p>
            <w:pPr>
              <w:spacing w:after="0"/>
              <w:rPr>
                <w:sz w:val="5"/>
                <w:szCs w:val="5"/>
                <w:color w:val="auto"/>
              </w:rPr>
            </w:pPr>
          </w:p>
        </w:tc>
        <w:tc>
          <w:tcPr>
            <w:tcW w:w="920" w:type="dxa"/>
            <w:vAlign w:val="bottom"/>
            <w:shd w:val="clear" w:color="auto" w:fill="DDE6F2"/>
          </w:tcPr>
          <w:p>
            <w:pPr>
              <w:spacing w:after="0"/>
              <w:rPr>
                <w:sz w:val="5"/>
                <w:szCs w:val="5"/>
                <w:color w:val="auto"/>
              </w:rPr>
            </w:pPr>
          </w:p>
        </w:tc>
        <w:tc>
          <w:tcPr>
            <w:tcW w:w="1000" w:type="dxa"/>
            <w:vAlign w:val="bottom"/>
            <w:shd w:val="clear" w:color="auto" w:fill="DDE6F2"/>
          </w:tcPr>
          <w:p>
            <w:pPr>
              <w:spacing w:after="0"/>
              <w:rPr>
                <w:sz w:val="5"/>
                <w:szCs w:val="5"/>
                <w:color w:val="auto"/>
              </w:rPr>
            </w:pPr>
          </w:p>
        </w:tc>
        <w:tc>
          <w:tcPr>
            <w:tcW w:w="960" w:type="dxa"/>
            <w:vAlign w:val="bottom"/>
            <w:shd w:val="clear" w:color="auto" w:fill="DDE6F2"/>
          </w:tcPr>
          <w:p>
            <w:pPr>
              <w:spacing w:after="0"/>
              <w:rPr>
                <w:sz w:val="5"/>
                <w:szCs w:val="5"/>
                <w:color w:val="auto"/>
              </w:rPr>
            </w:pPr>
          </w:p>
        </w:tc>
        <w:tc>
          <w:tcPr>
            <w:tcW w:w="760" w:type="dxa"/>
            <w:vAlign w:val="bottom"/>
            <w:shd w:val="clear" w:color="auto" w:fill="DDE6F2"/>
          </w:tcPr>
          <w:p>
            <w:pPr>
              <w:spacing w:after="0"/>
              <w:rPr>
                <w:sz w:val="5"/>
                <w:szCs w:val="5"/>
                <w:color w:val="auto"/>
              </w:rPr>
            </w:pPr>
          </w:p>
        </w:tc>
        <w:tc>
          <w:tcPr>
            <w:tcW w:w="900" w:type="dxa"/>
            <w:vAlign w:val="bottom"/>
            <w:shd w:val="clear" w:color="auto" w:fill="DDE6F2"/>
          </w:tcPr>
          <w:p>
            <w:pPr>
              <w:spacing w:after="0"/>
              <w:rPr>
                <w:sz w:val="5"/>
                <w:szCs w:val="5"/>
                <w:color w:val="auto"/>
              </w:rPr>
            </w:pPr>
          </w:p>
        </w:tc>
        <w:tc>
          <w:tcPr>
            <w:tcW w:w="760" w:type="dxa"/>
            <w:vAlign w:val="bottom"/>
            <w:shd w:val="clear" w:color="auto" w:fill="DDE6F2"/>
          </w:tcPr>
          <w:p>
            <w:pPr>
              <w:spacing w:after="0"/>
              <w:rPr>
                <w:sz w:val="5"/>
                <w:szCs w:val="5"/>
                <w:color w:val="auto"/>
              </w:rPr>
            </w:pPr>
          </w:p>
        </w:tc>
        <w:tc>
          <w:tcPr>
            <w:tcW w:w="900" w:type="dxa"/>
            <w:vAlign w:val="bottom"/>
            <w:vMerge w:val="continue"/>
            <w:shd w:val="clear" w:color="auto" w:fill="DDE6F2"/>
          </w:tcPr>
          <w:p>
            <w:pPr>
              <w:spacing w:after="0"/>
              <w:rPr>
                <w:sz w:val="5"/>
                <w:szCs w:val="5"/>
                <w:color w:val="auto"/>
              </w:rPr>
            </w:pPr>
          </w:p>
        </w:tc>
        <w:tc>
          <w:tcPr>
            <w:tcW w:w="900" w:type="dxa"/>
            <w:vAlign w:val="bottom"/>
            <w:shd w:val="clear" w:color="auto" w:fill="DDE6F2"/>
          </w:tcPr>
          <w:p>
            <w:pPr>
              <w:spacing w:after="0"/>
              <w:rPr>
                <w:sz w:val="5"/>
                <w:szCs w:val="5"/>
                <w:color w:val="auto"/>
              </w:rPr>
            </w:pPr>
          </w:p>
        </w:tc>
        <w:tc>
          <w:tcPr>
            <w:tcW w:w="700" w:type="dxa"/>
            <w:vAlign w:val="bottom"/>
            <w:shd w:val="clear" w:color="auto" w:fill="DDE6F2"/>
          </w:tcPr>
          <w:p>
            <w:pPr>
              <w:spacing w:after="0"/>
              <w:rPr>
                <w:sz w:val="5"/>
                <w:szCs w:val="5"/>
                <w:color w:val="auto"/>
              </w:rPr>
            </w:pPr>
          </w:p>
        </w:tc>
        <w:tc>
          <w:tcPr>
            <w:tcW w:w="1000" w:type="dxa"/>
            <w:vAlign w:val="bottom"/>
            <w:tcBorders>
              <w:right w:val="single" w:sz="8" w:color="auto"/>
            </w:tcBorders>
            <w:vMerge w:val="continue"/>
            <w:shd w:val="clear" w:color="auto" w:fill="DDE6F2"/>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bottom w:val="single" w:sz="8" w:color="auto"/>
            </w:tcBorders>
          </w:tcPr>
          <w:p>
            <w:pPr>
              <w:spacing w:after="0"/>
              <w:rPr>
                <w:sz w:val="14"/>
                <w:szCs w:val="14"/>
                <w:color w:val="auto"/>
              </w:rPr>
            </w:pPr>
          </w:p>
        </w:tc>
        <w:tc>
          <w:tcPr>
            <w:tcW w:w="160" w:type="dxa"/>
            <w:vAlign w:val="bottom"/>
            <w:tcBorders>
              <w:bottom w:val="single" w:sz="8" w:color="auto"/>
            </w:tcBorders>
            <w:shd w:val="clear" w:color="auto" w:fill="DDE6F2"/>
          </w:tcPr>
          <w:p>
            <w:pPr>
              <w:spacing w:after="0"/>
              <w:rPr>
                <w:sz w:val="14"/>
                <w:szCs w:val="14"/>
                <w:color w:val="auto"/>
              </w:rPr>
            </w:pPr>
          </w:p>
        </w:tc>
        <w:tc>
          <w:tcPr>
            <w:tcW w:w="720" w:type="dxa"/>
            <w:vAlign w:val="bottom"/>
            <w:tcBorders>
              <w:bottom w:val="single" w:sz="8" w:color="auto"/>
            </w:tcBorders>
            <w:shd w:val="clear" w:color="auto" w:fill="DDE6F2"/>
          </w:tcPr>
          <w:p>
            <w:pPr>
              <w:jc w:val="center"/>
              <w:spacing w:after="0"/>
              <w:rPr>
                <w:sz w:val="20"/>
                <w:szCs w:val="20"/>
                <w:color w:val="auto"/>
              </w:rPr>
            </w:pPr>
            <w:r>
              <w:rPr>
                <w:rFonts w:ascii="Arial" w:cs="Arial" w:eastAsia="Arial" w:hAnsi="Arial"/>
                <w:sz w:val="14"/>
                <w:szCs w:val="14"/>
                <w:color w:val="auto"/>
              </w:rPr>
              <w:t>10/25/2014</w:t>
            </w:r>
          </w:p>
        </w:tc>
        <w:tc>
          <w:tcPr>
            <w:tcW w:w="920" w:type="dxa"/>
            <w:vAlign w:val="bottom"/>
            <w:tcBorders>
              <w:bottom w:val="single" w:sz="8" w:color="auto"/>
            </w:tcBorders>
            <w:shd w:val="clear" w:color="auto" w:fill="DDE6F2"/>
          </w:tcPr>
          <w:p>
            <w:pPr>
              <w:spacing w:after="0"/>
              <w:rPr>
                <w:sz w:val="14"/>
                <w:szCs w:val="14"/>
                <w:color w:val="auto"/>
              </w:rPr>
            </w:pPr>
          </w:p>
        </w:tc>
        <w:tc>
          <w:tcPr>
            <w:tcW w:w="1000" w:type="dxa"/>
            <w:vAlign w:val="bottom"/>
            <w:tcBorders>
              <w:bottom w:val="single" w:sz="8" w:color="auto"/>
            </w:tcBorders>
            <w:shd w:val="clear" w:color="auto" w:fill="DDE6F2"/>
          </w:tcPr>
          <w:p>
            <w:pPr>
              <w:spacing w:after="0"/>
              <w:rPr>
                <w:sz w:val="14"/>
                <w:szCs w:val="14"/>
                <w:color w:val="auto"/>
              </w:rPr>
            </w:pPr>
          </w:p>
        </w:tc>
        <w:tc>
          <w:tcPr>
            <w:tcW w:w="960" w:type="dxa"/>
            <w:vAlign w:val="bottom"/>
            <w:tcBorders>
              <w:bottom w:val="single" w:sz="8" w:color="auto"/>
            </w:tcBorders>
            <w:shd w:val="clear" w:color="auto" w:fill="DDE6F2"/>
          </w:tcPr>
          <w:p>
            <w:pPr>
              <w:spacing w:after="0"/>
              <w:rPr>
                <w:sz w:val="14"/>
                <w:szCs w:val="14"/>
                <w:color w:val="auto"/>
              </w:rPr>
            </w:pPr>
          </w:p>
        </w:tc>
        <w:tc>
          <w:tcPr>
            <w:tcW w:w="760" w:type="dxa"/>
            <w:vAlign w:val="bottom"/>
            <w:tcBorders>
              <w:bottom w:val="single" w:sz="8" w:color="auto"/>
            </w:tcBorders>
            <w:shd w:val="clear" w:color="auto" w:fill="DDE6F2"/>
          </w:tcPr>
          <w:p>
            <w:pPr>
              <w:jc w:val="right"/>
              <w:spacing w:after="0"/>
              <w:rPr>
                <w:sz w:val="20"/>
                <w:szCs w:val="20"/>
                <w:color w:val="auto"/>
              </w:rPr>
            </w:pPr>
            <w:r>
              <w:rPr>
                <w:rFonts w:ascii="Arial" w:cs="Arial" w:eastAsia="Arial" w:hAnsi="Arial"/>
                <w:sz w:val="14"/>
                <w:szCs w:val="14"/>
                <w:color w:val="auto"/>
              </w:rPr>
              <w:t>0</w:t>
            </w:r>
          </w:p>
        </w:tc>
        <w:tc>
          <w:tcPr>
            <w:tcW w:w="900" w:type="dxa"/>
            <w:vAlign w:val="bottom"/>
            <w:tcBorders>
              <w:bottom w:val="single" w:sz="8" w:color="auto"/>
            </w:tcBorders>
            <w:shd w:val="clear" w:color="auto" w:fill="DDE6F2"/>
          </w:tcPr>
          <w:p>
            <w:pPr>
              <w:ind w:left="260"/>
              <w:spacing w:after="0"/>
              <w:rPr>
                <w:sz w:val="20"/>
                <w:szCs w:val="20"/>
                <w:color w:val="auto"/>
              </w:rPr>
            </w:pPr>
            <w:r>
              <w:rPr>
                <w:rFonts w:ascii="Arial" w:cs="Arial" w:eastAsia="Arial" w:hAnsi="Arial"/>
                <w:sz w:val="14"/>
                <w:szCs w:val="14"/>
                <w:color w:val="auto"/>
              </w:rPr>
              <w:t>18,746</w:t>
            </w:r>
          </w:p>
        </w:tc>
        <w:tc>
          <w:tcPr>
            <w:tcW w:w="760" w:type="dxa"/>
            <w:vAlign w:val="bottom"/>
            <w:tcBorders>
              <w:bottom w:val="single" w:sz="8" w:color="auto"/>
            </w:tcBorders>
            <w:shd w:val="clear" w:color="auto" w:fill="DDE6F2"/>
          </w:tcPr>
          <w:p>
            <w:pPr>
              <w:jc w:val="right"/>
              <w:ind w:right="49"/>
              <w:spacing w:after="0"/>
              <w:rPr>
                <w:sz w:val="20"/>
                <w:szCs w:val="20"/>
                <w:color w:val="auto"/>
              </w:rPr>
            </w:pPr>
            <w:r>
              <w:rPr>
                <w:rFonts w:ascii="Arial" w:cs="Arial" w:eastAsia="Arial" w:hAnsi="Arial"/>
                <w:sz w:val="14"/>
                <w:szCs w:val="14"/>
                <w:color w:val="auto"/>
              </w:rPr>
              <w:t>93,730</w:t>
            </w:r>
          </w:p>
        </w:tc>
        <w:tc>
          <w:tcPr>
            <w:tcW w:w="900" w:type="dxa"/>
            <w:vAlign w:val="bottom"/>
            <w:tcBorders>
              <w:bottom w:val="single" w:sz="8" w:color="auto"/>
            </w:tcBorders>
            <w:shd w:val="clear" w:color="auto" w:fill="DDE6F2"/>
          </w:tcPr>
          <w:p>
            <w:pPr>
              <w:spacing w:after="0"/>
              <w:rPr>
                <w:sz w:val="14"/>
                <w:szCs w:val="14"/>
                <w:color w:val="auto"/>
              </w:rPr>
            </w:pPr>
          </w:p>
        </w:tc>
        <w:tc>
          <w:tcPr>
            <w:tcW w:w="900" w:type="dxa"/>
            <w:vAlign w:val="bottom"/>
            <w:tcBorders>
              <w:bottom w:val="single" w:sz="8" w:color="auto"/>
            </w:tcBorders>
            <w:shd w:val="clear" w:color="auto" w:fill="DDE6F2"/>
          </w:tcPr>
          <w:p>
            <w:pPr>
              <w:spacing w:after="0"/>
              <w:rPr>
                <w:sz w:val="14"/>
                <w:szCs w:val="14"/>
                <w:color w:val="auto"/>
              </w:rPr>
            </w:pPr>
          </w:p>
        </w:tc>
        <w:tc>
          <w:tcPr>
            <w:tcW w:w="700" w:type="dxa"/>
            <w:vAlign w:val="bottom"/>
            <w:tcBorders>
              <w:bottom w:val="single" w:sz="8" w:color="auto"/>
            </w:tcBorders>
            <w:shd w:val="clear" w:color="auto" w:fill="DDE6F2"/>
          </w:tcPr>
          <w:p>
            <w:pPr>
              <w:spacing w:after="0"/>
              <w:rPr>
                <w:sz w:val="14"/>
                <w:szCs w:val="14"/>
                <w:color w:val="auto"/>
              </w:rPr>
            </w:pPr>
          </w:p>
        </w:tc>
        <w:tc>
          <w:tcPr>
            <w:tcW w:w="1000" w:type="dxa"/>
            <w:vAlign w:val="bottom"/>
            <w:tcBorders>
              <w:bottom w:val="single" w:sz="8" w:color="auto"/>
              <w:right w:val="single" w:sz="8" w:color="auto"/>
            </w:tcBorders>
            <w:shd w:val="clear" w:color="auto" w:fill="DDE6F2"/>
          </w:tcPr>
          <w:p>
            <w:pPr>
              <w:jc w:val="right"/>
              <w:ind w:right="170"/>
              <w:spacing w:after="0"/>
              <w:rPr>
                <w:sz w:val="20"/>
                <w:szCs w:val="20"/>
                <w:color w:val="auto"/>
              </w:rPr>
            </w:pPr>
            <w:r>
              <w:rPr>
                <w:rFonts w:ascii="Arial" w:cs="Arial" w:eastAsia="Arial" w:hAnsi="Arial"/>
                <w:sz w:val="14"/>
                <w:szCs w:val="14"/>
                <w:color w:val="auto"/>
              </w:rPr>
              <w:t>1,215,116</w:t>
            </w: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Note: Information provided is as of the close of market on December 31, 2014.</w:t>
      </w:r>
    </w:p>
    <w:p>
      <w:pPr>
        <w:spacing w:after="0" w:line="123"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Non-Equity Incentive Awards. Awards from the 2014 AIP are shown.</w:t>
      </w:r>
    </w:p>
    <w:p>
      <w:pPr>
        <w:spacing w:after="0" w:line="1" w:lineRule="exact"/>
        <w:rPr>
          <w:rFonts w:ascii="Arial" w:cs="Arial" w:eastAsia="Arial" w:hAnsi="Arial"/>
          <w:sz w:val="14"/>
          <w:szCs w:val="14"/>
          <w:color w:val="auto"/>
        </w:rPr>
      </w:pPr>
    </w:p>
    <w:p>
      <w:pPr>
        <w:ind w:left="1120" w:hanging="315"/>
        <w:spacing w:after="0"/>
        <w:tabs>
          <w:tab w:leader="none" w:pos="1120" w:val="left"/>
        </w:tabs>
        <w:numPr>
          <w:ilvl w:val="1"/>
          <w:numId w:val="48"/>
        </w:numPr>
        <w:rPr>
          <w:rFonts w:ascii="Arial" w:cs="Arial" w:eastAsia="Arial" w:hAnsi="Arial"/>
          <w:sz w:val="14"/>
          <w:szCs w:val="14"/>
          <w:color w:val="auto"/>
        </w:rPr>
      </w:pPr>
      <w:r>
        <w:rPr>
          <w:rFonts w:ascii="Arial" w:cs="Arial" w:eastAsia="Arial" w:hAnsi="Arial"/>
          <w:sz w:val="14"/>
          <w:szCs w:val="14"/>
          <w:color w:val="auto"/>
        </w:rPr>
        <w:t>Threshold: At threshold, the 2014 AIP awards are zero</w:t>
      </w:r>
    </w:p>
    <w:p>
      <w:pPr>
        <w:spacing w:after="0" w:line="1" w:lineRule="exact"/>
        <w:rPr>
          <w:rFonts w:ascii="Arial" w:cs="Arial" w:eastAsia="Arial" w:hAnsi="Arial"/>
          <w:sz w:val="14"/>
          <w:szCs w:val="14"/>
          <w:color w:val="auto"/>
        </w:rPr>
      </w:pPr>
    </w:p>
    <w:p>
      <w:pPr>
        <w:ind w:left="1120" w:hanging="315"/>
        <w:spacing w:after="0"/>
        <w:tabs>
          <w:tab w:leader="none" w:pos="1120" w:val="left"/>
        </w:tabs>
        <w:numPr>
          <w:ilvl w:val="1"/>
          <w:numId w:val="48"/>
        </w:numPr>
        <w:rPr>
          <w:rFonts w:ascii="Arial" w:cs="Arial" w:eastAsia="Arial" w:hAnsi="Arial"/>
          <w:sz w:val="14"/>
          <w:szCs w:val="14"/>
          <w:color w:val="auto"/>
        </w:rPr>
      </w:pPr>
      <w:r>
        <w:rPr>
          <w:rFonts w:ascii="Arial" w:cs="Arial" w:eastAsia="Arial" w:hAnsi="Arial"/>
          <w:sz w:val="14"/>
          <w:szCs w:val="14"/>
          <w:color w:val="auto"/>
        </w:rPr>
        <w:t>Target: The amount shown is based upon a business performance attainment of 100%.</w:t>
      </w:r>
    </w:p>
    <w:p>
      <w:pPr>
        <w:spacing w:after="0" w:line="1" w:lineRule="exact"/>
        <w:rPr>
          <w:rFonts w:ascii="Arial" w:cs="Arial" w:eastAsia="Arial" w:hAnsi="Arial"/>
          <w:sz w:val="14"/>
          <w:szCs w:val="14"/>
          <w:color w:val="auto"/>
        </w:rPr>
      </w:pPr>
    </w:p>
    <w:p>
      <w:pPr>
        <w:ind w:left="1120" w:hanging="315"/>
        <w:spacing w:after="0"/>
        <w:tabs>
          <w:tab w:leader="none" w:pos="1120" w:val="left"/>
        </w:tabs>
        <w:numPr>
          <w:ilvl w:val="1"/>
          <w:numId w:val="48"/>
        </w:numPr>
        <w:rPr>
          <w:rFonts w:ascii="Arial" w:cs="Arial" w:eastAsia="Arial" w:hAnsi="Arial"/>
          <w:sz w:val="14"/>
          <w:szCs w:val="14"/>
          <w:color w:val="auto"/>
        </w:rPr>
      </w:pPr>
      <w:r>
        <w:rPr>
          <w:rFonts w:ascii="Arial" w:cs="Arial" w:eastAsia="Arial" w:hAnsi="Arial"/>
          <w:sz w:val="14"/>
          <w:szCs w:val="14"/>
          <w:color w:val="auto"/>
        </w:rPr>
        <w:t>Maximum: The maximum amount the NEOs can receive is 250% of their AIP target.</w:t>
      </w:r>
    </w:p>
    <w:p>
      <w:pPr>
        <w:spacing w:after="0" w:line="1" w:lineRule="exact"/>
        <w:rPr>
          <w:rFonts w:ascii="Arial" w:cs="Arial" w:eastAsia="Arial" w:hAnsi="Arial"/>
          <w:sz w:val="14"/>
          <w:szCs w:val="14"/>
          <w:color w:val="auto"/>
        </w:rPr>
      </w:pPr>
    </w:p>
    <w:p>
      <w:pPr>
        <w:jc w:val="both"/>
        <w:ind w:left="340" w:right="20" w:hanging="332"/>
        <w:spacing w:after="0" w:line="250"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performance-based RSUs granted on 2/24/2014 under the 2007 Incentive Plan. Performance-based RSUs can be earned over a three-year period only if the established performance target is met and the NEO is employed on the certification date, subject to certain exceptions such as the executive’s death, disability or retirement. Under any circumstances, these shares will be distributed no earlier than the third anniversary of the grant other than due to a</w:t>
      </w:r>
    </w:p>
    <w:p>
      <w:pPr>
        <w:spacing w:after="0" w:line="123"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59</w:t>
            </w:r>
          </w:p>
        </w:tc>
      </w:tr>
    </w:tbl>
    <w:p>
      <w:pPr>
        <w:sectPr>
          <w:pgSz w:w="11900" w:h="16838" w:orient="portrait"/>
          <w:cols w:equalWidth="0" w:num="1">
            <w:col w:w="11440"/>
          </w:cols>
          <w:pgMar w:left="240" w:top="459" w:right="2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7700"/>
        <w:spacing w:after="0"/>
        <w:rPr>
          <w:sz w:val="20"/>
          <w:szCs w:val="20"/>
          <w:color w:val="auto"/>
        </w:rPr>
      </w:pPr>
      <w:r>
        <w:rPr>
          <w:rFonts w:ascii="Arial" w:cs="Arial" w:eastAsia="Arial" w:hAnsi="Arial"/>
          <w:sz w:val="9"/>
          <w:szCs w:val="9"/>
          <w:color w:val="FFFFFF"/>
        </w:rPr>
        <w:t xml:space="preserve">P </w:t>
      </w:r>
      <w:r>
        <w:rPr>
          <w:sz w:val="1"/>
          <w:szCs w:val="1"/>
          <w:color w:val="auto"/>
        </w:rPr>
        <w:drawing>
          <wp:inline distT="0" distB="0" distL="0" distR="0">
            <wp:extent cx="2280920" cy="1714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80920" cy="171450"/>
                    </a:xfrm>
                    <a:prstGeom prst="rect">
                      <a:avLst/>
                    </a:prstGeom>
                    <a:noFill/>
                    <a:ln>
                      <a:noFill/>
                    </a:ln>
                  </pic:spPr>
                </pic:pic>
              </a:graphicData>
            </a:graphic>
          </wp:inline>
        </w:drawing>
      </w:r>
    </w:p>
    <w:p>
      <w:pPr>
        <w:spacing w:after="0" w:line="175" w:lineRule="exact"/>
        <w:rPr>
          <w:sz w:val="20"/>
          <w:szCs w:val="20"/>
          <w:color w:val="auto"/>
        </w:rPr>
      </w:pPr>
    </w:p>
    <w:p>
      <w:pPr>
        <w:jc w:val="both"/>
        <w:ind w:left="340"/>
        <w:spacing w:after="0" w:line="241" w:lineRule="auto"/>
        <w:rPr>
          <w:sz w:val="20"/>
          <w:szCs w:val="20"/>
          <w:color w:val="auto"/>
        </w:rPr>
      </w:pPr>
      <w:r>
        <w:rPr>
          <w:rFonts w:ascii="Arial" w:cs="Arial" w:eastAsia="Arial" w:hAnsi="Arial"/>
          <w:sz w:val="14"/>
          <w:szCs w:val="14"/>
          <w:color w:val="auto"/>
        </w:rPr>
        <w:t>termination upon a change in control. If performance plan goals are exceeded, the NEO can receive up to 200% of target. If plan threshold goals are not met, the NEO’s awards are cancelled in their entirety.</w:t>
      </w:r>
    </w:p>
    <w:p>
      <w:pPr>
        <w:spacing w:after="0" w:line="1" w:lineRule="exact"/>
        <w:rPr>
          <w:sz w:val="20"/>
          <w:szCs w:val="20"/>
          <w:color w:val="auto"/>
        </w:rPr>
      </w:pPr>
    </w:p>
    <w:p>
      <w:pPr>
        <w:jc w:val="both"/>
        <w:ind w:left="340" w:hanging="332"/>
        <w:spacing w:after="0" w:line="24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a 10/25/2014 award of Leveraged RSUs granted under the 2007 Incentive Plan. The award incents the growth of TSR over a three-year period. In order for the award to generate value for the recipient, the annualized absolute TSR over the three-year period must be at least 7%. At the 7% annualized TSR result, the recipient would receive half of the units granted, regardless of the performance relative to our 2015 comparator company group. A result below 7% annualized TSR will not generate any distribution to the award recipients and the awards will be cancelled in their entirety. For each full percentage point the annualized absolute TSR improves above the 7% threshold, the number of units vesting will increase by a factor of the original unit award amount. This factor amount will vary based on Williams TSR performance relative to our 2015 comparator company group. When Williams TSR over the performance period meets or exceeds the median TSR of our comparator group of companies, the number of units earned will increase by a factor of 25% of the original unit award for each 1% above a 7% annualized TSR and by 50% of the original unit award for each 1% above a 12% annualized TSR. When Williams TSR over the performance period falls below the median TSR of our comparator group of companies, the number of units earned will increase by a factor of 10% of the original award for each 1% above a 7% annualized TSR. While the awards will vest on 10/25/2017, any earned units are scheduled to distribute one-third on 10/25/2017, one-third on 10/25/2018, and one-third on 10/25/2019. The earned award may not exceed five times the number of original units granted or eight times the target value of the award in dollars.</w:t>
      </w:r>
    </w:p>
    <w:p>
      <w:pPr>
        <w:spacing w:after="0" w:line="166" w:lineRule="exact"/>
        <w:rPr>
          <w:rFonts w:ascii="Arial" w:cs="Arial" w:eastAsia="Arial" w:hAnsi="Arial"/>
          <w:sz w:val="14"/>
          <w:szCs w:val="14"/>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time-based RSUs granted under the 2007 Incentive Plan. Time-based units vest three-years from the grant date of 2/24/2014 on 2/24/2017.</w:t>
      </w:r>
    </w:p>
    <w:p>
      <w:pPr>
        <w:spacing w:after="0" w:line="1"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stock options granted under the 2007 Incentive Plan. Stock options granted in 2014 become exercisable in three equal annual installments beginning one-year after the grant date. One-third of the options vested on 2/24/2015, another one-third will vest on 2/24/2016, with the final one-third vesting on 2/24/2017. Once vested, stock options are exercisable for a period of 10 years from the grant date.</w:t>
      </w:r>
    </w:p>
    <w:p>
      <w:pPr>
        <w:spacing w:after="0" w:line="123"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60</w:t>
            </w: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205740</wp:posOffset>
            </wp:positionV>
            <wp:extent cx="228092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809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Outstanding Equity Awards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outstanding equity awards held by the NEOs at the end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54875" cy="45192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451929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426"/>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Stock Awards</w:t>
            </w:r>
          </w:p>
        </w:tc>
        <w:tc>
          <w:tcPr>
            <w:tcW w:w="7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jc w:val="right"/>
              <w:ind w:right="16"/>
              <w:spacing w:after="0" w:line="100" w:lineRule="exact"/>
              <w:rPr>
                <w:sz w:val="20"/>
                <w:szCs w:val="20"/>
                <w:color w:val="auto"/>
              </w:rPr>
            </w:pPr>
            <w:r>
              <w:rPr>
                <w:rFonts w:ascii="Arial" w:cs="Arial" w:eastAsia="Arial" w:hAnsi="Arial"/>
                <w:sz w:val="11"/>
                <w:szCs w:val="11"/>
                <w:b w:val="1"/>
                <w:bCs w:val="1"/>
                <w:color w:val="auto"/>
              </w:rPr>
              <w:t>Equity</w:t>
            </w:r>
          </w:p>
        </w:tc>
        <w:tc>
          <w:tcPr>
            <w:tcW w:w="1020" w:type="dxa"/>
            <w:vAlign w:val="bottom"/>
          </w:tcPr>
          <w:p>
            <w:pPr>
              <w:jc w:val="right"/>
              <w:ind w:right="156"/>
              <w:spacing w:after="0" w:line="100" w:lineRule="exact"/>
              <w:rPr>
                <w:sz w:val="20"/>
                <w:szCs w:val="20"/>
                <w:color w:val="auto"/>
              </w:rPr>
            </w:pPr>
            <w:r>
              <w:rPr>
                <w:rFonts w:ascii="Arial" w:cs="Arial" w:eastAsia="Arial" w:hAnsi="Arial"/>
                <w:sz w:val="11"/>
                <w:szCs w:val="11"/>
                <w:b w:val="1"/>
                <w:bCs w:val="1"/>
                <w:color w:val="auto"/>
              </w:rPr>
              <w:t>Equity</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jc w:val="right"/>
              <w:ind w:right="16"/>
              <w:spacing w:after="0" w:line="122" w:lineRule="exact"/>
              <w:rPr>
                <w:sz w:val="20"/>
                <w:szCs w:val="20"/>
                <w:color w:val="auto"/>
              </w:rPr>
            </w:pPr>
            <w:r>
              <w:rPr>
                <w:rFonts w:ascii="Arial" w:cs="Arial" w:eastAsia="Arial" w:hAnsi="Arial"/>
                <w:sz w:val="11"/>
                <w:szCs w:val="11"/>
                <w:b w:val="1"/>
                <w:bCs w:val="1"/>
                <w:color w:val="auto"/>
              </w:rPr>
              <w:t>Incentive</w:t>
            </w:r>
          </w:p>
        </w:tc>
        <w:tc>
          <w:tcPr>
            <w:tcW w:w="1020" w:type="dxa"/>
            <w:vAlign w:val="bottom"/>
          </w:tcPr>
          <w:p>
            <w:pPr>
              <w:jc w:val="right"/>
              <w:ind w:right="156"/>
              <w:spacing w:after="0" w:line="122" w:lineRule="exact"/>
              <w:rPr>
                <w:sz w:val="20"/>
                <w:szCs w:val="20"/>
                <w:color w:val="auto"/>
              </w:rPr>
            </w:pPr>
            <w:r>
              <w:rPr>
                <w:rFonts w:ascii="Arial" w:cs="Arial" w:eastAsia="Arial" w:hAnsi="Arial"/>
                <w:sz w:val="11"/>
                <w:szCs w:val="11"/>
                <w:b w:val="1"/>
                <w:bCs w:val="1"/>
                <w:color w:val="auto"/>
              </w:rPr>
              <w:t>Incentive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Equity</w:t>
            </w: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jc w:val="right"/>
              <w:ind w:right="16"/>
              <w:spacing w:after="0" w:line="122" w:lineRule="exact"/>
              <w:rPr>
                <w:sz w:val="20"/>
                <w:szCs w:val="20"/>
                <w:color w:val="auto"/>
              </w:rPr>
            </w:pPr>
            <w:r>
              <w:rPr>
                <w:rFonts w:ascii="Arial" w:cs="Arial" w:eastAsia="Arial" w:hAnsi="Arial"/>
                <w:sz w:val="11"/>
                <w:szCs w:val="11"/>
                <w:b w:val="1"/>
                <w:bCs w:val="1"/>
                <w:color w:val="auto"/>
                <w:w w:val="94"/>
              </w:rPr>
              <w:t>Plan Awards:</w:t>
            </w:r>
          </w:p>
        </w:tc>
        <w:tc>
          <w:tcPr>
            <w:tcW w:w="1020" w:type="dxa"/>
            <w:vAlign w:val="bottom"/>
          </w:tcPr>
          <w:p>
            <w:pPr>
              <w:jc w:val="right"/>
              <w:ind w:right="156"/>
              <w:spacing w:after="0" w:line="122" w:lineRule="exact"/>
              <w:rPr>
                <w:sz w:val="20"/>
                <w:szCs w:val="20"/>
                <w:color w:val="auto"/>
              </w:rPr>
            </w:pPr>
            <w:r>
              <w:rPr>
                <w:rFonts w:ascii="Arial" w:cs="Arial" w:eastAsia="Arial" w:hAnsi="Arial"/>
                <w:sz w:val="11"/>
                <w:szCs w:val="11"/>
                <w:b w:val="1"/>
                <w:bCs w:val="1"/>
                <w:color w:val="auto"/>
              </w:rPr>
              <w:t>Plan Awards: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Incentive</w:t>
            </w: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jc w:val="right"/>
              <w:ind w:right="16"/>
              <w:spacing w:after="0" w:line="122" w:lineRule="exact"/>
              <w:rPr>
                <w:sz w:val="20"/>
                <w:szCs w:val="20"/>
                <w:color w:val="auto"/>
              </w:rPr>
            </w:pPr>
            <w:r>
              <w:rPr>
                <w:rFonts w:ascii="Arial" w:cs="Arial" w:eastAsia="Arial" w:hAnsi="Arial"/>
                <w:sz w:val="11"/>
                <w:szCs w:val="11"/>
                <w:b w:val="1"/>
                <w:bCs w:val="1"/>
                <w:color w:val="auto"/>
              </w:rPr>
              <w:t>Number of</w:t>
            </w:r>
          </w:p>
        </w:tc>
        <w:tc>
          <w:tcPr>
            <w:tcW w:w="1020" w:type="dxa"/>
            <w:vAlign w:val="bottom"/>
          </w:tcPr>
          <w:p>
            <w:pPr>
              <w:jc w:val="right"/>
              <w:ind w:right="156"/>
              <w:spacing w:after="0" w:line="122" w:lineRule="exact"/>
              <w:rPr>
                <w:sz w:val="20"/>
                <w:szCs w:val="20"/>
                <w:color w:val="auto"/>
              </w:rPr>
            </w:pPr>
            <w:r>
              <w:rPr>
                <w:rFonts w:ascii="Arial" w:cs="Arial" w:eastAsia="Arial" w:hAnsi="Arial"/>
                <w:sz w:val="11"/>
                <w:szCs w:val="11"/>
                <w:b w:val="1"/>
                <w:bCs w:val="1"/>
                <w:color w:val="auto"/>
              </w:rPr>
              <w:t>Market 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Plan Awards:</w:t>
            </w: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Market</w:t>
            </w:r>
          </w:p>
        </w:tc>
        <w:tc>
          <w:tcPr>
            <w:tcW w:w="760" w:type="dxa"/>
            <w:vAlign w:val="bottom"/>
          </w:tcPr>
          <w:p>
            <w:pPr>
              <w:jc w:val="right"/>
              <w:ind w:right="16"/>
              <w:spacing w:after="0" w:line="122" w:lineRule="exact"/>
              <w:rPr>
                <w:sz w:val="20"/>
                <w:szCs w:val="20"/>
                <w:color w:val="auto"/>
              </w:rPr>
            </w:pPr>
            <w:r>
              <w:rPr>
                <w:rFonts w:ascii="Arial" w:cs="Arial" w:eastAsia="Arial" w:hAnsi="Arial"/>
                <w:sz w:val="11"/>
                <w:szCs w:val="11"/>
                <w:b w:val="1"/>
                <w:bCs w:val="1"/>
                <w:color w:val="auto"/>
              </w:rPr>
              <w:t>Unearned</w:t>
            </w:r>
          </w:p>
        </w:tc>
        <w:tc>
          <w:tcPr>
            <w:tcW w:w="1020" w:type="dxa"/>
            <w:vAlign w:val="bottom"/>
          </w:tcPr>
          <w:p>
            <w:pPr>
              <w:jc w:val="right"/>
              <w:ind w:right="156"/>
              <w:spacing w:after="0" w:line="122" w:lineRule="exact"/>
              <w:rPr>
                <w:sz w:val="20"/>
                <w:szCs w:val="20"/>
                <w:color w:val="auto"/>
              </w:rPr>
            </w:pPr>
            <w:r>
              <w:rPr>
                <w:rFonts w:ascii="Arial" w:cs="Arial" w:eastAsia="Arial" w:hAnsi="Arial"/>
                <w:sz w:val="11"/>
                <w:szCs w:val="11"/>
                <w:b w:val="1"/>
                <w:bCs w:val="1"/>
                <w:color w:val="auto"/>
              </w:rPr>
              <w:t>Payout Value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rPr>
              <w:t>Number of</w:t>
            </w:r>
          </w:p>
        </w:tc>
        <w:tc>
          <w:tcPr>
            <w:tcW w:w="240" w:type="dxa"/>
            <w:vAlign w:val="bottom"/>
          </w:tcPr>
          <w:p>
            <w:pPr>
              <w:spacing w:after="0"/>
              <w:rPr>
                <w:sz w:val="10"/>
                <w:szCs w:val="10"/>
                <w:color w:val="auto"/>
              </w:rPr>
            </w:pPr>
          </w:p>
        </w:tc>
        <w:tc>
          <w:tcPr>
            <w:tcW w:w="820" w:type="dxa"/>
            <w:vAlign w:val="bottom"/>
          </w:tcPr>
          <w:p>
            <w:pPr>
              <w:jc w:val="right"/>
              <w:ind w:right="76"/>
              <w:spacing w:after="0" w:line="122" w:lineRule="exact"/>
              <w:rPr>
                <w:sz w:val="20"/>
                <w:szCs w:val="20"/>
                <w:color w:val="auto"/>
              </w:rPr>
            </w:pPr>
            <w:r>
              <w:rPr>
                <w:rFonts w:ascii="Arial" w:cs="Arial" w:eastAsia="Arial" w:hAnsi="Arial"/>
                <w:sz w:val="11"/>
                <w:szCs w:val="11"/>
                <w:b w:val="1"/>
                <w:bCs w:val="1"/>
                <w:color w:val="auto"/>
              </w:rPr>
              <w:t>Number of</w:t>
            </w:r>
          </w:p>
        </w:tc>
        <w:tc>
          <w:tcPr>
            <w:tcW w:w="9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jc w:val="right"/>
              <w:ind w:right="23"/>
              <w:spacing w:after="0" w:line="122" w:lineRule="exact"/>
              <w:rPr>
                <w:sz w:val="20"/>
                <w:szCs w:val="20"/>
                <w:color w:val="auto"/>
              </w:rPr>
            </w:pPr>
            <w:r>
              <w:rPr>
                <w:rFonts w:ascii="Arial" w:cs="Arial" w:eastAsia="Arial" w:hAnsi="Arial"/>
                <w:sz w:val="11"/>
                <w:szCs w:val="11"/>
                <w:b w:val="1"/>
                <w:bCs w:val="1"/>
                <w:color w:val="auto"/>
              </w:rPr>
              <w:t>Number of</w:t>
            </w:r>
          </w:p>
        </w:tc>
        <w:tc>
          <w:tcPr>
            <w:tcW w:w="8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Value of</w:t>
            </w:r>
          </w:p>
        </w:tc>
        <w:tc>
          <w:tcPr>
            <w:tcW w:w="760" w:type="dxa"/>
            <w:vAlign w:val="bottom"/>
          </w:tcPr>
          <w:p>
            <w:pPr>
              <w:jc w:val="right"/>
              <w:ind w:right="16"/>
              <w:spacing w:after="0" w:line="122" w:lineRule="exact"/>
              <w:rPr>
                <w:sz w:val="20"/>
                <w:szCs w:val="20"/>
                <w:color w:val="auto"/>
              </w:rPr>
            </w:pPr>
            <w:r>
              <w:rPr>
                <w:rFonts w:ascii="Arial" w:cs="Arial" w:eastAsia="Arial" w:hAnsi="Arial"/>
                <w:sz w:val="11"/>
                <w:szCs w:val="11"/>
                <w:b w:val="1"/>
                <w:bCs w:val="1"/>
                <w:color w:val="auto"/>
              </w:rPr>
              <w:t>Shares,</w:t>
            </w:r>
          </w:p>
        </w:tc>
        <w:tc>
          <w:tcPr>
            <w:tcW w:w="1020" w:type="dxa"/>
            <w:vAlign w:val="bottom"/>
          </w:tcPr>
          <w:p>
            <w:pPr>
              <w:jc w:val="right"/>
              <w:ind w:right="156"/>
              <w:spacing w:after="0" w:line="122" w:lineRule="exact"/>
              <w:rPr>
                <w:sz w:val="20"/>
                <w:szCs w:val="20"/>
                <w:color w:val="auto"/>
              </w:rPr>
            </w:pPr>
            <w:r>
              <w:rPr>
                <w:rFonts w:ascii="Arial" w:cs="Arial" w:eastAsia="Arial" w:hAnsi="Arial"/>
                <w:sz w:val="11"/>
                <w:szCs w:val="11"/>
                <w:b w:val="1"/>
                <w:bCs w:val="1"/>
                <w:color w:val="auto"/>
              </w:rPr>
              <w:t>of Unearned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820" w:type="dxa"/>
            <w:vAlign w:val="bottom"/>
          </w:tcPr>
          <w:p>
            <w:pPr>
              <w:jc w:val="right"/>
              <w:ind w:right="76"/>
              <w:spacing w:after="0" w:line="122"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jc w:val="right"/>
              <w:ind w:right="23"/>
              <w:spacing w:after="0" w:line="122" w:lineRule="exact"/>
              <w:rPr>
                <w:sz w:val="20"/>
                <w:szCs w:val="20"/>
                <w:color w:val="auto"/>
              </w:rPr>
            </w:pPr>
            <w:r>
              <w:rPr>
                <w:rFonts w:ascii="Arial" w:cs="Arial" w:eastAsia="Arial" w:hAnsi="Arial"/>
                <w:sz w:val="11"/>
                <w:szCs w:val="11"/>
                <w:b w:val="1"/>
                <w:bCs w:val="1"/>
                <w:color w:val="auto"/>
              </w:rPr>
              <w:t>Shares or</w:t>
            </w:r>
          </w:p>
        </w:tc>
        <w:tc>
          <w:tcPr>
            <w:tcW w:w="8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Shares or</w:t>
            </w:r>
          </w:p>
        </w:tc>
        <w:tc>
          <w:tcPr>
            <w:tcW w:w="760" w:type="dxa"/>
            <w:vAlign w:val="bottom"/>
          </w:tcPr>
          <w:p>
            <w:pPr>
              <w:jc w:val="right"/>
              <w:ind w:right="16"/>
              <w:spacing w:after="0" w:line="122" w:lineRule="exact"/>
              <w:rPr>
                <w:sz w:val="20"/>
                <w:szCs w:val="20"/>
                <w:color w:val="auto"/>
              </w:rPr>
            </w:pPr>
            <w:r>
              <w:rPr>
                <w:rFonts w:ascii="Arial" w:cs="Arial" w:eastAsia="Arial" w:hAnsi="Arial"/>
                <w:sz w:val="11"/>
                <w:szCs w:val="11"/>
                <w:b w:val="1"/>
                <w:bCs w:val="1"/>
                <w:color w:val="auto"/>
              </w:rPr>
              <w:t>Units of</w:t>
            </w:r>
          </w:p>
        </w:tc>
        <w:tc>
          <w:tcPr>
            <w:tcW w:w="1020" w:type="dxa"/>
            <w:vAlign w:val="bottom"/>
          </w:tcPr>
          <w:p>
            <w:pPr>
              <w:jc w:val="right"/>
              <w:ind w:right="156"/>
              <w:spacing w:after="0" w:line="122" w:lineRule="exact"/>
              <w:rPr>
                <w:sz w:val="20"/>
                <w:szCs w:val="20"/>
                <w:color w:val="auto"/>
              </w:rPr>
            </w:pPr>
            <w:r>
              <w:rPr>
                <w:rFonts w:ascii="Arial" w:cs="Arial" w:eastAsia="Arial" w:hAnsi="Arial"/>
                <w:sz w:val="11"/>
                <w:szCs w:val="11"/>
                <w:b w:val="1"/>
                <w:bCs w:val="1"/>
                <w:color w:val="auto"/>
              </w:rPr>
              <w:t>Shares, Units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rPr>
              <w:t>Underlying</w:t>
            </w:r>
          </w:p>
        </w:tc>
        <w:tc>
          <w:tcPr>
            <w:tcW w:w="240" w:type="dxa"/>
            <w:vAlign w:val="bottom"/>
          </w:tcPr>
          <w:p>
            <w:pPr>
              <w:spacing w:after="0"/>
              <w:rPr>
                <w:sz w:val="10"/>
                <w:szCs w:val="10"/>
                <w:color w:val="auto"/>
              </w:rPr>
            </w:pPr>
          </w:p>
        </w:tc>
        <w:tc>
          <w:tcPr>
            <w:tcW w:w="820" w:type="dxa"/>
            <w:vAlign w:val="bottom"/>
          </w:tcPr>
          <w:p>
            <w:pPr>
              <w:jc w:val="right"/>
              <w:ind w:right="76"/>
              <w:spacing w:after="0" w:line="122" w:lineRule="exact"/>
              <w:rPr>
                <w:sz w:val="20"/>
                <w:szCs w:val="20"/>
                <w:color w:val="auto"/>
              </w:rPr>
            </w:pPr>
            <w:r>
              <w:rPr>
                <w:rFonts w:ascii="Arial" w:cs="Arial" w:eastAsia="Arial" w:hAnsi="Arial"/>
                <w:sz w:val="11"/>
                <w:szCs w:val="11"/>
                <w:b w:val="1"/>
                <w:bCs w:val="1"/>
                <w:color w:val="auto"/>
              </w:rPr>
              <w:t>Underlying</w:t>
            </w:r>
          </w:p>
        </w:tc>
        <w:tc>
          <w:tcPr>
            <w:tcW w:w="9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Underlying</w:t>
            </w: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jc w:val="right"/>
              <w:ind w:right="23"/>
              <w:spacing w:after="0" w:line="122" w:lineRule="exact"/>
              <w:rPr>
                <w:sz w:val="20"/>
                <w:szCs w:val="20"/>
                <w:color w:val="auto"/>
              </w:rPr>
            </w:pPr>
            <w:r>
              <w:rPr>
                <w:rFonts w:ascii="Arial" w:cs="Arial" w:eastAsia="Arial" w:hAnsi="Arial"/>
                <w:sz w:val="11"/>
                <w:szCs w:val="11"/>
                <w:b w:val="1"/>
                <w:bCs w:val="1"/>
                <w:color w:val="auto"/>
              </w:rPr>
              <w:t>Units of</w:t>
            </w:r>
          </w:p>
        </w:tc>
        <w:tc>
          <w:tcPr>
            <w:tcW w:w="8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Units of</w:t>
            </w:r>
          </w:p>
        </w:tc>
        <w:tc>
          <w:tcPr>
            <w:tcW w:w="760" w:type="dxa"/>
            <w:vAlign w:val="bottom"/>
          </w:tcPr>
          <w:p>
            <w:pPr>
              <w:jc w:val="right"/>
              <w:ind w:right="16"/>
              <w:spacing w:after="0" w:line="122" w:lineRule="exact"/>
              <w:rPr>
                <w:sz w:val="20"/>
                <w:szCs w:val="20"/>
                <w:color w:val="auto"/>
              </w:rPr>
            </w:pPr>
            <w:r>
              <w:rPr>
                <w:rFonts w:ascii="Arial" w:cs="Arial" w:eastAsia="Arial" w:hAnsi="Arial"/>
                <w:sz w:val="11"/>
                <w:szCs w:val="11"/>
                <w:b w:val="1"/>
                <w:bCs w:val="1"/>
                <w:color w:val="auto"/>
              </w:rPr>
              <w:t>Stock or</w:t>
            </w:r>
          </w:p>
        </w:tc>
        <w:tc>
          <w:tcPr>
            <w:tcW w:w="1020" w:type="dxa"/>
            <w:vAlign w:val="bottom"/>
          </w:tcPr>
          <w:p>
            <w:pPr>
              <w:jc w:val="right"/>
              <w:ind w:right="156"/>
              <w:spacing w:after="0" w:line="122" w:lineRule="exact"/>
              <w:rPr>
                <w:sz w:val="20"/>
                <w:szCs w:val="20"/>
                <w:color w:val="auto"/>
              </w:rPr>
            </w:pPr>
            <w:r>
              <w:rPr>
                <w:rFonts w:ascii="Arial" w:cs="Arial" w:eastAsia="Arial" w:hAnsi="Arial"/>
                <w:sz w:val="11"/>
                <w:szCs w:val="11"/>
                <w:b w:val="1"/>
                <w:bCs w:val="1"/>
                <w:color w:val="auto"/>
              </w:rPr>
              <w:t>or Other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gridSpan w:val="3"/>
          </w:tcPr>
          <w:p>
            <w:pPr>
              <w:jc w:val="right"/>
              <w:ind w:right="80"/>
              <w:spacing w:after="0" w:line="122" w:lineRule="exact"/>
              <w:rPr>
                <w:sz w:val="20"/>
                <w:szCs w:val="20"/>
                <w:color w:val="auto"/>
              </w:rPr>
            </w:pPr>
            <w:r>
              <w:rPr>
                <w:rFonts w:ascii="Arial" w:cs="Arial" w:eastAsia="Arial" w:hAnsi="Arial"/>
                <w:sz w:val="11"/>
                <w:szCs w:val="11"/>
                <w:b w:val="1"/>
                <w:bCs w:val="1"/>
                <w:color w:val="auto"/>
              </w:rPr>
              <w:t>Unexercised</w:t>
            </w:r>
          </w:p>
        </w:tc>
        <w:tc>
          <w:tcPr>
            <w:tcW w:w="240" w:type="dxa"/>
            <w:vAlign w:val="bottom"/>
          </w:tcPr>
          <w:p>
            <w:pPr>
              <w:spacing w:after="0"/>
              <w:rPr>
                <w:sz w:val="10"/>
                <w:szCs w:val="10"/>
                <w:color w:val="auto"/>
              </w:rPr>
            </w:pPr>
          </w:p>
        </w:tc>
        <w:tc>
          <w:tcPr>
            <w:tcW w:w="820" w:type="dxa"/>
            <w:vAlign w:val="bottom"/>
          </w:tcPr>
          <w:p>
            <w:pPr>
              <w:jc w:val="right"/>
              <w:ind w:right="76"/>
              <w:spacing w:after="0" w:line="122" w:lineRule="exact"/>
              <w:rPr>
                <w:sz w:val="20"/>
                <w:szCs w:val="20"/>
                <w:color w:val="auto"/>
              </w:rPr>
            </w:pPr>
            <w:r>
              <w:rPr>
                <w:rFonts w:ascii="Arial" w:cs="Arial" w:eastAsia="Arial" w:hAnsi="Arial"/>
                <w:sz w:val="11"/>
                <w:szCs w:val="11"/>
                <w:b w:val="1"/>
                <w:bCs w:val="1"/>
                <w:color w:val="auto"/>
              </w:rPr>
              <w:t>Unexercised</w:t>
            </w:r>
          </w:p>
        </w:tc>
        <w:tc>
          <w:tcPr>
            <w:tcW w:w="9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Unexercised</w:t>
            </w:r>
          </w:p>
        </w:tc>
        <w:tc>
          <w:tcPr>
            <w:tcW w:w="660" w:type="dxa"/>
            <w:vAlign w:val="bottom"/>
          </w:tcPr>
          <w:p>
            <w:pPr>
              <w:jc w:val="right"/>
              <w:ind w:right="74"/>
              <w:spacing w:after="0" w:line="122" w:lineRule="exact"/>
              <w:rPr>
                <w:sz w:val="20"/>
                <w:szCs w:val="20"/>
                <w:color w:val="auto"/>
              </w:rPr>
            </w:pPr>
            <w:r>
              <w:rPr>
                <w:rFonts w:ascii="Arial" w:cs="Arial" w:eastAsia="Arial" w:hAnsi="Arial"/>
                <w:sz w:val="11"/>
                <w:szCs w:val="11"/>
                <w:b w:val="1"/>
                <w:bCs w:val="1"/>
                <w:color w:val="auto"/>
              </w:rPr>
              <w:t>Option</w:t>
            </w: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jc w:val="right"/>
              <w:ind w:right="23"/>
              <w:spacing w:after="0" w:line="122" w:lineRule="exact"/>
              <w:rPr>
                <w:sz w:val="20"/>
                <w:szCs w:val="20"/>
                <w:color w:val="auto"/>
              </w:rPr>
            </w:pPr>
            <w:r>
              <w:rPr>
                <w:rFonts w:ascii="Arial" w:cs="Arial" w:eastAsia="Arial" w:hAnsi="Arial"/>
                <w:sz w:val="11"/>
                <w:szCs w:val="11"/>
                <w:b w:val="1"/>
                <w:bCs w:val="1"/>
                <w:color w:val="auto"/>
              </w:rPr>
              <w:t>Stock That</w:t>
            </w:r>
          </w:p>
        </w:tc>
        <w:tc>
          <w:tcPr>
            <w:tcW w:w="8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Stock That</w:t>
            </w:r>
          </w:p>
        </w:tc>
        <w:tc>
          <w:tcPr>
            <w:tcW w:w="760" w:type="dxa"/>
            <w:vAlign w:val="bottom"/>
          </w:tcPr>
          <w:p>
            <w:pPr>
              <w:jc w:val="right"/>
              <w:ind w:right="16"/>
              <w:spacing w:after="0" w:line="122" w:lineRule="exact"/>
              <w:rPr>
                <w:sz w:val="20"/>
                <w:szCs w:val="20"/>
                <w:color w:val="auto"/>
              </w:rPr>
            </w:pPr>
            <w:r>
              <w:rPr>
                <w:rFonts w:ascii="Arial" w:cs="Arial" w:eastAsia="Arial" w:hAnsi="Arial"/>
                <w:sz w:val="11"/>
                <w:szCs w:val="11"/>
                <w:b w:val="1"/>
                <w:bCs w:val="1"/>
                <w:color w:val="auto"/>
                <w:w w:val="98"/>
              </w:rPr>
              <w:t>Other Rights</w:t>
            </w:r>
          </w:p>
        </w:tc>
        <w:tc>
          <w:tcPr>
            <w:tcW w:w="1020" w:type="dxa"/>
            <w:vAlign w:val="bottom"/>
          </w:tcPr>
          <w:p>
            <w:pPr>
              <w:jc w:val="right"/>
              <w:ind w:right="156"/>
              <w:spacing w:after="0" w:line="122" w:lineRule="exact"/>
              <w:rPr>
                <w:sz w:val="20"/>
                <w:szCs w:val="20"/>
                <w:color w:val="auto"/>
              </w:rPr>
            </w:pPr>
            <w:r>
              <w:rPr>
                <w:rFonts w:ascii="Arial" w:cs="Arial" w:eastAsia="Arial" w:hAnsi="Arial"/>
                <w:sz w:val="11"/>
                <w:szCs w:val="11"/>
                <w:b w:val="1"/>
                <w:bCs w:val="1"/>
                <w:color w:val="auto"/>
              </w:rPr>
              <w:t>Rights That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Grant</w:t>
            </w:r>
          </w:p>
        </w:tc>
        <w:tc>
          <w:tcPr>
            <w:tcW w:w="22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w w:val="99"/>
              </w:rPr>
              <w:t>Options (#)</w:t>
            </w:r>
          </w:p>
        </w:tc>
        <w:tc>
          <w:tcPr>
            <w:tcW w:w="240" w:type="dxa"/>
            <w:vAlign w:val="bottom"/>
          </w:tcPr>
          <w:p>
            <w:pPr>
              <w:spacing w:after="0"/>
              <w:rPr>
                <w:sz w:val="10"/>
                <w:szCs w:val="10"/>
                <w:color w:val="auto"/>
              </w:rPr>
            </w:pPr>
          </w:p>
        </w:tc>
        <w:tc>
          <w:tcPr>
            <w:tcW w:w="820" w:type="dxa"/>
            <w:vAlign w:val="bottom"/>
          </w:tcPr>
          <w:p>
            <w:pPr>
              <w:jc w:val="right"/>
              <w:ind w:right="76"/>
              <w:spacing w:after="0" w:line="122" w:lineRule="exact"/>
              <w:rPr>
                <w:sz w:val="20"/>
                <w:szCs w:val="20"/>
                <w:color w:val="auto"/>
              </w:rPr>
            </w:pPr>
            <w:r>
              <w:rPr>
                <w:rFonts w:ascii="Arial" w:cs="Arial" w:eastAsia="Arial" w:hAnsi="Arial"/>
                <w:sz w:val="11"/>
                <w:szCs w:val="11"/>
                <w:b w:val="1"/>
                <w:bCs w:val="1"/>
                <w:color w:val="auto"/>
              </w:rPr>
              <w:t>Options (#)</w:t>
            </w:r>
          </w:p>
        </w:tc>
        <w:tc>
          <w:tcPr>
            <w:tcW w:w="9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Unearned</w:t>
            </w:r>
          </w:p>
        </w:tc>
        <w:tc>
          <w:tcPr>
            <w:tcW w:w="660" w:type="dxa"/>
            <w:vAlign w:val="bottom"/>
          </w:tcPr>
          <w:p>
            <w:pPr>
              <w:jc w:val="right"/>
              <w:ind w:right="74"/>
              <w:spacing w:after="0" w:line="122" w:lineRule="exact"/>
              <w:rPr>
                <w:sz w:val="20"/>
                <w:szCs w:val="20"/>
                <w:color w:val="auto"/>
              </w:rPr>
            </w:pPr>
            <w:r>
              <w:rPr>
                <w:rFonts w:ascii="Arial" w:cs="Arial" w:eastAsia="Arial" w:hAnsi="Arial"/>
                <w:sz w:val="11"/>
                <w:szCs w:val="11"/>
                <w:b w:val="1"/>
                <w:bCs w:val="1"/>
                <w:color w:val="auto"/>
              </w:rPr>
              <w:t>Exercise</w:t>
            </w:r>
          </w:p>
        </w:tc>
        <w:tc>
          <w:tcPr>
            <w:tcW w:w="820" w:type="dxa"/>
            <w:vAlign w:val="bottom"/>
          </w:tcPr>
          <w:p>
            <w:pPr>
              <w:jc w:val="right"/>
              <w:ind w:right="13"/>
              <w:spacing w:after="0" w:line="122" w:lineRule="exact"/>
              <w:rPr>
                <w:sz w:val="20"/>
                <w:szCs w:val="20"/>
                <w:color w:val="auto"/>
              </w:rPr>
            </w:pPr>
            <w:r>
              <w:rPr>
                <w:rFonts w:ascii="Arial" w:cs="Arial" w:eastAsia="Arial" w:hAnsi="Arial"/>
                <w:sz w:val="11"/>
                <w:szCs w:val="11"/>
                <w:b w:val="1"/>
                <w:bCs w:val="1"/>
                <w:color w:val="auto"/>
              </w:rPr>
              <w:t>Expiration</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Grant</w:t>
            </w:r>
          </w:p>
        </w:tc>
        <w:tc>
          <w:tcPr>
            <w:tcW w:w="720" w:type="dxa"/>
            <w:vAlign w:val="bottom"/>
          </w:tcPr>
          <w:p>
            <w:pPr>
              <w:jc w:val="right"/>
              <w:ind w:right="23"/>
              <w:spacing w:after="0" w:line="122" w:lineRule="exact"/>
              <w:rPr>
                <w:sz w:val="20"/>
                <w:szCs w:val="20"/>
                <w:color w:val="auto"/>
              </w:rPr>
            </w:pPr>
            <w:r>
              <w:rPr>
                <w:rFonts w:ascii="Arial" w:cs="Arial" w:eastAsia="Arial" w:hAnsi="Arial"/>
                <w:sz w:val="11"/>
                <w:szCs w:val="11"/>
                <w:b w:val="1"/>
                <w:bCs w:val="1"/>
                <w:color w:val="auto"/>
              </w:rPr>
              <w:t>Have Not</w:t>
            </w:r>
          </w:p>
        </w:tc>
        <w:tc>
          <w:tcPr>
            <w:tcW w:w="8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Have Not</w:t>
            </w:r>
          </w:p>
        </w:tc>
        <w:tc>
          <w:tcPr>
            <w:tcW w:w="760" w:type="dxa"/>
            <w:vAlign w:val="bottom"/>
          </w:tcPr>
          <w:p>
            <w:pPr>
              <w:jc w:val="right"/>
              <w:ind w:right="16"/>
              <w:spacing w:after="0" w:line="122" w:lineRule="exact"/>
              <w:rPr>
                <w:sz w:val="20"/>
                <w:szCs w:val="20"/>
                <w:color w:val="auto"/>
              </w:rPr>
            </w:pPr>
            <w:r>
              <w:rPr>
                <w:rFonts w:ascii="Arial" w:cs="Arial" w:eastAsia="Arial" w:hAnsi="Arial"/>
                <w:sz w:val="11"/>
                <w:szCs w:val="11"/>
                <w:b w:val="1"/>
                <w:bCs w:val="1"/>
                <w:color w:val="auto"/>
              </w:rPr>
              <w:t>That Have</w:t>
            </w:r>
          </w:p>
        </w:tc>
        <w:tc>
          <w:tcPr>
            <w:tcW w:w="1020" w:type="dxa"/>
            <w:vAlign w:val="bottom"/>
          </w:tcPr>
          <w:p>
            <w:pPr>
              <w:jc w:val="right"/>
              <w:ind w:right="156"/>
              <w:spacing w:after="0" w:line="122" w:lineRule="exact"/>
              <w:rPr>
                <w:sz w:val="20"/>
                <w:szCs w:val="20"/>
                <w:color w:val="auto"/>
              </w:rPr>
            </w:pPr>
            <w:r>
              <w:rPr>
                <w:rFonts w:ascii="Arial" w:cs="Arial" w:eastAsia="Arial" w:hAnsi="Arial"/>
                <w:sz w:val="11"/>
                <w:szCs w:val="11"/>
                <w:b w:val="1"/>
                <w:bCs w:val="1"/>
                <w:color w:val="auto"/>
              </w:rPr>
              <w:t>Have Not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96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Name</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Date (1)</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w w:val="94"/>
              </w:rPr>
              <w:t>Exercisable</w:t>
            </w:r>
          </w:p>
        </w:tc>
        <w:tc>
          <w:tcPr>
            <w:tcW w:w="106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1"/>
                <w:szCs w:val="11"/>
                <w:b w:val="1"/>
                <w:bCs w:val="1"/>
                <w:color w:val="auto"/>
              </w:rPr>
              <w:t>Unexercisable</w:t>
            </w: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Options</w:t>
            </w: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Price</w:t>
            </w: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1"/>
                <w:szCs w:val="11"/>
                <w:b w:val="1"/>
                <w:bCs w:val="1"/>
                <w:color w:val="auto"/>
              </w:rPr>
              <w:t>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Vested</w:t>
            </w:r>
          </w:p>
        </w:tc>
        <w:tc>
          <w:tcPr>
            <w:tcW w:w="8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Vested</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Not Vested</w:t>
            </w: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1"/>
                <w:szCs w:val="11"/>
                <w:b w:val="1"/>
                <w:bCs w:val="1"/>
                <w:color w:val="auto"/>
              </w:rPr>
              <w:t>Vested(5)</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1" w:lineRule="exact"/>
              <w:rPr>
                <w:sz w:val="20"/>
                <w:szCs w:val="20"/>
                <w:color w:val="auto"/>
              </w:rPr>
            </w:pPr>
            <w:r>
              <w:rPr>
                <w:rFonts w:ascii="Arial" w:cs="Arial" w:eastAsia="Arial" w:hAnsi="Arial"/>
                <w:sz w:val="14"/>
                <w:szCs w:val="14"/>
                <w:color w:val="auto"/>
                <w:w w:val="96"/>
              </w:rPr>
              <w:t>2/24/2014</w:t>
            </w:r>
          </w:p>
        </w:tc>
        <w:tc>
          <w:tcPr>
            <w:tcW w:w="220" w:type="dxa"/>
            <w:vAlign w:val="bottom"/>
            <w:shd w:val="clear" w:color="auto" w:fill="DDE6F2"/>
          </w:tcPr>
          <w:p>
            <w:pPr>
              <w:spacing w:after="0"/>
              <w:rPr>
                <w:sz w:val="12"/>
                <w:szCs w:val="12"/>
                <w:color w:val="auto"/>
              </w:rPr>
            </w:pPr>
          </w:p>
        </w:tc>
        <w:tc>
          <w:tcPr>
            <w:tcW w:w="680" w:type="dxa"/>
            <w:vAlign w:val="bottom"/>
            <w:gridSpan w:val="2"/>
            <w:shd w:val="clear" w:color="auto" w:fill="DDE6F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DDE6F2"/>
          </w:tcPr>
          <w:p>
            <w:pPr>
              <w:jc w:val="right"/>
              <w:ind w:right="76"/>
              <w:spacing w:after="0" w:line="141" w:lineRule="exact"/>
              <w:rPr>
                <w:sz w:val="20"/>
                <w:szCs w:val="20"/>
                <w:color w:val="auto"/>
              </w:rPr>
            </w:pPr>
            <w:r>
              <w:rPr>
                <w:rFonts w:ascii="Arial" w:cs="Arial" w:eastAsia="Arial" w:hAnsi="Arial"/>
                <w:sz w:val="14"/>
                <w:szCs w:val="14"/>
                <w:color w:val="auto"/>
              </w:rPr>
              <w:t>133,080</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1" w:lineRule="exact"/>
              <w:rPr>
                <w:sz w:val="20"/>
                <w:szCs w:val="20"/>
                <w:color w:val="auto"/>
              </w:rPr>
            </w:pPr>
            <w:r>
              <w:rPr>
                <w:rFonts w:ascii="Arial" w:cs="Arial" w:eastAsia="Arial" w:hAnsi="Arial"/>
                <w:sz w:val="14"/>
                <w:szCs w:val="14"/>
                <w:color w:val="auto"/>
              </w:rPr>
              <w:t>$ 41.77</w:t>
            </w:r>
          </w:p>
        </w:tc>
        <w:tc>
          <w:tcPr>
            <w:tcW w:w="820" w:type="dxa"/>
            <w:vAlign w:val="bottom"/>
            <w:shd w:val="clear" w:color="auto" w:fill="DDE6F2"/>
          </w:tcPr>
          <w:p>
            <w:pPr>
              <w:jc w:val="right"/>
              <w:ind w:right="33"/>
              <w:spacing w:after="0" w:line="141" w:lineRule="exact"/>
              <w:rPr>
                <w:sz w:val="20"/>
                <w:szCs w:val="20"/>
                <w:color w:val="auto"/>
              </w:rPr>
            </w:pPr>
            <w:r>
              <w:rPr>
                <w:rFonts w:ascii="Arial" w:cs="Arial" w:eastAsia="Arial" w:hAnsi="Arial"/>
                <w:sz w:val="14"/>
                <w:szCs w:val="14"/>
                <w:color w:val="auto"/>
              </w:rPr>
              <w:t>2/24/2024</w:t>
            </w:r>
          </w:p>
        </w:tc>
        <w:tc>
          <w:tcPr>
            <w:tcW w:w="1000" w:type="dxa"/>
            <w:vAlign w:val="bottom"/>
            <w:shd w:val="clear" w:color="auto" w:fill="DDE6F2"/>
          </w:tcPr>
          <w:p>
            <w:pPr>
              <w:jc w:val="center"/>
              <w:spacing w:after="0" w:line="141" w:lineRule="exact"/>
              <w:rPr>
                <w:sz w:val="20"/>
                <w:szCs w:val="20"/>
                <w:color w:val="auto"/>
              </w:rPr>
            </w:pPr>
            <w:r>
              <w:rPr>
                <w:rFonts w:ascii="Arial" w:cs="Arial" w:eastAsia="Arial" w:hAnsi="Arial"/>
                <w:sz w:val="14"/>
                <w:szCs w:val="14"/>
                <w:color w:val="auto"/>
                <w:w w:val="96"/>
              </w:rPr>
              <w:t xml:space="preserve">10/25/2014 </w:t>
            </w:r>
            <w:r>
              <w:rPr>
                <w:rFonts w:ascii="Arial" w:cs="Arial" w:eastAsia="Arial" w:hAnsi="Arial"/>
                <w:sz w:val="11"/>
                <w:szCs w:val="11"/>
                <w:color w:val="auto"/>
                <w:w w:val="96"/>
              </w:rPr>
              <w:t>(4)</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1" w:lineRule="exact"/>
              <w:rPr>
                <w:sz w:val="20"/>
                <w:szCs w:val="20"/>
                <w:color w:val="auto"/>
              </w:rPr>
            </w:pPr>
            <w:r>
              <w:rPr>
                <w:rFonts w:ascii="Arial" w:cs="Arial" w:eastAsia="Arial" w:hAnsi="Arial"/>
                <w:sz w:val="14"/>
                <w:szCs w:val="14"/>
                <w:color w:val="auto"/>
              </w:rPr>
              <w:t>56,807</w:t>
            </w:r>
          </w:p>
        </w:tc>
        <w:tc>
          <w:tcPr>
            <w:tcW w:w="1020" w:type="dxa"/>
            <w:vAlign w:val="bottom"/>
            <w:shd w:val="clear" w:color="auto" w:fill="DDE6F2"/>
          </w:tcPr>
          <w:p>
            <w:pPr>
              <w:jc w:val="right"/>
              <w:ind w:right="156"/>
              <w:spacing w:after="0" w:line="141" w:lineRule="exact"/>
              <w:rPr>
                <w:sz w:val="20"/>
                <w:szCs w:val="20"/>
                <w:color w:val="auto"/>
              </w:rPr>
            </w:pPr>
            <w:r>
              <w:rPr>
                <w:rFonts w:ascii="Arial" w:cs="Arial" w:eastAsia="Arial" w:hAnsi="Arial"/>
                <w:sz w:val="14"/>
                <w:szCs w:val="14"/>
                <w:color w:val="auto"/>
              </w:rPr>
              <w:t>$ 2,552,907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6"/>
              </w:rPr>
              <w:t>2/25/2013</w:t>
            </w:r>
          </w:p>
        </w:tc>
        <w:tc>
          <w:tcPr>
            <w:tcW w:w="900" w:type="dxa"/>
            <w:vAlign w:val="bottom"/>
            <w:gridSpan w:val="3"/>
            <w:shd w:val="clear" w:color="auto" w:fill="DDE6F2"/>
          </w:tcPr>
          <w:p>
            <w:pPr>
              <w:jc w:val="right"/>
              <w:ind w:right="80"/>
              <w:spacing w:after="0" w:line="149" w:lineRule="exact"/>
              <w:rPr>
                <w:sz w:val="20"/>
                <w:szCs w:val="20"/>
                <w:color w:val="auto"/>
              </w:rPr>
            </w:pPr>
            <w:r>
              <w:rPr>
                <w:rFonts w:ascii="Arial" w:cs="Arial" w:eastAsia="Arial" w:hAnsi="Arial"/>
                <w:sz w:val="14"/>
                <w:szCs w:val="14"/>
                <w:color w:val="auto"/>
              </w:rPr>
              <w:t>49,181</w:t>
            </w:r>
          </w:p>
        </w:tc>
        <w:tc>
          <w:tcPr>
            <w:tcW w:w="1060" w:type="dxa"/>
            <w:vAlign w:val="bottom"/>
            <w:gridSpan w:val="2"/>
            <w:shd w:val="clear" w:color="auto" w:fill="DDE6F2"/>
          </w:tcPr>
          <w:p>
            <w:pPr>
              <w:jc w:val="right"/>
              <w:ind w:right="76"/>
              <w:spacing w:after="0" w:line="149" w:lineRule="exact"/>
              <w:rPr>
                <w:sz w:val="20"/>
                <w:szCs w:val="20"/>
                <w:color w:val="auto"/>
              </w:rPr>
            </w:pPr>
            <w:r>
              <w:rPr>
                <w:rFonts w:ascii="Arial" w:cs="Arial" w:eastAsia="Arial" w:hAnsi="Arial"/>
                <w:sz w:val="14"/>
                <w:szCs w:val="14"/>
                <w:color w:val="auto"/>
              </w:rPr>
              <w:t>98,364</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9" w:lineRule="exact"/>
              <w:rPr>
                <w:sz w:val="20"/>
                <w:szCs w:val="20"/>
                <w:color w:val="auto"/>
              </w:rPr>
            </w:pPr>
            <w:r>
              <w:rPr>
                <w:rFonts w:ascii="Arial" w:cs="Arial" w:eastAsia="Arial" w:hAnsi="Arial"/>
                <w:sz w:val="14"/>
                <w:szCs w:val="14"/>
                <w:color w:val="auto"/>
              </w:rPr>
              <w:t>33.57</w:t>
            </w:r>
          </w:p>
        </w:tc>
        <w:tc>
          <w:tcPr>
            <w:tcW w:w="820" w:type="dxa"/>
            <w:vAlign w:val="bottom"/>
            <w:shd w:val="clear" w:color="auto" w:fill="DDE6F2"/>
          </w:tcPr>
          <w:p>
            <w:pPr>
              <w:jc w:val="center"/>
              <w:ind w:left="33"/>
              <w:spacing w:after="0" w:line="149" w:lineRule="exact"/>
              <w:rPr>
                <w:sz w:val="20"/>
                <w:szCs w:val="20"/>
                <w:color w:val="auto"/>
              </w:rPr>
            </w:pPr>
            <w:r>
              <w:rPr>
                <w:rFonts w:ascii="Arial" w:cs="Arial" w:eastAsia="Arial" w:hAnsi="Arial"/>
                <w:sz w:val="14"/>
                <w:szCs w:val="14"/>
                <w:color w:val="auto"/>
                <w:w w:val="96"/>
              </w:rPr>
              <w:t>2/25/2023</w:t>
            </w: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2/24/2014 </w:t>
            </w:r>
            <w:r>
              <w:rPr>
                <w:rFonts w:ascii="Arial" w:cs="Arial" w:eastAsia="Arial" w:hAnsi="Arial"/>
                <w:sz w:val="11"/>
                <w:szCs w:val="11"/>
                <w:color w:val="auto"/>
                <w:w w:val="97"/>
              </w:rPr>
              <w:t>(2)</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31,422</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1,412,105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6"/>
              </w:rPr>
              <w:t>2/27/2012</w:t>
            </w:r>
          </w:p>
        </w:tc>
        <w:tc>
          <w:tcPr>
            <w:tcW w:w="900" w:type="dxa"/>
            <w:vAlign w:val="bottom"/>
            <w:gridSpan w:val="3"/>
            <w:shd w:val="clear" w:color="auto" w:fill="DDE6F2"/>
          </w:tcPr>
          <w:p>
            <w:pPr>
              <w:jc w:val="right"/>
              <w:ind w:right="80"/>
              <w:spacing w:after="0" w:line="149" w:lineRule="exact"/>
              <w:rPr>
                <w:sz w:val="20"/>
                <w:szCs w:val="20"/>
                <w:color w:val="auto"/>
              </w:rPr>
            </w:pPr>
            <w:r>
              <w:rPr>
                <w:rFonts w:ascii="Arial" w:cs="Arial" w:eastAsia="Arial" w:hAnsi="Arial"/>
                <w:sz w:val="14"/>
                <w:szCs w:val="14"/>
                <w:color w:val="auto"/>
              </w:rPr>
              <w:t>106,454</w:t>
            </w:r>
          </w:p>
        </w:tc>
        <w:tc>
          <w:tcPr>
            <w:tcW w:w="1060" w:type="dxa"/>
            <w:vAlign w:val="bottom"/>
            <w:gridSpan w:val="2"/>
            <w:shd w:val="clear" w:color="auto" w:fill="DDE6F2"/>
          </w:tcPr>
          <w:p>
            <w:pPr>
              <w:jc w:val="right"/>
              <w:ind w:right="76"/>
              <w:spacing w:after="0" w:line="149" w:lineRule="exact"/>
              <w:rPr>
                <w:sz w:val="20"/>
                <w:szCs w:val="20"/>
                <w:color w:val="auto"/>
              </w:rPr>
            </w:pPr>
            <w:r>
              <w:rPr>
                <w:rFonts w:ascii="Arial" w:cs="Arial" w:eastAsia="Arial" w:hAnsi="Arial"/>
                <w:sz w:val="14"/>
                <w:szCs w:val="14"/>
                <w:color w:val="auto"/>
              </w:rPr>
              <w:t>53,227</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9" w:lineRule="exact"/>
              <w:rPr>
                <w:sz w:val="20"/>
                <w:szCs w:val="20"/>
                <w:color w:val="auto"/>
              </w:rPr>
            </w:pPr>
            <w:r>
              <w:rPr>
                <w:rFonts w:ascii="Arial" w:cs="Arial" w:eastAsia="Arial" w:hAnsi="Arial"/>
                <w:sz w:val="14"/>
                <w:szCs w:val="14"/>
                <w:color w:val="auto"/>
              </w:rPr>
              <w:t>29.11</w:t>
            </w:r>
          </w:p>
        </w:tc>
        <w:tc>
          <w:tcPr>
            <w:tcW w:w="820" w:type="dxa"/>
            <w:vAlign w:val="bottom"/>
            <w:shd w:val="clear" w:color="auto" w:fill="DDE6F2"/>
          </w:tcPr>
          <w:p>
            <w:pPr>
              <w:jc w:val="center"/>
              <w:ind w:left="33"/>
              <w:spacing w:after="0" w:line="149" w:lineRule="exact"/>
              <w:rPr>
                <w:sz w:val="20"/>
                <w:szCs w:val="20"/>
                <w:color w:val="auto"/>
              </w:rPr>
            </w:pPr>
            <w:r>
              <w:rPr>
                <w:rFonts w:ascii="Arial" w:cs="Arial" w:eastAsia="Arial" w:hAnsi="Arial"/>
                <w:sz w:val="14"/>
                <w:szCs w:val="14"/>
                <w:color w:val="auto"/>
                <w:w w:val="96"/>
              </w:rPr>
              <w:t>2/27/2022</w:t>
            </w: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2/24/2014 </w:t>
            </w:r>
            <w:r>
              <w:rPr>
                <w:rFonts w:ascii="Arial" w:cs="Arial" w:eastAsia="Arial" w:hAnsi="Arial"/>
                <w:sz w:val="11"/>
                <w:szCs w:val="11"/>
                <w:color w:val="auto"/>
                <w:w w:val="97"/>
              </w:rPr>
              <w:t>(3)</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78,041</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3,507,163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6"/>
              </w:rPr>
              <w:t>2/24/2011</w:t>
            </w:r>
          </w:p>
        </w:tc>
        <w:tc>
          <w:tcPr>
            <w:tcW w:w="220" w:type="dxa"/>
            <w:vAlign w:val="bottom"/>
            <w:shd w:val="clear" w:color="auto" w:fill="DDE6F2"/>
          </w:tcPr>
          <w:p>
            <w:pPr>
              <w:spacing w:after="0"/>
              <w:rPr>
                <w:sz w:val="12"/>
                <w:szCs w:val="12"/>
                <w:color w:val="auto"/>
              </w:rPr>
            </w:pPr>
          </w:p>
        </w:tc>
        <w:tc>
          <w:tcPr>
            <w:tcW w:w="680" w:type="dxa"/>
            <w:vAlign w:val="bottom"/>
            <w:gridSpan w:val="2"/>
            <w:shd w:val="clear" w:color="auto" w:fill="DDE6F2"/>
          </w:tcPr>
          <w:p>
            <w:pPr>
              <w:jc w:val="right"/>
              <w:ind w:right="80"/>
              <w:spacing w:after="0" w:line="149" w:lineRule="exact"/>
              <w:rPr>
                <w:sz w:val="20"/>
                <w:szCs w:val="20"/>
                <w:color w:val="auto"/>
              </w:rPr>
            </w:pPr>
            <w:r>
              <w:rPr>
                <w:rFonts w:ascii="Arial" w:cs="Arial" w:eastAsia="Arial" w:hAnsi="Arial"/>
                <w:sz w:val="14"/>
                <w:szCs w:val="14"/>
                <w:color w:val="auto"/>
              </w:rPr>
              <w:t>72,486</w:t>
            </w:r>
          </w:p>
        </w:tc>
        <w:tc>
          <w:tcPr>
            <w:tcW w:w="240" w:type="dxa"/>
            <w:vAlign w:val="bottom"/>
            <w:shd w:val="clear" w:color="auto" w:fill="DDE6F2"/>
          </w:tcPr>
          <w:p>
            <w:pPr>
              <w:spacing w:after="0"/>
              <w:rPr>
                <w:sz w:val="12"/>
                <w:szCs w:val="12"/>
                <w:color w:val="auto"/>
              </w:rPr>
            </w:pPr>
          </w:p>
        </w:tc>
        <w:tc>
          <w:tcPr>
            <w:tcW w:w="820" w:type="dxa"/>
            <w:vAlign w:val="bottom"/>
            <w:shd w:val="clear" w:color="auto" w:fill="DDE6F2"/>
          </w:tcPr>
          <w:p>
            <w:pPr>
              <w:jc w:val="right"/>
              <w:ind w:right="76"/>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9" w:lineRule="exact"/>
              <w:rPr>
                <w:sz w:val="20"/>
                <w:szCs w:val="20"/>
                <w:color w:val="auto"/>
              </w:rPr>
            </w:pPr>
            <w:r>
              <w:rPr>
                <w:rFonts w:ascii="Arial" w:cs="Arial" w:eastAsia="Arial" w:hAnsi="Arial"/>
                <w:sz w:val="14"/>
                <w:szCs w:val="14"/>
                <w:color w:val="auto"/>
              </w:rPr>
              <w:t>24.21</w:t>
            </w:r>
          </w:p>
        </w:tc>
        <w:tc>
          <w:tcPr>
            <w:tcW w:w="820" w:type="dxa"/>
            <w:vAlign w:val="bottom"/>
            <w:shd w:val="clear" w:color="auto" w:fill="DDE6F2"/>
          </w:tcPr>
          <w:p>
            <w:pPr>
              <w:jc w:val="center"/>
              <w:ind w:left="33"/>
              <w:spacing w:after="0" w:line="149" w:lineRule="exact"/>
              <w:rPr>
                <w:sz w:val="20"/>
                <w:szCs w:val="20"/>
                <w:color w:val="auto"/>
              </w:rPr>
            </w:pPr>
            <w:r>
              <w:rPr>
                <w:rFonts w:ascii="Arial" w:cs="Arial" w:eastAsia="Arial" w:hAnsi="Arial"/>
                <w:sz w:val="14"/>
                <w:szCs w:val="14"/>
                <w:color w:val="auto"/>
                <w:w w:val="96"/>
              </w:rPr>
              <w:t>2/24/2021</w:t>
            </w: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2/25/2013 </w:t>
            </w:r>
            <w:r>
              <w:rPr>
                <w:rFonts w:ascii="Arial" w:cs="Arial" w:eastAsia="Arial" w:hAnsi="Arial"/>
                <w:sz w:val="11"/>
                <w:szCs w:val="11"/>
                <w:color w:val="auto"/>
                <w:w w:val="97"/>
              </w:rPr>
              <w:t>(2)</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35,374</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1,589,708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vMerge w:val="restart"/>
          </w:tcPr>
          <w:p>
            <w:pPr>
              <w:ind w:left="160"/>
              <w:spacing w:after="0"/>
              <w:rPr>
                <w:sz w:val="20"/>
                <w:szCs w:val="20"/>
                <w:color w:val="auto"/>
              </w:rPr>
            </w:pPr>
            <w:r>
              <w:rPr>
                <w:rFonts w:ascii="Arial" w:cs="Arial" w:eastAsia="Arial" w:hAnsi="Arial"/>
                <w:sz w:val="14"/>
                <w:szCs w:val="14"/>
                <w:color w:val="auto"/>
              </w:rPr>
              <w:t>Armstrong</w:t>
            </w: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6"/>
              </w:rPr>
              <w:t>2/23/2010</w:t>
            </w:r>
          </w:p>
        </w:tc>
        <w:tc>
          <w:tcPr>
            <w:tcW w:w="220" w:type="dxa"/>
            <w:vAlign w:val="bottom"/>
            <w:shd w:val="clear" w:color="auto" w:fill="DDE6F2"/>
          </w:tcPr>
          <w:p>
            <w:pPr>
              <w:spacing w:after="0"/>
              <w:rPr>
                <w:sz w:val="12"/>
                <w:szCs w:val="12"/>
                <w:color w:val="auto"/>
              </w:rPr>
            </w:pPr>
          </w:p>
        </w:tc>
        <w:tc>
          <w:tcPr>
            <w:tcW w:w="600" w:type="dxa"/>
            <w:vAlign w:val="bottom"/>
            <w:shd w:val="clear" w:color="auto" w:fill="DDE6F2"/>
          </w:tcPr>
          <w:p>
            <w:pPr>
              <w:jc w:val="right"/>
              <w:spacing w:after="0" w:line="149" w:lineRule="exact"/>
              <w:rPr>
                <w:sz w:val="20"/>
                <w:szCs w:val="20"/>
                <w:color w:val="auto"/>
              </w:rPr>
            </w:pPr>
            <w:r>
              <w:rPr>
                <w:rFonts w:ascii="Arial" w:cs="Arial" w:eastAsia="Arial" w:hAnsi="Arial"/>
                <w:sz w:val="14"/>
                <w:szCs w:val="14"/>
                <w:color w:val="auto"/>
              </w:rPr>
              <w:t>60,646</w:t>
            </w:r>
          </w:p>
        </w:tc>
        <w:tc>
          <w:tcPr>
            <w:tcW w:w="80" w:type="dxa"/>
            <w:vAlign w:val="bottom"/>
            <w:shd w:val="clear" w:color="auto" w:fill="DDE6F2"/>
          </w:tcPr>
          <w:p>
            <w:pPr>
              <w:spacing w:after="0"/>
              <w:rPr>
                <w:sz w:val="12"/>
                <w:szCs w:val="12"/>
                <w:color w:val="auto"/>
              </w:rPr>
            </w:pPr>
          </w:p>
        </w:tc>
        <w:tc>
          <w:tcPr>
            <w:tcW w:w="240" w:type="dxa"/>
            <w:vAlign w:val="bottom"/>
            <w:shd w:val="clear" w:color="auto" w:fill="DDE6F2"/>
          </w:tcPr>
          <w:p>
            <w:pPr>
              <w:spacing w:after="0"/>
              <w:rPr>
                <w:sz w:val="12"/>
                <w:szCs w:val="12"/>
                <w:color w:val="auto"/>
              </w:rPr>
            </w:pPr>
          </w:p>
        </w:tc>
        <w:tc>
          <w:tcPr>
            <w:tcW w:w="820" w:type="dxa"/>
            <w:vAlign w:val="bottom"/>
            <w:shd w:val="clear" w:color="auto" w:fill="DDE6F2"/>
          </w:tcPr>
          <w:p>
            <w:pPr>
              <w:jc w:val="right"/>
              <w:ind w:right="76"/>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9" w:lineRule="exact"/>
              <w:rPr>
                <w:sz w:val="20"/>
                <w:szCs w:val="20"/>
                <w:color w:val="auto"/>
              </w:rPr>
            </w:pPr>
            <w:r>
              <w:rPr>
                <w:rFonts w:ascii="Arial" w:cs="Arial" w:eastAsia="Arial" w:hAnsi="Arial"/>
                <w:sz w:val="14"/>
                <w:szCs w:val="14"/>
                <w:color w:val="auto"/>
              </w:rPr>
              <w:t>17.28</w:t>
            </w:r>
          </w:p>
        </w:tc>
        <w:tc>
          <w:tcPr>
            <w:tcW w:w="820" w:type="dxa"/>
            <w:vAlign w:val="bottom"/>
            <w:shd w:val="clear" w:color="auto" w:fill="DDE6F2"/>
          </w:tcPr>
          <w:p>
            <w:pPr>
              <w:jc w:val="center"/>
              <w:ind w:left="33"/>
              <w:spacing w:after="0" w:line="149" w:lineRule="exact"/>
              <w:rPr>
                <w:sz w:val="20"/>
                <w:szCs w:val="20"/>
                <w:color w:val="auto"/>
              </w:rPr>
            </w:pPr>
            <w:r>
              <w:rPr>
                <w:rFonts w:ascii="Arial" w:cs="Arial" w:eastAsia="Arial" w:hAnsi="Arial"/>
                <w:sz w:val="14"/>
                <w:szCs w:val="14"/>
                <w:color w:val="auto"/>
                <w:w w:val="96"/>
              </w:rPr>
              <w:t>2/23/2020</w:t>
            </w: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2/25/2013 </w:t>
            </w:r>
            <w:r>
              <w:rPr>
                <w:rFonts w:ascii="Arial" w:cs="Arial" w:eastAsia="Arial" w:hAnsi="Arial"/>
                <w:sz w:val="11"/>
                <w:szCs w:val="11"/>
                <w:color w:val="auto"/>
                <w:w w:val="97"/>
              </w:rPr>
              <w:t>(3)</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88,469</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3,975,797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960" w:type="dxa"/>
            <w:vAlign w:val="bottom"/>
            <w:vMerge w:val="continue"/>
          </w:tcPr>
          <w:p>
            <w:pPr>
              <w:spacing w:after="0"/>
              <w:rPr>
                <w:sz w:val="7"/>
                <w:szCs w:val="7"/>
                <w:color w:val="auto"/>
              </w:rPr>
            </w:pPr>
          </w:p>
        </w:tc>
        <w:tc>
          <w:tcPr>
            <w:tcW w:w="180" w:type="dxa"/>
            <w:vAlign w:val="bottom"/>
            <w:shd w:val="clear" w:color="auto" w:fill="DDE6F2"/>
          </w:tcPr>
          <w:p>
            <w:pPr>
              <w:spacing w:after="0"/>
              <w:rPr>
                <w:sz w:val="7"/>
                <w:szCs w:val="7"/>
                <w:color w:val="auto"/>
              </w:rPr>
            </w:pPr>
          </w:p>
        </w:tc>
        <w:tc>
          <w:tcPr>
            <w:tcW w:w="600" w:type="dxa"/>
            <w:vAlign w:val="bottom"/>
            <w:vMerge w:val="restart"/>
            <w:shd w:val="clear" w:color="auto" w:fill="DDE6F2"/>
          </w:tcPr>
          <w:p>
            <w:pPr>
              <w:jc w:val="center"/>
              <w:spacing w:after="0" w:line="149" w:lineRule="exact"/>
              <w:rPr>
                <w:sz w:val="20"/>
                <w:szCs w:val="20"/>
                <w:color w:val="auto"/>
              </w:rPr>
            </w:pPr>
            <w:r>
              <w:rPr>
                <w:rFonts w:ascii="Arial" w:cs="Arial" w:eastAsia="Arial" w:hAnsi="Arial"/>
                <w:sz w:val="14"/>
                <w:szCs w:val="14"/>
                <w:color w:val="auto"/>
                <w:w w:val="96"/>
              </w:rPr>
              <w:t>2/23/2009</w:t>
            </w:r>
          </w:p>
        </w:tc>
        <w:tc>
          <w:tcPr>
            <w:tcW w:w="220" w:type="dxa"/>
            <w:vAlign w:val="bottom"/>
            <w:shd w:val="clear" w:color="auto" w:fill="DDE6F2"/>
          </w:tcPr>
          <w:p>
            <w:pPr>
              <w:spacing w:after="0"/>
              <w:rPr>
                <w:sz w:val="7"/>
                <w:szCs w:val="7"/>
                <w:color w:val="auto"/>
              </w:rPr>
            </w:pPr>
          </w:p>
        </w:tc>
        <w:tc>
          <w:tcPr>
            <w:tcW w:w="600" w:type="dxa"/>
            <w:vAlign w:val="bottom"/>
            <w:vMerge w:val="restart"/>
            <w:shd w:val="clear" w:color="auto" w:fill="DDE6F2"/>
          </w:tcPr>
          <w:p>
            <w:pPr>
              <w:jc w:val="right"/>
              <w:spacing w:after="0" w:line="149" w:lineRule="exact"/>
              <w:rPr>
                <w:sz w:val="20"/>
                <w:szCs w:val="20"/>
                <w:color w:val="auto"/>
              </w:rPr>
            </w:pPr>
            <w:r>
              <w:rPr>
                <w:rFonts w:ascii="Arial" w:cs="Arial" w:eastAsia="Arial" w:hAnsi="Arial"/>
                <w:sz w:val="14"/>
                <w:szCs w:val="14"/>
                <w:color w:val="auto"/>
              </w:rPr>
              <w:t>108,587</w:t>
            </w:r>
          </w:p>
        </w:tc>
        <w:tc>
          <w:tcPr>
            <w:tcW w:w="80" w:type="dxa"/>
            <w:vAlign w:val="bottom"/>
            <w:shd w:val="clear" w:color="auto" w:fill="DDE6F2"/>
          </w:tcPr>
          <w:p>
            <w:pPr>
              <w:spacing w:after="0"/>
              <w:rPr>
                <w:sz w:val="7"/>
                <w:szCs w:val="7"/>
                <w:color w:val="auto"/>
              </w:rPr>
            </w:pPr>
          </w:p>
        </w:tc>
        <w:tc>
          <w:tcPr>
            <w:tcW w:w="240" w:type="dxa"/>
            <w:vAlign w:val="bottom"/>
            <w:shd w:val="clear" w:color="auto" w:fill="DDE6F2"/>
          </w:tcPr>
          <w:p>
            <w:pPr>
              <w:spacing w:after="0"/>
              <w:rPr>
                <w:sz w:val="7"/>
                <w:szCs w:val="7"/>
                <w:color w:val="auto"/>
              </w:rPr>
            </w:pPr>
          </w:p>
        </w:tc>
        <w:tc>
          <w:tcPr>
            <w:tcW w:w="820" w:type="dxa"/>
            <w:vAlign w:val="bottom"/>
            <w:vMerge w:val="restart"/>
            <w:shd w:val="clear" w:color="auto" w:fill="DDE6F2"/>
          </w:tcPr>
          <w:p>
            <w:pPr>
              <w:jc w:val="right"/>
              <w:ind w:right="76"/>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DDE6F2"/>
          </w:tcPr>
          <w:p>
            <w:pPr>
              <w:spacing w:after="0"/>
              <w:rPr>
                <w:sz w:val="7"/>
                <w:szCs w:val="7"/>
                <w:color w:val="auto"/>
              </w:rPr>
            </w:pPr>
          </w:p>
        </w:tc>
        <w:tc>
          <w:tcPr>
            <w:tcW w:w="660" w:type="dxa"/>
            <w:vAlign w:val="bottom"/>
            <w:vMerge w:val="restart"/>
            <w:shd w:val="clear" w:color="auto" w:fill="DDE6F2"/>
          </w:tcPr>
          <w:p>
            <w:pPr>
              <w:jc w:val="right"/>
              <w:ind w:right="74"/>
              <w:spacing w:after="0" w:line="149" w:lineRule="exact"/>
              <w:rPr>
                <w:sz w:val="20"/>
                <w:szCs w:val="20"/>
                <w:color w:val="auto"/>
              </w:rPr>
            </w:pPr>
            <w:r>
              <w:rPr>
                <w:rFonts w:ascii="Arial" w:cs="Arial" w:eastAsia="Arial" w:hAnsi="Arial"/>
                <w:sz w:val="14"/>
                <w:szCs w:val="14"/>
                <w:color w:val="auto"/>
              </w:rPr>
              <w:t>8.85</w:t>
            </w:r>
          </w:p>
        </w:tc>
        <w:tc>
          <w:tcPr>
            <w:tcW w:w="820" w:type="dxa"/>
            <w:vAlign w:val="bottom"/>
            <w:vMerge w:val="restart"/>
            <w:shd w:val="clear" w:color="auto" w:fill="DDE6F2"/>
          </w:tcPr>
          <w:p>
            <w:pPr>
              <w:jc w:val="center"/>
              <w:ind w:left="33"/>
              <w:spacing w:after="0" w:line="149" w:lineRule="exact"/>
              <w:rPr>
                <w:sz w:val="20"/>
                <w:szCs w:val="20"/>
                <w:color w:val="auto"/>
              </w:rPr>
            </w:pPr>
            <w:r>
              <w:rPr>
                <w:rFonts w:ascii="Arial" w:cs="Arial" w:eastAsia="Arial" w:hAnsi="Arial"/>
                <w:sz w:val="14"/>
                <w:szCs w:val="14"/>
                <w:color w:val="auto"/>
                <w:w w:val="96"/>
              </w:rPr>
              <w:t>2/23/2019</w:t>
            </w:r>
          </w:p>
        </w:tc>
        <w:tc>
          <w:tcPr>
            <w:tcW w:w="1000" w:type="dxa"/>
            <w:vAlign w:val="bottom"/>
            <w:vMerge w:val="restart"/>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2/27/2012 </w:t>
            </w:r>
            <w:r>
              <w:rPr>
                <w:rFonts w:ascii="Arial" w:cs="Arial" w:eastAsia="Arial" w:hAnsi="Arial"/>
                <w:sz w:val="11"/>
                <w:szCs w:val="11"/>
                <w:color w:val="auto"/>
                <w:w w:val="97"/>
              </w:rPr>
              <w:t>(2)</w:t>
            </w:r>
          </w:p>
        </w:tc>
        <w:tc>
          <w:tcPr>
            <w:tcW w:w="720" w:type="dxa"/>
            <w:vAlign w:val="bottom"/>
            <w:shd w:val="clear" w:color="auto" w:fill="DDE6F2"/>
          </w:tcPr>
          <w:p>
            <w:pPr>
              <w:spacing w:after="0"/>
              <w:rPr>
                <w:sz w:val="7"/>
                <w:szCs w:val="7"/>
                <w:color w:val="auto"/>
              </w:rPr>
            </w:pPr>
          </w:p>
        </w:tc>
        <w:tc>
          <w:tcPr>
            <w:tcW w:w="840" w:type="dxa"/>
            <w:vAlign w:val="bottom"/>
            <w:shd w:val="clear" w:color="auto" w:fill="DDE6F2"/>
          </w:tcPr>
          <w:p>
            <w:pPr>
              <w:spacing w:after="0"/>
              <w:rPr>
                <w:sz w:val="7"/>
                <w:szCs w:val="7"/>
                <w:color w:val="auto"/>
              </w:rPr>
            </w:pPr>
          </w:p>
        </w:tc>
        <w:tc>
          <w:tcPr>
            <w:tcW w:w="760" w:type="dxa"/>
            <w:vAlign w:val="bottom"/>
            <w:vMerge w:val="restart"/>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34,352</w:t>
            </w:r>
          </w:p>
        </w:tc>
        <w:tc>
          <w:tcPr>
            <w:tcW w:w="1020" w:type="dxa"/>
            <w:vAlign w:val="bottom"/>
            <w:vMerge w:val="restart"/>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1,543,779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960" w:type="dxa"/>
            <w:vAlign w:val="bottom"/>
          </w:tcPr>
          <w:p>
            <w:pPr>
              <w:spacing w:after="0"/>
              <w:rPr>
                <w:sz w:val="5"/>
                <w:szCs w:val="5"/>
                <w:color w:val="auto"/>
              </w:rPr>
            </w:pPr>
          </w:p>
        </w:tc>
        <w:tc>
          <w:tcPr>
            <w:tcW w:w="180" w:type="dxa"/>
            <w:vAlign w:val="bottom"/>
            <w:shd w:val="clear" w:color="auto" w:fill="DDE6F2"/>
          </w:tcPr>
          <w:p>
            <w:pPr>
              <w:spacing w:after="0"/>
              <w:rPr>
                <w:sz w:val="5"/>
                <w:szCs w:val="5"/>
                <w:color w:val="auto"/>
              </w:rPr>
            </w:pPr>
          </w:p>
        </w:tc>
        <w:tc>
          <w:tcPr>
            <w:tcW w:w="600" w:type="dxa"/>
            <w:vAlign w:val="bottom"/>
            <w:vMerge w:val="continue"/>
            <w:shd w:val="clear" w:color="auto" w:fill="DDE6F2"/>
          </w:tcPr>
          <w:p>
            <w:pPr>
              <w:spacing w:after="0"/>
              <w:rPr>
                <w:sz w:val="5"/>
                <w:szCs w:val="5"/>
                <w:color w:val="auto"/>
              </w:rPr>
            </w:pPr>
          </w:p>
        </w:tc>
        <w:tc>
          <w:tcPr>
            <w:tcW w:w="220" w:type="dxa"/>
            <w:vAlign w:val="bottom"/>
            <w:shd w:val="clear" w:color="auto" w:fill="DDE6F2"/>
          </w:tcPr>
          <w:p>
            <w:pPr>
              <w:spacing w:after="0"/>
              <w:rPr>
                <w:sz w:val="5"/>
                <w:szCs w:val="5"/>
                <w:color w:val="auto"/>
              </w:rPr>
            </w:pPr>
          </w:p>
        </w:tc>
        <w:tc>
          <w:tcPr>
            <w:tcW w:w="600" w:type="dxa"/>
            <w:vAlign w:val="bottom"/>
            <w:vMerge w:val="continue"/>
            <w:shd w:val="clear" w:color="auto" w:fill="DDE6F2"/>
          </w:tcPr>
          <w:p>
            <w:pPr>
              <w:spacing w:after="0"/>
              <w:rPr>
                <w:sz w:val="5"/>
                <w:szCs w:val="5"/>
                <w:color w:val="auto"/>
              </w:rPr>
            </w:pPr>
          </w:p>
        </w:tc>
        <w:tc>
          <w:tcPr>
            <w:tcW w:w="80" w:type="dxa"/>
            <w:vAlign w:val="bottom"/>
            <w:shd w:val="clear" w:color="auto" w:fill="DDE6F2"/>
          </w:tcPr>
          <w:p>
            <w:pPr>
              <w:spacing w:after="0"/>
              <w:rPr>
                <w:sz w:val="5"/>
                <w:szCs w:val="5"/>
                <w:color w:val="auto"/>
              </w:rPr>
            </w:pPr>
          </w:p>
        </w:tc>
        <w:tc>
          <w:tcPr>
            <w:tcW w:w="240" w:type="dxa"/>
            <w:vAlign w:val="bottom"/>
            <w:shd w:val="clear" w:color="auto" w:fill="DDE6F2"/>
          </w:tcPr>
          <w:p>
            <w:pPr>
              <w:spacing w:after="0"/>
              <w:rPr>
                <w:sz w:val="5"/>
                <w:szCs w:val="5"/>
                <w:color w:val="auto"/>
              </w:rPr>
            </w:pPr>
          </w:p>
        </w:tc>
        <w:tc>
          <w:tcPr>
            <w:tcW w:w="820" w:type="dxa"/>
            <w:vAlign w:val="bottom"/>
            <w:vMerge w:val="continue"/>
            <w:shd w:val="clear" w:color="auto" w:fill="DDE6F2"/>
          </w:tcPr>
          <w:p>
            <w:pPr>
              <w:spacing w:after="0"/>
              <w:rPr>
                <w:sz w:val="5"/>
                <w:szCs w:val="5"/>
                <w:color w:val="auto"/>
              </w:rPr>
            </w:pPr>
          </w:p>
        </w:tc>
        <w:tc>
          <w:tcPr>
            <w:tcW w:w="900" w:type="dxa"/>
            <w:vAlign w:val="bottom"/>
            <w:shd w:val="clear" w:color="auto" w:fill="DDE6F2"/>
          </w:tcPr>
          <w:p>
            <w:pPr>
              <w:spacing w:after="0"/>
              <w:rPr>
                <w:sz w:val="5"/>
                <w:szCs w:val="5"/>
                <w:color w:val="auto"/>
              </w:rPr>
            </w:pPr>
          </w:p>
        </w:tc>
        <w:tc>
          <w:tcPr>
            <w:tcW w:w="660" w:type="dxa"/>
            <w:vAlign w:val="bottom"/>
            <w:vMerge w:val="continue"/>
            <w:shd w:val="clear" w:color="auto" w:fill="DDE6F2"/>
          </w:tcPr>
          <w:p>
            <w:pPr>
              <w:spacing w:after="0"/>
              <w:rPr>
                <w:sz w:val="5"/>
                <w:szCs w:val="5"/>
                <w:color w:val="auto"/>
              </w:rPr>
            </w:pPr>
          </w:p>
        </w:tc>
        <w:tc>
          <w:tcPr>
            <w:tcW w:w="820" w:type="dxa"/>
            <w:vAlign w:val="bottom"/>
            <w:vMerge w:val="continue"/>
            <w:shd w:val="clear" w:color="auto" w:fill="DDE6F2"/>
          </w:tcPr>
          <w:p>
            <w:pPr>
              <w:spacing w:after="0"/>
              <w:rPr>
                <w:sz w:val="5"/>
                <w:szCs w:val="5"/>
                <w:color w:val="auto"/>
              </w:rPr>
            </w:pPr>
          </w:p>
        </w:tc>
        <w:tc>
          <w:tcPr>
            <w:tcW w:w="1000" w:type="dxa"/>
            <w:vAlign w:val="bottom"/>
            <w:vMerge w:val="continue"/>
            <w:shd w:val="clear" w:color="auto" w:fill="DDE6F2"/>
          </w:tcPr>
          <w:p>
            <w:pPr>
              <w:spacing w:after="0"/>
              <w:rPr>
                <w:sz w:val="5"/>
                <w:szCs w:val="5"/>
                <w:color w:val="auto"/>
              </w:rPr>
            </w:pPr>
          </w:p>
        </w:tc>
        <w:tc>
          <w:tcPr>
            <w:tcW w:w="720" w:type="dxa"/>
            <w:vAlign w:val="bottom"/>
            <w:shd w:val="clear" w:color="auto" w:fill="DDE6F2"/>
          </w:tcPr>
          <w:p>
            <w:pPr>
              <w:spacing w:after="0"/>
              <w:rPr>
                <w:sz w:val="5"/>
                <w:szCs w:val="5"/>
                <w:color w:val="auto"/>
              </w:rPr>
            </w:pPr>
          </w:p>
        </w:tc>
        <w:tc>
          <w:tcPr>
            <w:tcW w:w="840" w:type="dxa"/>
            <w:vAlign w:val="bottom"/>
            <w:shd w:val="clear" w:color="auto" w:fill="DDE6F2"/>
          </w:tcPr>
          <w:p>
            <w:pPr>
              <w:spacing w:after="0"/>
              <w:rPr>
                <w:sz w:val="5"/>
                <w:szCs w:val="5"/>
                <w:color w:val="auto"/>
              </w:rPr>
            </w:pPr>
          </w:p>
        </w:tc>
        <w:tc>
          <w:tcPr>
            <w:tcW w:w="760" w:type="dxa"/>
            <w:vAlign w:val="bottom"/>
            <w:vMerge w:val="continue"/>
            <w:shd w:val="clear" w:color="auto" w:fill="DDE6F2"/>
          </w:tcPr>
          <w:p>
            <w:pPr>
              <w:spacing w:after="0"/>
              <w:rPr>
                <w:sz w:val="5"/>
                <w:szCs w:val="5"/>
                <w:color w:val="auto"/>
              </w:rPr>
            </w:pPr>
          </w:p>
        </w:tc>
        <w:tc>
          <w:tcPr>
            <w:tcW w:w="1020" w:type="dxa"/>
            <w:vAlign w:val="bottom"/>
            <w:vMerge w:val="continue"/>
            <w:shd w:val="clear" w:color="auto" w:fill="DDE6F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6"/>
              </w:rPr>
              <w:t>2/25/2008</w:t>
            </w:r>
          </w:p>
        </w:tc>
        <w:tc>
          <w:tcPr>
            <w:tcW w:w="220" w:type="dxa"/>
            <w:vAlign w:val="bottom"/>
            <w:shd w:val="clear" w:color="auto" w:fill="DDE6F2"/>
          </w:tcPr>
          <w:p>
            <w:pPr>
              <w:spacing w:after="0"/>
              <w:rPr>
                <w:sz w:val="12"/>
                <w:szCs w:val="12"/>
                <w:color w:val="auto"/>
              </w:rPr>
            </w:pPr>
          </w:p>
        </w:tc>
        <w:tc>
          <w:tcPr>
            <w:tcW w:w="600" w:type="dxa"/>
            <w:vAlign w:val="bottom"/>
            <w:shd w:val="clear" w:color="auto" w:fill="DDE6F2"/>
          </w:tcPr>
          <w:p>
            <w:pPr>
              <w:jc w:val="right"/>
              <w:spacing w:after="0" w:line="149" w:lineRule="exact"/>
              <w:rPr>
                <w:sz w:val="20"/>
                <w:szCs w:val="20"/>
                <w:color w:val="auto"/>
              </w:rPr>
            </w:pPr>
            <w:r>
              <w:rPr>
                <w:rFonts w:ascii="Arial" w:cs="Arial" w:eastAsia="Arial" w:hAnsi="Arial"/>
                <w:sz w:val="14"/>
                <w:szCs w:val="14"/>
                <w:color w:val="auto"/>
              </w:rPr>
              <w:t>37,420</w:t>
            </w:r>
          </w:p>
        </w:tc>
        <w:tc>
          <w:tcPr>
            <w:tcW w:w="80" w:type="dxa"/>
            <w:vAlign w:val="bottom"/>
            <w:shd w:val="clear" w:color="auto" w:fill="DDE6F2"/>
          </w:tcPr>
          <w:p>
            <w:pPr>
              <w:spacing w:after="0"/>
              <w:rPr>
                <w:sz w:val="12"/>
                <w:szCs w:val="12"/>
                <w:color w:val="auto"/>
              </w:rPr>
            </w:pPr>
          </w:p>
        </w:tc>
        <w:tc>
          <w:tcPr>
            <w:tcW w:w="240" w:type="dxa"/>
            <w:vAlign w:val="bottom"/>
            <w:shd w:val="clear" w:color="auto" w:fill="DDE6F2"/>
          </w:tcPr>
          <w:p>
            <w:pPr>
              <w:spacing w:after="0"/>
              <w:rPr>
                <w:sz w:val="12"/>
                <w:szCs w:val="12"/>
                <w:color w:val="auto"/>
              </w:rPr>
            </w:pPr>
          </w:p>
        </w:tc>
        <w:tc>
          <w:tcPr>
            <w:tcW w:w="820" w:type="dxa"/>
            <w:vAlign w:val="bottom"/>
            <w:shd w:val="clear" w:color="auto" w:fill="DDE6F2"/>
          </w:tcPr>
          <w:p>
            <w:pPr>
              <w:jc w:val="right"/>
              <w:ind w:right="76"/>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9" w:lineRule="exact"/>
              <w:rPr>
                <w:sz w:val="20"/>
                <w:szCs w:val="20"/>
                <w:color w:val="auto"/>
              </w:rPr>
            </w:pPr>
            <w:r>
              <w:rPr>
                <w:rFonts w:ascii="Arial" w:cs="Arial" w:eastAsia="Arial" w:hAnsi="Arial"/>
                <w:sz w:val="14"/>
                <w:szCs w:val="14"/>
                <w:color w:val="auto"/>
              </w:rPr>
              <w:t>29.72</w:t>
            </w:r>
          </w:p>
        </w:tc>
        <w:tc>
          <w:tcPr>
            <w:tcW w:w="820" w:type="dxa"/>
            <w:vAlign w:val="bottom"/>
            <w:shd w:val="clear" w:color="auto" w:fill="DDE6F2"/>
          </w:tcPr>
          <w:p>
            <w:pPr>
              <w:jc w:val="center"/>
              <w:ind w:left="33"/>
              <w:spacing w:after="0" w:line="149" w:lineRule="exact"/>
              <w:rPr>
                <w:sz w:val="20"/>
                <w:szCs w:val="20"/>
                <w:color w:val="auto"/>
              </w:rPr>
            </w:pPr>
            <w:r>
              <w:rPr>
                <w:rFonts w:ascii="Arial" w:cs="Arial" w:eastAsia="Arial" w:hAnsi="Arial"/>
                <w:sz w:val="14"/>
                <w:szCs w:val="14"/>
                <w:color w:val="auto"/>
                <w:w w:val="96"/>
              </w:rPr>
              <w:t>2/25/2018</w:t>
            </w: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2/27/2012 </w:t>
            </w:r>
            <w:r>
              <w:rPr>
                <w:rFonts w:ascii="Arial" w:cs="Arial" w:eastAsia="Arial" w:hAnsi="Arial"/>
                <w:sz w:val="11"/>
                <w:szCs w:val="11"/>
                <w:color w:val="auto"/>
                <w:w w:val="97"/>
              </w:rPr>
              <w:t>(3)</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84,518</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3,798,239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6"/>
              </w:rPr>
              <w:t>2/26/2007</w:t>
            </w:r>
          </w:p>
        </w:tc>
        <w:tc>
          <w:tcPr>
            <w:tcW w:w="220" w:type="dxa"/>
            <w:vAlign w:val="bottom"/>
            <w:shd w:val="clear" w:color="auto" w:fill="DDE6F2"/>
          </w:tcPr>
          <w:p>
            <w:pPr>
              <w:spacing w:after="0"/>
              <w:rPr>
                <w:sz w:val="12"/>
                <w:szCs w:val="12"/>
                <w:color w:val="auto"/>
              </w:rPr>
            </w:pPr>
          </w:p>
        </w:tc>
        <w:tc>
          <w:tcPr>
            <w:tcW w:w="600" w:type="dxa"/>
            <w:vAlign w:val="bottom"/>
            <w:shd w:val="clear" w:color="auto" w:fill="DDE6F2"/>
          </w:tcPr>
          <w:p>
            <w:pPr>
              <w:jc w:val="right"/>
              <w:spacing w:after="0" w:line="149" w:lineRule="exact"/>
              <w:rPr>
                <w:sz w:val="20"/>
                <w:szCs w:val="20"/>
                <w:color w:val="auto"/>
              </w:rPr>
            </w:pPr>
            <w:r>
              <w:rPr>
                <w:rFonts w:ascii="Arial" w:cs="Arial" w:eastAsia="Arial" w:hAnsi="Arial"/>
                <w:sz w:val="14"/>
                <w:szCs w:val="14"/>
                <w:color w:val="auto"/>
              </w:rPr>
              <w:t>41,660</w:t>
            </w:r>
          </w:p>
        </w:tc>
        <w:tc>
          <w:tcPr>
            <w:tcW w:w="80" w:type="dxa"/>
            <w:vAlign w:val="bottom"/>
            <w:shd w:val="clear" w:color="auto" w:fill="DDE6F2"/>
          </w:tcPr>
          <w:p>
            <w:pPr>
              <w:spacing w:after="0"/>
              <w:rPr>
                <w:sz w:val="12"/>
                <w:szCs w:val="12"/>
                <w:color w:val="auto"/>
              </w:rPr>
            </w:pPr>
          </w:p>
        </w:tc>
        <w:tc>
          <w:tcPr>
            <w:tcW w:w="240" w:type="dxa"/>
            <w:vAlign w:val="bottom"/>
            <w:shd w:val="clear" w:color="auto" w:fill="DDE6F2"/>
          </w:tcPr>
          <w:p>
            <w:pPr>
              <w:spacing w:after="0"/>
              <w:rPr>
                <w:sz w:val="12"/>
                <w:szCs w:val="12"/>
                <w:color w:val="auto"/>
              </w:rPr>
            </w:pPr>
          </w:p>
        </w:tc>
        <w:tc>
          <w:tcPr>
            <w:tcW w:w="820" w:type="dxa"/>
            <w:vAlign w:val="bottom"/>
            <w:shd w:val="clear" w:color="auto" w:fill="DDE6F2"/>
          </w:tcPr>
          <w:p>
            <w:pPr>
              <w:jc w:val="right"/>
              <w:ind w:right="76"/>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9" w:lineRule="exact"/>
              <w:rPr>
                <w:sz w:val="20"/>
                <w:szCs w:val="20"/>
                <w:color w:val="auto"/>
              </w:rPr>
            </w:pPr>
            <w:r>
              <w:rPr>
                <w:rFonts w:ascii="Arial" w:cs="Arial" w:eastAsia="Arial" w:hAnsi="Arial"/>
                <w:sz w:val="14"/>
                <w:szCs w:val="14"/>
                <w:color w:val="auto"/>
              </w:rPr>
              <w:t>23.04</w:t>
            </w:r>
          </w:p>
        </w:tc>
        <w:tc>
          <w:tcPr>
            <w:tcW w:w="820" w:type="dxa"/>
            <w:vAlign w:val="bottom"/>
            <w:shd w:val="clear" w:color="auto" w:fill="DDE6F2"/>
          </w:tcPr>
          <w:p>
            <w:pPr>
              <w:jc w:val="center"/>
              <w:ind w:left="33"/>
              <w:spacing w:after="0" w:line="149" w:lineRule="exact"/>
              <w:rPr>
                <w:sz w:val="20"/>
                <w:szCs w:val="20"/>
                <w:color w:val="auto"/>
              </w:rPr>
            </w:pPr>
            <w:r>
              <w:rPr>
                <w:rFonts w:ascii="Arial" w:cs="Arial" w:eastAsia="Arial" w:hAnsi="Arial"/>
                <w:sz w:val="14"/>
                <w:szCs w:val="14"/>
                <w:color w:val="auto"/>
                <w:w w:val="96"/>
              </w:rPr>
              <w:t>2/26/2017</w:t>
            </w:r>
          </w:p>
        </w:tc>
        <w:tc>
          <w:tcPr>
            <w:tcW w:w="1000" w:type="dxa"/>
            <w:vAlign w:val="bottom"/>
            <w:shd w:val="clear" w:color="auto" w:fill="DDE6F2"/>
          </w:tcPr>
          <w:p>
            <w:pPr>
              <w:spacing w:after="0"/>
              <w:rPr>
                <w:sz w:val="12"/>
                <w:szCs w:val="12"/>
                <w:color w:val="auto"/>
              </w:rPr>
            </w:pP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spacing w:after="0"/>
              <w:rPr>
                <w:sz w:val="12"/>
                <w:szCs w:val="12"/>
                <w:color w:val="auto"/>
              </w:rPr>
            </w:pPr>
          </w:p>
        </w:tc>
        <w:tc>
          <w:tcPr>
            <w:tcW w:w="1020" w:type="dxa"/>
            <w:vAlign w:val="bottom"/>
            <w:shd w:val="clear" w:color="auto" w:fill="DDE6F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5"/>
              </w:rPr>
              <w:t>3/3/2006</w:t>
            </w:r>
          </w:p>
        </w:tc>
        <w:tc>
          <w:tcPr>
            <w:tcW w:w="220" w:type="dxa"/>
            <w:vAlign w:val="bottom"/>
            <w:shd w:val="clear" w:color="auto" w:fill="DDE6F2"/>
          </w:tcPr>
          <w:p>
            <w:pPr>
              <w:spacing w:after="0"/>
              <w:rPr>
                <w:sz w:val="12"/>
                <w:szCs w:val="12"/>
                <w:color w:val="auto"/>
              </w:rPr>
            </w:pPr>
          </w:p>
        </w:tc>
        <w:tc>
          <w:tcPr>
            <w:tcW w:w="600" w:type="dxa"/>
            <w:vAlign w:val="bottom"/>
            <w:shd w:val="clear" w:color="auto" w:fill="DDE6F2"/>
          </w:tcPr>
          <w:p>
            <w:pPr>
              <w:jc w:val="right"/>
              <w:spacing w:after="0" w:line="149" w:lineRule="exact"/>
              <w:rPr>
                <w:sz w:val="20"/>
                <w:szCs w:val="20"/>
                <w:color w:val="auto"/>
              </w:rPr>
            </w:pPr>
            <w:r>
              <w:rPr>
                <w:rFonts w:ascii="Arial" w:cs="Arial" w:eastAsia="Arial" w:hAnsi="Arial"/>
                <w:sz w:val="14"/>
                <w:szCs w:val="14"/>
                <w:color w:val="auto"/>
              </w:rPr>
              <w:t>29,648</w:t>
            </w:r>
          </w:p>
        </w:tc>
        <w:tc>
          <w:tcPr>
            <w:tcW w:w="80" w:type="dxa"/>
            <w:vAlign w:val="bottom"/>
            <w:shd w:val="clear" w:color="auto" w:fill="DDE6F2"/>
          </w:tcPr>
          <w:p>
            <w:pPr>
              <w:spacing w:after="0"/>
              <w:rPr>
                <w:sz w:val="12"/>
                <w:szCs w:val="12"/>
                <w:color w:val="auto"/>
              </w:rPr>
            </w:pPr>
          </w:p>
        </w:tc>
        <w:tc>
          <w:tcPr>
            <w:tcW w:w="240" w:type="dxa"/>
            <w:vAlign w:val="bottom"/>
            <w:shd w:val="clear" w:color="auto" w:fill="DDE6F2"/>
          </w:tcPr>
          <w:p>
            <w:pPr>
              <w:spacing w:after="0"/>
              <w:rPr>
                <w:sz w:val="12"/>
                <w:szCs w:val="12"/>
                <w:color w:val="auto"/>
              </w:rPr>
            </w:pPr>
          </w:p>
        </w:tc>
        <w:tc>
          <w:tcPr>
            <w:tcW w:w="820" w:type="dxa"/>
            <w:vAlign w:val="bottom"/>
            <w:shd w:val="clear" w:color="auto" w:fill="DDE6F2"/>
          </w:tcPr>
          <w:p>
            <w:pPr>
              <w:jc w:val="right"/>
              <w:ind w:right="76"/>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9" w:lineRule="exact"/>
              <w:rPr>
                <w:sz w:val="20"/>
                <w:szCs w:val="20"/>
                <w:color w:val="auto"/>
              </w:rPr>
            </w:pPr>
            <w:r>
              <w:rPr>
                <w:rFonts w:ascii="Arial" w:cs="Arial" w:eastAsia="Arial" w:hAnsi="Arial"/>
                <w:sz w:val="14"/>
                <w:szCs w:val="14"/>
                <w:color w:val="auto"/>
              </w:rPr>
              <w:t>17.65</w:t>
            </w:r>
          </w:p>
        </w:tc>
        <w:tc>
          <w:tcPr>
            <w:tcW w:w="820" w:type="dxa"/>
            <w:vAlign w:val="bottom"/>
            <w:shd w:val="clear" w:color="auto" w:fill="DDE6F2"/>
          </w:tcPr>
          <w:p>
            <w:pPr>
              <w:jc w:val="center"/>
              <w:ind w:left="33"/>
              <w:spacing w:after="0" w:line="149" w:lineRule="exact"/>
              <w:rPr>
                <w:sz w:val="20"/>
                <w:szCs w:val="20"/>
                <w:color w:val="auto"/>
              </w:rPr>
            </w:pPr>
            <w:r>
              <w:rPr>
                <w:rFonts w:ascii="Arial" w:cs="Arial" w:eastAsia="Arial" w:hAnsi="Arial"/>
                <w:sz w:val="14"/>
                <w:szCs w:val="14"/>
                <w:color w:val="auto"/>
                <w:w w:val="95"/>
              </w:rPr>
              <w:t>3/3/2016</w:t>
            </w:r>
          </w:p>
        </w:tc>
        <w:tc>
          <w:tcPr>
            <w:tcW w:w="1000" w:type="dxa"/>
            <w:vAlign w:val="bottom"/>
            <w:shd w:val="clear" w:color="auto" w:fill="DDE6F2"/>
          </w:tcPr>
          <w:p>
            <w:pPr>
              <w:spacing w:after="0"/>
              <w:rPr>
                <w:sz w:val="12"/>
                <w:szCs w:val="12"/>
                <w:color w:val="auto"/>
              </w:rPr>
            </w:pP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spacing w:after="0"/>
              <w:rPr>
                <w:sz w:val="12"/>
                <w:szCs w:val="12"/>
                <w:color w:val="auto"/>
              </w:rPr>
            </w:pPr>
          </w:p>
        </w:tc>
        <w:tc>
          <w:tcPr>
            <w:tcW w:w="1020" w:type="dxa"/>
            <w:vAlign w:val="bottom"/>
            <w:shd w:val="clear" w:color="auto" w:fill="DDE6F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shd w:val="clear" w:color="auto" w:fill="DDE6F2"/>
          </w:tcPr>
          <w:p>
            <w:pPr>
              <w:spacing w:after="0"/>
              <w:rPr>
                <w:sz w:val="12"/>
                <w:szCs w:val="12"/>
                <w:color w:val="auto"/>
              </w:rPr>
            </w:pPr>
          </w:p>
        </w:tc>
        <w:tc>
          <w:tcPr>
            <w:tcW w:w="600" w:type="dxa"/>
            <w:vAlign w:val="bottom"/>
            <w:tcBorders>
              <w:bottom w:val="single" w:sz="8" w:color="auto"/>
            </w:tcBorders>
            <w:shd w:val="clear" w:color="auto" w:fill="DDE6F2"/>
          </w:tcPr>
          <w:p>
            <w:pPr>
              <w:jc w:val="center"/>
              <w:spacing w:after="0" w:line="149" w:lineRule="exact"/>
              <w:rPr>
                <w:sz w:val="20"/>
                <w:szCs w:val="20"/>
                <w:color w:val="auto"/>
              </w:rPr>
            </w:pPr>
            <w:r>
              <w:rPr>
                <w:rFonts w:ascii="Arial" w:cs="Arial" w:eastAsia="Arial" w:hAnsi="Arial"/>
                <w:sz w:val="14"/>
                <w:szCs w:val="14"/>
                <w:color w:val="auto"/>
                <w:w w:val="96"/>
              </w:rPr>
              <w:t>2/25/2005</w:t>
            </w:r>
          </w:p>
        </w:tc>
        <w:tc>
          <w:tcPr>
            <w:tcW w:w="220" w:type="dxa"/>
            <w:vAlign w:val="bottom"/>
            <w:tcBorders>
              <w:bottom w:val="single" w:sz="8" w:color="auto"/>
            </w:tcBorders>
            <w:shd w:val="clear" w:color="auto" w:fill="DDE6F2"/>
          </w:tcPr>
          <w:p>
            <w:pPr>
              <w:spacing w:after="0"/>
              <w:rPr>
                <w:sz w:val="12"/>
                <w:szCs w:val="12"/>
                <w:color w:val="auto"/>
              </w:rPr>
            </w:pPr>
          </w:p>
        </w:tc>
        <w:tc>
          <w:tcPr>
            <w:tcW w:w="600" w:type="dxa"/>
            <w:vAlign w:val="bottom"/>
            <w:tcBorders>
              <w:bottom w:val="single" w:sz="8" w:color="auto"/>
            </w:tcBorders>
            <w:shd w:val="clear" w:color="auto" w:fill="DDE6F2"/>
          </w:tcPr>
          <w:p>
            <w:pPr>
              <w:jc w:val="right"/>
              <w:spacing w:after="0" w:line="149" w:lineRule="exact"/>
              <w:rPr>
                <w:sz w:val="20"/>
                <w:szCs w:val="20"/>
                <w:color w:val="auto"/>
              </w:rPr>
            </w:pPr>
            <w:r>
              <w:rPr>
                <w:rFonts w:ascii="Arial" w:cs="Arial" w:eastAsia="Arial" w:hAnsi="Arial"/>
                <w:sz w:val="14"/>
                <w:szCs w:val="14"/>
                <w:color w:val="auto"/>
              </w:rPr>
              <w:t>40,060</w:t>
            </w:r>
          </w:p>
        </w:tc>
        <w:tc>
          <w:tcPr>
            <w:tcW w:w="80" w:type="dxa"/>
            <w:vAlign w:val="bottom"/>
            <w:tcBorders>
              <w:bottom w:val="single" w:sz="8" w:color="auto"/>
            </w:tcBorders>
            <w:shd w:val="clear" w:color="auto" w:fill="DDE6F2"/>
          </w:tcPr>
          <w:p>
            <w:pPr>
              <w:spacing w:after="0"/>
              <w:rPr>
                <w:sz w:val="12"/>
                <w:szCs w:val="12"/>
                <w:color w:val="auto"/>
              </w:rPr>
            </w:pPr>
          </w:p>
        </w:tc>
        <w:tc>
          <w:tcPr>
            <w:tcW w:w="240" w:type="dxa"/>
            <w:vAlign w:val="bottom"/>
            <w:tcBorders>
              <w:bottom w:val="single" w:sz="8" w:color="auto"/>
            </w:tcBorders>
            <w:shd w:val="clear" w:color="auto" w:fill="DDE6F2"/>
          </w:tcPr>
          <w:p>
            <w:pPr>
              <w:spacing w:after="0"/>
              <w:rPr>
                <w:sz w:val="12"/>
                <w:szCs w:val="12"/>
                <w:color w:val="auto"/>
              </w:rPr>
            </w:pPr>
          </w:p>
        </w:tc>
        <w:tc>
          <w:tcPr>
            <w:tcW w:w="820" w:type="dxa"/>
            <w:vAlign w:val="bottom"/>
            <w:tcBorders>
              <w:bottom w:val="single" w:sz="8" w:color="auto"/>
            </w:tcBorders>
            <w:shd w:val="clear" w:color="auto" w:fill="DDE6F2"/>
          </w:tcPr>
          <w:p>
            <w:pPr>
              <w:jc w:val="right"/>
              <w:ind w:right="76"/>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DDE6F2"/>
          </w:tcPr>
          <w:p>
            <w:pPr>
              <w:spacing w:after="0"/>
              <w:rPr>
                <w:sz w:val="12"/>
                <w:szCs w:val="12"/>
                <w:color w:val="auto"/>
              </w:rPr>
            </w:pPr>
          </w:p>
        </w:tc>
        <w:tc>
          <w:tcPr>
            <w:tcW w:w="660" w:type="dxa"/>
            <w:vAlign w:val="bottom"/>
            <w:tcBorders>
              <w:bottom w:val="single" w:sz="8" w:color="auto"/>
            </w:tcBorders>
            <w:shd w:val="clear" w:color="auto" w:fill="DDE6F2"/>
          </w:tcPr>
          <w:p>
            <w:pPr>
              <w:jc w:val="right"/>
              <w:ind w:right="74"/>
              <w:spacing w:after="0" w:line="149" w:lineRule="exact"/>
              <w:rPr>
                <w:sz w:val="20"/>
                <w:szCs w:val="20"/>
                <w:color w:val="auto"/>
              </w:rPr>
            </w:pPr>
            <w:r>
              <w:rPr>
                <w:rFonts w:ascii="Arial" w:cs="Arial" w:eastAsia="Arial" w:hAnsi="Arial"/>
                <w:sz w:val="14"/>
                <w:szCs w:val="14"/>
                <w:color w:val="auto"/>
              </w:rPr>
              <w:t>15.71</w:t>
            </w:r>
          </w:p>
        </w:tc>
        <w:tc>
          <w:tcPr>
            <w:tcW w:w="820" w:type="dxa"/>
            <w:vAlign w:val="bottom"/>
            <w:tcBorders>
              <w:bottom w:val="single" w:sz="8" w:color="auto"/>
            </w:tcBorders>
            <w:shd w:val="clear" w:color="auto" w:fill="DDE6F2"/>
          </w:tcPr>
          <w:p>
            <w:pPr>
              <w:jc w:val="center"/>
              <w:ind w:left="33"/>
              <w:spacing w:after="0" w:line="149" w:lineRule="exact"/>
              <w:rPr>
                <w:sz w:val="20"/>
                <w:szCs w:val="20"/>
                <w:color w:val="auto"/>
              </w:rPr>
            </w:pPr>
            <w:r>
              <w:rPr>
                <w:rFonts w:ascii="Arial" w:cs="Arial" w:eastAsia="Arial" w:hAnsi="Arial"/>
                <w:sz w:val="14"/>
                <w:szCs w:val="14"/>
                <w:color w:val="auto"/>
                <w:w w:val="96"/>
              </w:rPr>
              <w:t>2/25/2015</w:t>
            </w:r>
          </w:p>
        </w:tc>
        <w:tc>
          <w:tcPr>
            <w:tcW w:w="1000" w:type="dxa"/>
            <w:vAlign w:val="bottom"/>
            <w:tcBorders>
              <w:bottom w:val="single" w:sz="8" w:color="auto"/>
            </w:tcBorders>
            <w:shd w:val="clear" w:color="auto" w:fill="DDE6F2"/>
          </w:tcPr>
          <w:p>
            <w:pPr>
              <w:spacing w:after="0"/>
              <w:rPr>
                <w:sz w:val="12"/>
                <w:szCs w:val="12"/>
                <w:color w:val="auto"/>
              </w:rPr>
            </w:pPr>
          </w:p>
        </w:tc>
        <w:tc>
          <w:tcPr>
            <w:tcW w:w="720" w:type="dxa"/>
            <w:vAlign w:val="bottom"/>
            <w:tcBorders>
              <w:bottom w:val="single" w:sz="8" w:color="auto"/>
            </w:tcBorders>
            <w:shd w:val="clear" w:color="auto" w:fill="DDE6F2"/>
          </w:tcPr>
          <w:p>
            <w:pPr>
              <w:spacing w:after="0"/>
              <w:rPr>
                <w:sz w:val="12"/>
                <w:szCs w:val="12"/>
                <w:color w:val="auto"/>
              </w:rPr>
            </w:pPr>
          </w:p>
        </w:tc>
        <w:tc>
          <w:tcPr>
            <w:tcW w:w="840" w:type="dxa"/>
            <w:vAlign w:val="bottom"/>
            <w:tcBorders>
              <w:bottom w:val="single" w:sz="8" w:color="auto"/>
            </w:tcBorders>
            <w:shd w:val="clear" w:color="auto" w:fill="DDE6F2"/>
          </w:tcPr>
          <w:p>
            <w:pPr>
              <w:spacing w:after="0"/>
              <w:rPr>
                <w:sz w:val="12"/>
                <w:szCs w:val="12"/>
                <w:color w:val="auto"/>
              </w:rPr>
            </w:pPr>
          </w:p>
        </w:tc>
        <w:tc>
          <w:tcPr>
            <w:tcW w:w="760" w:type="dxa"/>
            <w:vAlign w:val="bottom"/>
            <w:tcBorders>
              <w:bottom w:val="single" w:sz="8" w:color="auto"/>
            </w:tcBorders>
            <w:shd w:val="clear" w:color="auto" w:fill="DDE6F2"/>
          </w:tcPr>
          <w:p>
            <w:pPr>
              <w:spacing w:after="0"/>
              <w:rPr>
                <w:sz w:val="12"/>
                <w:szCs w:val="12"/>
                <w:color w:val="auto"/>
              </w:rPr>
            </w:pPr>
          </w:p>
        </w:tc>
        <w:tc>
          <w:tcPr>
            <w:tcW w:w="1020" w:type="dxa"/>
            <w:vAlign w:val="bottom"/>
            <w:tcBorders>
              <w:bottom w:val="single" w:sz="8" w:color="auto"/>
            </w:tcBorders>
            <w:shd w:val="clear" w:color="auto" w:fill="DDE6F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960" w:type="dxa"/>
            <w:vAlign w:val="bottom"/>
          </w:tcPr>
          <w:p>
            <w:pPr>
              <w:spacing w:after="0"/>
              <w:rPr>
                <w:sz w:val="12"/>
                <w:szCs w:val="12"/>
                <w:color w:val="auto"/>
              </w:rPr>
            </w:pPr>
          </w:p>
        </w:tc>
        <w:tc>
          <w:tcPr>
            <w:tcW w:w="780" w:type="dxa"/>
            <w:vAlign w:val="bottom"/>
            <w:gridSpan w:val="2"/>
          </w:tcPr>
          <w:p>
            <w:pPr>
              <w:jc w:val="center"/>
              <w:ind w:left="112"/>
              <w:spacing w:after="0" w:line="141" w:lineRule="exact"/>
              <w:rPr>
                <w:sz w:val="20"/>
                <w:szCs w:val="20"/>
                <w:color w:val="auto"/>
              </w:rPr>
            </w:pPr>
            <w:r>
              <w:rPr>
                <w:rFonts w:ascii="Arial" w:cs="Arial" w:eastAsia="Arial" w:hAnsi="Arial"/>
                <w:sz w:val="14"/>
                <w:szCs w:val="14"/>
                <w:color w:val="auto"/>
                <w:w w:val="96"/>
              </w:rPr>
              <w:t>2/24/2014</w:t>
            </w:r>
          </w:p>
        </w:tc>
        <w:tc>
          <w:tcPr>
            <w:tcW w:w="220" w:type="dxa"/>
            <w:vAlign w:val="bottom"/>
          </w:tcPr>
          <w:p>
            <w:pPr>
              <w:spacing w:after="0"/>
              <w:rPr>
                <w:sz w:val="12"/>
                <w:szCs w:val="12"/>
                <w:color w:val="auto"/>
              </w:rPr>
            </w:pP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76"/>
              <w:spacing w:after="0" w:line="141" w:lineRule="exact"/>
              <w:rPr>
                <w:sz w:val="20"/>
                <w:szCs w:val="20"/>
                <w:color w:val="auto"/>
              </w:rPr>
            </w:pPr>
            <w:r>
              <w:rPr>
                <w:rFonts w:ascii="Arial" w:cs="Arial" w:eastAsia="Arial" w:hAnsi="Arial"/>
                <w:sz w:val="14"/>
                <w:szCs w:val="14"/>
                <w:color w:val="auto"/>
              </w:rPr>
              <w:t>60,837</w:t>
            </w:r>
          </w:p>
        </w:tc>
        <w:tc>
          <w:tcPr>
            <w:tcW w:w="900" w:type="dxa"/>
            <w:vAlign w:val="bottom"/>
          </w:tcPr>
          <w:p>
            <w:pPr>
              <w:spacing w:after="0"/>
              <w:rPr>
                <w:sz w:val="12"/>
                <w:szCs w:val="12"/>
                <w:color w:val="auto"/>
              </w:rPr>
            </w:pPr>
          </w:p>
        </w:tc>
        <w:tc>
          <w:tcPr>
            <w:tcW w:w="660" w:type="dxa"/>
            <w:vAlign w:val="bottom"/>
          </w:tcPr>
          <w:p>
            <w:pPr>
              <w:jc w:val="right"/>
              <w:ind w:right="74"/>
              <w:spacing w:after="0" w:line="141" w:lineRule="exact"/>
              <w:rPr>
                <w:sz w:val="20"/>
                <w:szCs w:val="20"/>
                <w:color w:val="auto"/>
              </w:rPr>
            </w:pPr>
            <w:r>
              <w:rPr>
                <w:rFonts w:ascii="Arial" w:cs="Arial" w:eastAsia="Arial" w:hAnsi="Arial"/>
                <w:sz w:val="14"/>
                <w:szCs w:val="14"/>
                <w:color w:val="auto"/>
              </w:rPr>
              <w:t>41.77</w:t>
            </w:r>
          </w:p>
        </w:tc>
        <w:tc>
          <w:tcPr>
            <w:tcW w:w="820" w:type="dxa"/>
            <w:vAlign w:val="bottom"/>
          </w:tcPr>
          <w:p>
            <w:pPr>
              <w:jc w:val="center"/>
              <w:ind w:left="33"/>
              <w:spacing w:after="0" w:line="141" w:lineRule="exact"/>
              <w:rPr>
                <w:sz w:val="20"/>
                <w:szCs w:val="20"/>
                <w:color w:val="auto"/>
              </w:rPr>
            </w:pPr>
            <w:r>
              <w:rPr>
                <w:rFonts w:ascii="Arial" w:cs="Arial" w:eastAsia="Arial" w:hAnsi="Arial"/>
                <w:sz w:val="14"/>
                <w:szCs w:val="14"/>
                <w:color w:val="auto"/>
                <w:w w:val="96"/>
              </w:rPr>
              <w:t>2/24/2024</w:t>
            </w:r>
          </w:p>
        </w:tc>
        <w:tc>
          <w:tcPr>
            <w:tcW w:w="1000" w:type="dxa"/>
            <w:vAlign w:val="bottom"/>
          </w:tcPr>
          <w:p>
            <w:pPr>
              <w:jc w:val="center"/>
              <w:spacing w:after="0" w:line="141" w:lineRule="exact"/>
              <w:rPr>
                <w:sz w:val="20"/>
                <w:szCs w:val="20"/>
                <w:color w:val="auto"/>
              </w:rPr>
            </w:pPr>
            <w:r>
              <w:rPr>
                <w:rFonts w:ascii="Arial" w:cs="Arial" w:eastAsia="Arial" w:hAnsi="Arial"/>
                <w:sz w:val="14"/>
                <w:szCs w:val="14"/>
                <w:color w:val="auto"/>
                <w:w w:val="96"/>
              </w:rPr>
              <w:t xml:space="preserve">10/25/2014 </w:t>
            </w:r>
            <w:r>
              <w:rPr>
                <w:rFonts w:ascii="Arial" w:cs="Arial" w:eastAsia="Arial" w:hAnsi="Arial"/>
                <w:sz w:val="11"/>
                <w:szCs w:val="11"/>
                <w:color w:val="auto"/>
                <w:w w:val="96"/>
              </w:rPr>
              <w:t>(4)</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jc w:val="right"/>
              <w:ind w:right="16"/>
              <w:spacing w:after="0" w:line="141" w:lineRule="exact"/>
              <w:rPr>
                <w:sz w:val="20"/>
                <w:szCs w:val="20"/>
                <w:color w:val="auto"/>
              </w:rPr>
            </w:pPr>
            <w:r>
              <w:rPr>
                <w:rFonts w:ascii="Arial" w:cs="Arial" w:eastAsia="Arial" w:hAnsi="Arial"/>
                <w:sz w:val="14"/>
                <w:szCs w:val="14"/>
                <w:color w:val="auto"/>
              </w:rPr>
              <w:t>39,765</w:t>
            </w:r>
          </w:p>
        </w:tc>
        <w:tc>
          <w:tcPr>
            <w:tcW w:w="1020" w:type="dxa"/>
            <w:vAlign w:val="bottom"/>
          </w:tcPr>
          <w:p>
            <w:pPr>
              <w:jc w:val="right"/>
              <w:ind w:right="156"/>
              <w:spacing w:after="0" w:line="141" w:lineRule="exact"/>
              <w:rPr>
                <w:sz w:val="20"/>
                <w:szCs w:val="20"/>
                <w:color w:val="auto"/>
              </w:rPr>
            </w:pPr>
            <w:r>
              <w:rPr>
                <w:rFonts w:ascii="Arial" w:cs="Arial" w:eastAsia="Arial" w:hAnsi="Arial"/>
                <w:sz w:val="14"/>
                <w:szCs w:val="14"/>
                <w:color w:val="auto"/>
              </w:rPr>
              <w:t>1,787,039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7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6"/>
              </w:rPr>
              <w:t>2/25/2013</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24,849</w:t>
            </w:r>
          </w:p>
        </w:tc>
        <w:tc>
          <w:tcPr>
            <w:tcW w:w="1060" w:type="dxa"/>
            <w:vAlign w:val="bottom"/>
            <w:gridSpan w:val="2"/>
          </w:tcPr>
          <w:p>
            <w:pPr>
              <w:jc w:val="right"/>
              <w:ind w:right="76"/>
              <w:spacing w:after="0" w:line="149" w:lineRule="exact"/>
              <w:rPr>
                <w:sz w:val="20"/>
                <w:szCs w:val="20"/>
                <w:color w:val="auto"/>
              </w:rPr>
            </w:pPr>
            <w:r>
              <w:rPr>
                <w:rFonts w:ascii="Arial" w:cs="Arial" w:eastAsia="Arial" w:hAnsi="Arial"/>
                <w:sz w:val="14"/>
                <w:szCs w:val="14"/>
                <w:color w:val="auto"/>
              </w:rPr>
              <w:t>49,700</w:t>
            </w:r>
          </w:p>
        </w:tc>
        <w:tc>
          <w:tcPr>
            <w:tcW w:w="900" w:type="dxa"/>
            <w:vAlign w:val="bottom"/>
          </w:tcPr>
          <w:p>
            <w:pPr>
              <w:spacing w:after="0"/>
              <w:rPr>
                <w:sz w:val="12"/>
                <w:szCs w:val="12"/>
                <w:color w:val="auto"/>
              </w:rPr>
            </w:pPr>
          </w:p>
        </w:tc>
        <w:tc>
          <w:tcPr>
            <w:tcW w:w="660" w:type="dxa"/>
            <w:vAlign w:val="bottom"/>
          </w:tcPr>
          <w:p>
            <w:pPr>
              <w:jc w:val="right"/>
              <w:ind w:right="74"/>
              <w:spacing w:after="0" w:line="149" w:lineRule="exact"/>
              <w:rPr>
                <w:sz w:val="20"/>
                <w:szCs w:val="20"/>
                <w:color w:val="auto"/>
              </w:rPr>
            </w:pPr>
            <w:r>
              <w:rPr>
                <w:rFonts w:ascii="Arial" w:cs="Arial" w:eastAsia="Arial" w:hAnsi="Arial"/>
                <w:sz w:val="14"/>
                <w:szCs w:val="14"/>
                <w:color w:val="auto"/>
              </w:rPr>
              <w:t>33.57</w:t>
            </w:r>
          </w:p>
        </w:tc>
        <w:tc>
          <w:tcPr>
            <w:tcW w:w="820" w:type="dxa"/>
            <w:vAlign w:val="bottom"/>
          </w:tcPr>
          <w:p>
            <w:pPr>
              <w:jc w:val="center"/>
              <w:ind w:left="33"/>
              <w:spacing w:after="0" w:line="149" w:lineRule="exact"/>
              <w:rPr>
                <w:sz w:val="20"/>
                <w:szCs w:val="20"/>
                <w:color w:val="auto"/>
              </w:rPr>
            </w:pPr>
            <w:r>
              <w:rPr>
                <w:rFonts w:ascii="Arial" w:cs="Arial" w:eastAsia="Arial" w:hAnsi="Arial"/>
                <w:sz w:val="14"/>
                <w:szCs w:val="14"/>
                <w:color w:val="auto"/>
                <w:w w:val="96"/>
              </w:rPr>
              <w:t>2/25/2023</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 xml:space="preserve">2/24/2014 </w:t>
            </w:r>
            <w:r>
              <w:rPr>
                <w:rFonts w:ascii="Arial" w:cs="Arial" w:eastAsia="Arial" w:hAnsi="Arial"/>
                <w:sz w:val="11"/>
                <w:szCs w:val="11"/>
                <w:color w:val="auto"/>
                <w:w w:val="97"/>
              </w:rPr>
              <w:t>(2)</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jc w:val="right"/>
              <w:ind w:right="16"/>
              <w:spacing w:after="0" w:line="149" w:lineRule="exact"/>
              <w:rPr>
                <w:sz w:val="20"/>
                <w:szCs w:val="20"/>
                <w:color w:val="auto"/>
              </w:rPr>
            </w:pPr>
            <w:r>
              <w:rPr>
                <w:rFonts w:ascii="Arial" w:cs="Arial" w:eastAsia="Arial" w:hAnsi="Arial"/>
                <w:sz w:val="14"/>
                <w:szCs w:val="14"/>
                <w:color w:val="auto"/>
              </w:rPr>
              <w:t>20,110</w:t>
            </w:r>
          </w:p>
        </w:tc>
        <w:tc>
          <w:tcPr>
            <w:tcW w:w="1020" w:type="dxa"/>
            <w:vAlign w:val="bottom"/>
          </w:tcPr>
          <w:p>
            <w:pPr>
              <w:jc w:val="right"/>
              <w:ind w:right="156"/>
              <w:spacing w:after="0" w:line="149" w:lineRule="exact"/>
              <w:rPr>
                <w:sz w:val="20"/>
                <w:szCs w:val="20"/>
                <w:color w:val="auto"/>
              </w:rPr>
            </w:pPr>
            <w:r>
              <w:rPr>
                <w:rFonts w:ascii="Arial" w:cs="Arial" w:eastAsia="Arial" w:hAnsi="Arial"/>
                <w:sz w:val="14"/>
                <w:szCs w:val="14"/>
                <w:color w:val="auto"/>
              </w:rPr>
              <w:t>903,743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7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6"/>
              </w:rPr>
              <w:t>2/27/2012</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63,872</w:t>
            </w:r>
          </w:p>
        </w:tc>
        <w:tc>
          <w:tcPr>
            <w:tcW w:w="1060" w:type="dxa"/>
            <w:vAlign w:val="bottom"/>
            <w:gridSpan w:val="2"/>
          </w:tcPr>
          <w:p>
            <w:pPr>
              <w:jc w:val="right"/>
              <w:ind w:right="76"/>
              <w:spacing w:after="0" w:line="149" w:lineRule="exact"/>
              <w:rPr>
                <w:sz w:val="20"/>
                <w:szCs w:val="20"/>
                <w:color w:val="auto"/>
              </w:rPr>
            </w:pPr>
            <w:r>
              <w:rPr>
                <w:rFonts w:ascii="Arial" w:cs="Arial" w:eastAsia="Arial" w:hAnsi="Arial"/>
                <w:sz w:val="14"/>
                <w:szCs w:val="14"/>
                <w:color w:val="auto"/>
              </w:rPr>
              <w:t>31,936</w:t>
            </w:r>
          </w:p>
        </w:tc>
        <w:tc>
          <w:tcPr>
            <w:tcW w:w="900" w:type="dxa"/>
            <w:vAlign w:val="bottom"/>
          </w:tcPr>
          <w:p>
            <w:pPr>
              <w:spacing w:after="0"/>
              <w:rPr>
                <w:sz w:val="12"/>
                <w:szCs w:val="12"/>
                <w:color w:val="auto"/>
              </w:rPr>
            </w:pPr>
          </w:p>
        </w:tc>
        <w:tc>
          <w:tcPr>
            <w:tcW w:w="660" w:type="dxa"/>
            <w:vAlign w:val="bottom"/>
          </w:tcPr>
          <w:p>
            <w:pPr>
              <w:jc w:val="right"/>
              <w:ind w:right="74"/>
              <w:spacing w:after="0" w:line="149" w:lineRule="exact"/>
              <w:rPr>
                <w:sz w:val="20"/>
                <w:szCs w:val="20"/>
                <w:color w:val="auto"/>
              </w:rPr>
            </w:pPr>
            <w:r>
              <w:rPr>
                <w:rFonts w:ascii="Arial" w:cs="Arial" w:eastAsia="Arial" w:hAnsi="Arial"/>
                <w:sz w:val="14"/>
                <w:szCs w:val="14"/>
                <w:color w:val="auto"/>
              </w:rPr>
              <w:t>29.11</w:t>
            </w:r>
          </w:p>
        </w:tc>
        <w:tc>
          <w:tcPr>
            <w:tcW w:w="820" w:type="dxa"/>
            <w:vAlign w:val="bottom"/>
          </w:tcPr>
          <w:p>
            <w:pPr>
              <w:jc w:val="center"/>
              <w:ind w:left="33"/>
              <w:spacing w:after="0" w:line="149" w:lineRule="exact"/>
              <w:rPr>
                <w:sz w:val="20"/>
                <w:szCs w:val="20"/>
                <w:color w:val="auto"/>
              </w:rPr>
            </w:pPr>
            <w:r>
              <w:rPr>
                <w:rFonts w:ascii="Arial" w:cs="Arial" w:eastAsia="Arial" w:hAnsi="Arial"/>
                <w:sz w:val="14"/>
                <w:szCs w:val="14"/>
                <w:color w:val="auto"/>
                <w:w w:val="96"/>
              </w:rPr>
              <w:t>2/27/2022</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 xml:space="preserve">2/24/2014 </w:t>
            </w:r>
            <w:r>
              <w:rPr>
                <w:rFonts w:ascii="Arial" w:cs="Arial" w:eastAsia="Arial" w:hAnsi="Arial"/>
                <w:sz w:val="11"/>
                <w:szCs w:val="11"/>
                <w:color w:val="auto"/>
                <w:w w:val="97"/>
              </w:rPr>
              <w:t>(3)</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jc w:val="right"/>
              <w:ind w:right="16"/>
              <w:spacing w:after="0" w:line="149" w:lineRule="exact"/>
              <w:rPr>
                <w:sz w:val="20"/>
                <w:szCs w:val="20"/>
                <w:color w:val="auto"/>
              </w:rPr>
            </w:pPr>
            <w:r>
              <w:rPr>
                <w:rFonts w:ascii="Arial" w:cs="Arial" w:eastAsia="Arial" w:hAnsi="Arial"/>
                <w:sz w:val="14"/>
                <w:szCs w:val="14"/>
                <w:color w:val="auto"/>
              </w:rPr>
              <w:t>29,189</w:t>
            </w:r>
          </w:p>
        </w:tc>
        <w:tc>
          <w:tcPr>
            <w:tcW w:w="1020" w:type="dxa"/>
            <w:vAlign w:val="bottom"/>
          </w:tcPr>
          <w:p>
            <w:pPr>
              <w:jc w:val="right"/>
              <w:ind w:right="156"/>
              <w:spacing w:after="0" w:line="149" w:lineRule="exact"/>
              <w:rPr>
                <w:sz w:val="20"/>
                <w:szCs w:val="20"/>
                <w:color w:val="auto"/>
              </w:rPr>
            </w:pPr>
            <w:r>
              <w:rPr>
                <w:rFonts w:ascii="Arial" w:cs="Arial" w:eastAsia="Arial" w:hAnsi="Arial"/>
                <w:sz w:val="14"/>
                <w:szCs w:val="14"/>
                <w:color w:val="auto"/>
              </w:rPr>
              <w:t>1,311,754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7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6"/>
              </w:rPr>
              <w:t>2/24/2011</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60,887</w:t>
            </w:r>
          </w:p>
        </w:tc>
        <w:tc>
          <w:tcPr>
            <w:tcW w:w="240" w:type="dxa"/>
            <w:vAlign w:val="bottom"/>
          </w:tcPr>
          <w:p>
            <w:pPr>
              <w:spacing w:after="0"/>
              <w:rPr>
                <w:sz w:val="12"/>
                <w:szCs w:val="12"/>
                <w:color w:val="auto"/>
              </w:rPr>
            </w:pPr>
          </w:p>
        </w:tc>
        <w:tc>
          <w:tcPr>
            <w:tcW w:w="820" w:type="dxa"/>
            <w:vAlign w:val="bottom"/>
          </w:tcPr>
          <w:p>
            <w:pPr>
              <w:jc w:val="right"/>
              <w:ind w:right="76"/>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660" w:type="dxa"/>
            <w:vAlign w:val="bottom"/>
          </w:tcPr>
          <w:p>
            <w:pPr>
              <w:jc w:val="right"/>
              <w:ind w:right="74"/>
              <w:spacing w:after="0" w:line="149" w:lineRule="exact"/>
              <w:rPr>
                <w:sz w:val="20"/>
                <w:szCs w:val="20"/>
                <w:color w:val="auto"/>
              </w:rPr>
            </w:pPr>
            <w:r>
              <w:rPr>
                <w:rFonts w:ascii="Arial" w:cs="Arial" w:eastAsia="Arial" w:hAnsi="Arial"/>
                <w:sz w:val="14"/>
                <w:szCs w:val="14"/>
                <w:color w:val="auto"/>
              </w:rPr>
              <w:t>24.21</w:t>
            </w:r>
          </w:p>
        </w:tc>
        <w:tc>
          <w:tcPr>
            <w:tcW w:w="820" w:type="dxa"/>
            <w:vAlign w:val="bottom"/>
          </w:tcPr>
          <w:p>
            <w:pPr>
              <w:jc w:val="center"/>
              <w:ind w:left="33"/>
              <w:spacing w:after="0" w:line="149" w:lineRule="exact"/>
              <w:rPr>
                <w:sz w:val="20"/>
                <w:szCs w:val="20"/>
                <w:color w:val="auto"/>
              </w:rPr>
            </w:pPr>
            <w:r>
              <w:rPr>
                <w:rFonts w:ascii="Arial" w:cs="Arial" w:eastAsia="Arial" w:hAnsi="Arial"/>
                <w:sz w:val="14"/>
                <w:szCs w:val="14"/>
                <w:color w:val="auto"/>
                <w:w w:val="96"/>
              </w:rPr>
              <w:t>2/24/2021</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 xml:space="preserve">2/25/2013 </w:t>
            </w:r>
            <w:r>
              <w:rPr>
                <w:rFonts w:ascii="Arial" w:cs="Arial" w:eastAsia="Arial" w:hAnsi="Arial"/>
                <w:sz w:val="11"/>
                <w:szCs w:val="11"/>
                <w:color w:val="auto"/>
                <w:w w:val="97"/>
              </w:rPr>
              <w:t>(2)</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jc w:val="right"/>
              <w:ind w:right="16"/>
              <w:spacing w:after="0" w:line="149" w:lineRule="exact"/>
              <w:rPr>
                <w:sz w:val="20"/>
                <w:szCs w:val="20"/>
                <w:color w:val="auto"/>
              </w:rPr>
            </w:pPr>
            <w:r>
              <w:rPr>
                <w:rFonts w:ascii="Arial" w:cs="Arial" w:eastAsia="Arial" w:hAnsi="Arial"/>
                <w:sz w:val="14"/>
                <w:szCs w:val="14"/>
                <w:color w:val="auto"/>
              </w:rPr>
              <w:t>25,022</w:t>
            </w:r>
          </w:p>
        </w:tc>
        <w:tc>
          <w:tcPr>
            <w:tcW w:w="1020" w:type="dxa"/>
            <w:vAlign w:val="bottom"/>
          </w:tcPr>
          <w:p>
            <w:pPr>
              <w:jc w:val="right"/>
              <w:ind w:right="156"/>
              <w:spacing w:after="0" w:line="149" w:lineRule="exact"/>
              <w:rPr>
                <w:sz w:val="20"/>
                <w:szCs w:val="20"/>
                <w:color w:val="auto"/>
              </w:rPr>
            </w:pPr>
            <w:r>
              <w:rPr>
                <w:rFonts w:ascii="Arial" w:cs="Arial" w:eastAsia="Arial" w:hAnsi="Arial"/>
                <w:sz w:val="14"/>
                <w:szCs w:val="14"/>
                <w:color w:val="auto"/>
              </w:rPr>
              <w:t>1,124,489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60"/>
              <w:spacing w:after="0" w:line="149" w:lineRule="exact"/>
              <w:rPr>
                <w:sz w:val="20"/>
                <w:szCs w:val="20"/>
                <w:color w:val="auto"/>
              </w:rPr>
            </w:pPr>
            <w:r>
              <w:rPr>
                <w:rFonts w:ascii="Arial" w:cs="Arial" w:eastAsia="Arial" w:hAnsi="Arial"/>
                <w:sz w:val="14"/>
                <w:szCs w:val="14"/>
                <w:color w:val="auto"/>
              </w:rPr>
              <w:t>Chappel</w:t>
            </w:r>
          </w:p>
        </w:tc>
        <w:tc>
          <w:tcPr>
            <w:tcW w:w="7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6"/>
              </w:rPr>
              <w:t>2/23/2010</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71,348</w:t>
            </w:r>
          </w:p>
        </w:tc>
        <w:tc>
          <w:tcPr>
            <w:tcW w:w="240" w:type="dxa"/>
            <w:vAlign w:val="bottom"/>
          </w:tcPr>
          <w:p>
            <w:pPr>
              <w:spacing w:after="0"/>
              <w:rPr>
                <w:sz w:val="12"/>
                <w:szCs w:val="12"/>
                <w:color w:val="auto"/>
              </w:rPr>
            </w:pPr>
          </w:p>
        </w:tc>
        <w:tc>
          <w:tcPr>
            <w:tcW w:w="820" w:type="dxa"/>
            <w:vAlign w:val="bottom"/>
          </w:tcPr>
          <w:p>
            <w:pPr>
              <w:jc w:val="right"/>
              <w:ind w:right="76"/>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660" w:type="dxa"/>
            <w:vAlign w:val="bottom"/>
          </w:tcPr>
          <w:p>
            <w:pPr>
              <w:jc w:val="right"/>
              <w:ind w:right="74"/>
              <w:spacing w:after="0" w:line="149" w:lineRule="exact"/>
              <w:rPr>
                <w:sz w:val="20"/>
                <w:szCs w:val="20"/>
                <w:color w:val="auto"/>
              </w:rPr>
            </w:pPr>
            <w:r>
              <w:rPr>
                <w:rFonts w:ascii="Arial" w:cs="Arial" w:eastAsia="Arial" w:hAnsi="Arial"/>
                <w:sz w:val="14"/>
                <w:szCs w:val="14"/>
                <w:color w:val="auto"/>
              </w:rPr>
              <w:t>17.28</w:t>
            </w:r>
          </w:p>
        </w:tc>
        <w:tc>
          <w:tcPr>
            <w:tcW w:w="820" w:type="dxa"/>
            <w:vAlign w:val="bottom"/>
          </w:tcPr>
          <w:p>
            <w:pPr>
              <w:jc w:val="center"/>
              <w:ind w:left="33"/>
              <w:spacing w:after="0" w:line="149" w:lineRule="exact"/>
              <w:rPr>
                <w:sz w:val="20"/>
                <w:szCs w:val="20"/>
                <w:color w:val="auto"/>
              </w:rPr>
            </w:pPr>
            <w:r>
              <w:rPr>
                <w:rFonts w:ascii="Arial" w:cs="Arial" w:eastAsia="Arial" w:hAnsi="Arial"/>
                <w:sz w:val="14"/>
                <w:szCs w:val="14"/>
                <w:color w:val="auto"/>
                <w:w w:val="96"/>
              </w:rPr>
              <w:t>2/23/2020</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 xml:space="preserve">2/25/2013 </w:t>
            </w:r>
            <w:r>
              <w:rPr>
                <w:rFonts w:ascii="Arial" w:cs="Arial" w:eastAsia="Arial" w:hAnsi="Arial"/>
                <w:sz w:val="11"/>
                <w:szCs w:val="11"/>
                <w:color w:val="auto"/>
                <w:w w:val="97"/>
              </w:rPr>
              <w:t>(3)</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jc w:val="right"/>
              <w:ind w:right="16"/>
              <w:spacing w:after="0" w:line="149" w:lineRule="exact"/>
              <w:rPr>
                <w:sz w:val="20"/>
                <w:szCs w:val="20"/>
                <w:color w:val="auto"/>
              </w:rPr>
            </w:pPr>
            <w:r>
              <w:rPr>
                <w:rFonts w:ascii="Arial" w:cs="Arial" w:eastAsia="Arial" w:hAnsi="Arial"/>
                <w:sz w:val="14"/>
                <w:szCs w:val="14"/>
                <w:color w:val="auto"/>
              </w:rPr>
              <w:t>36,573</w:t>
            </w:r>
          </w:p>
        </w:tc>
        <w:tc>
          <w:tcPr>
            <w:tcW w:w="1020" w:type="dxa"/>
            <w:vAlign w:val="bottom"/>
          </w:tcPr>
          <w:p>
            <w:pPr>
              <w:jc w:val="right"/>
              <w:ind w:right="156"/>
              <w:spacing w:after="0" w:line="149" w:lineRule="exact"/>
              <w:rPr>
                <w:sz w:val="20"/>
                <w:szCs w:val="20"/>
                <w:color w:val="auto"/>
              </w:rPr>
            </w:pPr>
            <w:r>
              <w:rPr>
                <w:rFonts w:ascii="Arial" w:cs="Arial" w:eastAsia="Arial" w:hAnsi="Arial"/>
                <w:sz w:val="14"/>
                <w:szCs w:val="14"/>
                <w:color w:val="auto"/>
              </w:rPr>
              <w:t>1,643,591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7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6"/>
              </w:rPr>
              <w:t>2/23/2009</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135,733</w:t>
            </w:r>
          </w:p>
        </w:tc>
        <w:tc>
          <w:tcPr>
            <w:tcW w:w="240" w:type="dxa"/>
            <w:vAlign w:val="bottom"/>
          </w:tcPr>
          <w:p>
            <w:pPr>
              <w:spacing w:after="0"/>
              <w:rPr>
                <w:sz w:val="12"/>
                <w:szCs w:val="12"/>
                <w:color w:val="auto"/>
              </w:rPr>
            </w:pPr>
          </w:p>
        </w:tc>
        <w:tc>
          <w:tcPr>
            <w:tcW w:w="820" w:type="dxa"/>
            <w:vAlign w:val="bottom"/>
          </w:tcPr>
          <w:p>
            <w:pPr>
              <w:jc w:val="right"/>
              <w:ind w:right="76"/>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660" w:type="dxa"/>
            <w:vAlign w:val="bottom"/>
          </w:tcPr>
          <w:p>
            <w:pPr>
              <w:jc w:val="right"/>
              <w:ind w:right="74"/>
              <w:spacing w:after="0" w:line="149" w:lineRule="exact"/>
              <w:rPr>
                <w:sz w:val="20"/>
                <w:szCs w:val="20"/>
                <w:color w:val="auto"/>
              </w:rPr>
            </w:pPr>
            <w:r>
              <w:rPr>
                <w:rFonts w:ascii="Arial" w:cs="Arial" w:eastAsia="Arial" w:hAnsi="Arial"/>
                <w:sz w:val="14"/>
                <w:szCs w:val="14"/>
                <w:color w:val="auto"/>
              </w:rPr>
              <w:t>8.85</w:t>
            </w:r>
          </w:p>
        </w:tc>
        <w:tc>
          <w:tcPr>
            <w:tcW w:w="820" w:type="dxa"/>
            <w:vAlign w:val="bottom"/>
          </w:tcPr>
          <w:p>
            <w:pPr>
              <w:jc w:val="center"/>
              <w:ind w:left="33"/>
              <w:spacing w:after="0" w:line="149" w:lineRule="exact"/>
              <w:rPr>
                <w:sz w:val="20"/>
                <w:szCs w:val="20"/>
                <w:color w:val="auto"/>
              </w:rPr>
            </w:pPr>
            <w:r>
              <w:rPr>
                <w:rFonts w:ascii="Arial" w:cs="Arial" w:eastAsia="Arial" w:hAnsi="Arial"/>
                <w:sz w:val="14"/>
                <w:szCs w:val="14"/>
                <w:color w:val="auto"/>
                <w:w w:val="96"/>
              </w:rPr>
              <w:t>2/23/2019</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 xml:space="preserve">2/27/2012 </w:t>
            </w:r>
            <w:r>
              <w:rPr>
                <w:rFonts w:ascii="Arial" w:cs="Arial" w:eastAsia="Arial" w:hAnsi="Arial"/>
                <w:sz w:val="11"/>
                <w:szCs w:val="11"/>
                <w:color w:val="auto"/>
                <w:w w:val="97"/>
              </w:rPr>
              <w:t>(2)</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jc w:val="right"/>
              <w:ind w:right="16"/>
              <w:spacing w:after="0" w:line="149" w:lineRule="exact"/>
              <w:rPr>
                <w:sz w:val="20"/>
                <w:szCs w:val="20"/>
                <w:color w:val="auto"/>
              </w:rPr>
            </w:pPr>
            <w:r>
              <w:rPr>
                <w:rFonts w:ascii="Arial" w:cs="Arial" w:eastAsia="Arial" w:hAnsi="Arial"/>
                <w:sz w:val="14"/>
                <w:szCs w:val="14"/>
                <w:color w:val="auto"/>
              </w:rPr>
              <w:t>28,856</w:t>
            </w:r>
          </w:p>
        </w:tc>
        <w:tc>
          <w:tcPr>
            <w:tcW w:w="1020" w:type="dxa"/>
            <w:vAlign w:val="bottom"/>
          </w:tcPr>
          <w:p>
            <w:pPr>
              <w:jc w:val="right"/>
              <w:ind w:right="156"/>
              <w:spacing w:after="0" w:line="149" w:lineRule="exact"/>
              <w:rPr>
                <w:sz w:val="20"/>
                <w:szCs w:val="20"/>
                <w:color w:val="auto"/>
              </w:rPr>
            </w:pPr>
            <w:r>
              <w:rPr>
                <w:rFonts w:ascii="Arial" w:cs="Arial" w:eastAsia="Arial" w:hAnsi="Arial"/>
                <w:sz w:val="14"/>
                <w:szCs w:val="14"/>
                <w:color w:val="auto"/>
              </w:rPr>
              <w:t>1,296,789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7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6"/>
              </w:rPr>
              <w:t>2/25/2008</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62,367</w:t>
            </w:r>
          </w:p>
        </w:tc>
        <w:tc>
          <w:tcPr>
            <w:tcW w:w="240" w:type="dxa"/>
            <w:vAlign w:val="bottom"/>
          </w:tcPr>
          <w:p>
            <w:pPr>
              <w:spacing w:after="0"/>
              <w:rPr>
                <w:sz w:val="12"/>
                <w:szCs w:val="12"/>
                <w:color w:val="auto"/>
              </w:rPr>
            </w:pPr>
          </w:p>
        </w:tc>
        <w:tc>
          <w:tcPr>
            <w:tcW w:w="820" w:type="dxa"/>
            <w:vAlign w:val="bottom"/>
          </w:tcPr>
          <w:p>
            <w:pPr>
              <w:jc w:val="right"/>
              <w:ind w:right="76"/>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660" w:type="dxa"/>
            <w:vAlign w:val="bottom"/>
          </w:tcPr>
          <w:p>
            <w:pPr>
              <w:jc w:val="right"/>
              <w:ind w:right="74"/>
              <w:spacing w:after="0" w:line="149" w:lineRule="exact"/>
              <w:rPr>
                <w:sz w:val="20"/>
                <w:szCs w:val="20"/>
                <w:color w:val="auto"/>
              </w:rPr>
            </w:pPr>
            <w:r>
              <w:rPr>
                <w:rFonts w:ascii="Arial" w:cs="Arial" w:eastAsia="Arial" w:hAnsi="Arial"/>
                <w:sz w:val="14"/>
                <w:szCs w:val="14"/>
                <w:color w:val="auto"/>
              </w:rPr>
              <w:t>29.72</w:t>
            </w:r>
          </w:p>
        </w:tc>
        <w:tc>
          <w:tcPr>
            <w:tcW w:w="820" w:type="dxa"/>
            <w:vAlign w:val="bottom"/>
          </w:tcPr>
          <w:p>
            <w:pPr>
              <w:jc w:val="center"/>
              <w:ind w:left="33"/>
              <w:spacing w:after="0" w:line="149" w:lineRule="exact"/>
              <w:rPr>
                <w:sz w:val="20"/>
                <w:szCs w:val="20"/>
                <w:color w:val="auto"/>
              </w:rPr>
            </w:pPr>
            <w:r>
              <w:rPr>
                <w:rFonts w:ascii="Arial" w:cs="Arial" w:eastAsia="Arial" w:hAnsi="Arial"/>
                <w:sz w:val="14"/>
                <w:szCs w:val="14"/>
                <w:color w:val="auto"/>
                <w:w w:val="96"/>
              </w:rPr>
              <w:t>2/25/2018</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 xml:space="preserve">2/27/2012 </w:t>
            </w:r>
            <w:r>
              <w:rPr>
                <w:rFonts w:ascii="Arial" w:cs="Arial" w:eastAsia="Arial" w:hAnsi="Arial"/>
                <w:sz w:val="11"/>
                <w:szCs w:val="11"/>
                <w:color w:val="auto"/>
                <w:w w:val="97"/>
              </w:rPr>
              <w:t>(3)</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jc w:val="right"/>
              <w:ind w:right="16"/>
              <w:spacing w:after="0" w:line="149" w:lineRule="exact"/>
              <w:rPr>
                <w:sz w:val="20"/>
                <w:szCs w:val="20"/>
                <w:color w:val="auto"/>
              </w:rPr>
            </w:pPr>
            <w:r>
              <w:rPr>
                <w:rFonts w:ascii="Arial" w:cs="Arial" w:eastAsia="Arial" w:hAnsi="Arial"/>
                <w:sz w:val="14"/>
                <w:szCs w:val="14"/>
                <w:color w:val="auto"/>
              </w:rPr>
              <w:t>41,491</w:t>
            </w:r>
          </w:p>
        </w:tc>
        <w:tc>
          <w:tcPr>
            <w:tcW w:w="1020" w:type="dxa"/>
            <w:vAlign w:val="bottom"/>
          </w:tcPr>
          <w:p>
            <w:pPr>
              <w:jc w:val="right"/>
              <w:ind w:right="156"/>
              <w:spacing w:after="0" w:line="149" w:lineRule="exact"/>
              <w:rPr>
                <w:sz w:val="20"/>
                <w:szCs w:val="20"/>
                <w:color w:val="auto"/>
              </w:rPr>
            </w:pPr>
            <w:r>
              <w:rPr>
                <w:rFonts w:ascii="Arial" w:cs="Arial" w:eastAsia="Arial" w:hAnsi="Arial"/>
                <w:sz w:val="14"/>
                <w:szCs w:val="14"/>
                <w:color w:val="auto"/>
              </w:rPr>
              <w:t>1,864,606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7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6"/>
              </w:rPr>
              <w:t>2/26/2007</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59,515</w:t>
            </w:r>
          </w:p>
        </w:tc>
        <w:tc>
          <w:tcPr>
            <w:tcW w:w="240" w:type="dxa"/>
            <w:vAlign w:val="bottom"/>
          </w:tcPr>
          <w:p>
            <w:pPr>
              <w:spacing w:after="0"/>
              <w:rPr>
                <w:sz w:val="12"/>
                <w:szCs w:val="12"/>
                <w:color w:val="auto"/>
              </w:rPr>
            </w:pPr>
          </w:p>
        </w:tc>
        <w:tc>
          <w:tcPr>
            <w:tcW w:w="820" w:type="dxa"/>
            <w:vAlign w:val="bottom"/>
          </w:tcPr>
          <w:p>
            <w:pPr>
              <w:jc w:val="right"/>
              <w:ind w:right="76"/>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660" w:type="dxa"/>
            <w:vAlign w:val="bottom"/>
          </w:tcPr>
          <w:p>
            <w:pPr>
              <w:jc w:val="right"/>
              <w:ind w:right="74"/>
              <w:spacing w:after="0" w:line="149" w:lineRule="exact"/>
              <w:rPr>
                <w:sz w:val="20"/>
                <w:szCs w:val="20"/>
                <w:color w:val="auto"/>
              </w:rPr>
            </w:pPr>
            <w:r>
              <w:rPr>
                <w:rFonts w:ascii="Arial" w:cs="Arial" w:eastAsia="Arial" w:hAnsi="Arial"/>
                <w:sz w:val="14"/>
                <w:szCs w:val="14"/>
                <w:color w:val="auto"/>
              </w:rPr>
              <w:t>23.04</w:t>
            </w:r>
          </w:p>
        </w:tc>
        <w:tc>
          <w:tcPr>
            <w:tcW w:w="820" w:type="dxa"/>
            <w:vAlign w:val="bottom"/>
          </w:tcPr>
          <w:p>
            <w:pPr>
              <w:jc w:val="center"/>
              <w:ind w:left="33"/>
              <w:spacing w:after="0" w:line="149" w:lineRule="exact"/>
              <w:rPr>
                <w:sz w:val="20"/>
                <w:szCs w:val="20"/>
                <w:color w:val="auto"/>
              </w:rPr>
            </w:pPr>
            <w:r>
              <w:rPr>
                <w:rFonts w:ascii="Arial" w:cs="Arial" w:eastAsia="Arial" w:hAnsi="Arial"/>
                <w:sz w:val="14"/>
                <w:szCs w:val="14"/>
                <w:color w:val="auto"/>
                <w:w w:val="96"/>
              </w:rPr>
              <w:t>2/26/2017</w:t>
            </w: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ind w:left="112"/>
              <w:spacing w:after="0" w:line="149" w:lineRule="exact"/>
              <w:rPr>
                <w:sz w:val="20"/>
                <w:szCs w:val="20"/>
                <w:color w:val="auto"/>
              </w:rPr>
            </w:pPr>
            <w:r>
              <w:rPr>
                <w:rFonts w:ascii="Arial" w:cs="Arial" w:eastAsia="Arial" w:hAnsi="Arial"/>
                <w:sz w:val="14"/>
                <w:szCs w:val="14"/>
                <w:color w:val="auto"/>
                <w:w w:val="95"/>
              </w:rPr>
              <w:t>3/3/2006</w:t>
            </w:r>
          </w:p>
        </w:tc>
        <w:tc>
          <w:tcPr>
            <w:tcW w:w="900" w:type="dxa"/>
            <w:vAlign w:val="bottom"/>
            <w:tcBorders>
              <w:bottom w:val="single" w:sz="8" w:color="auto"/>
            </w:tcBorders>
            <w:gridSpan w:val="3"/>
          </w:tcPr>
          <w:p>
            <w:pPr>
              <w:jc w:val="right"/>
              <w:ind w:right="80"/>
              <w:spacing w:after="0" w:line="149" w:lineRule="exact"/>
              <w:rPr>
                <w:sz w:val="20"/>
                <w:szCs w:val="20"/>
                <w:color w:val="auto"/>
              </w:rPr>
            </w:pPr>
            <w:r>
              <w:rPr>
                <w:rFonts w:ascii="Arial" w:cs="Arial" w:eastAsia="Arial" w:hAnsi="Arial"/>
                <w:sz w:val="14"/>
                <w:szCs w:val="14"/>
                <w:color w:val="auto"/>
              </w:rPr>
              <w:t>51,495</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6"/>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4"/>
              <w:spacing w:after="0" w:line="149" w:lineRule="exact"/>
              <w:rPr>
                <w:sz w:val="20"/>
                <w:szCs w:val="20"/>
                <w:color w:val="auto"/>
              </w:rPr>
            </w:pPr>
            <w:r>
              <w:rPr>
                <w:rFonts w:ascii="Arial" w:cs="Arial" w:eastAsia="Arial" w:hAnsi="Arial"/>
                <w:sz w:val="14"/>
                <w:szCs w:val="14"/>
                <w:color w:val="auto"/>
              </w:rPr>
              <w:t>17.65</w:t>
            </w:r>
          </w:p>
        </w:tc>
        <w:tc>
          <w:tcPr>
            <w:tcW w:w="820" w:type="dxa"/>
            <w:vAlign w:val="bottom"/>
            <w:tcBorders>
              <w:bottom w:val="single" w:sz="8" w:color="auto"/>
            </w:tcBorders>
          </w:tcPr>
          <w:p>
            <w:pPr>
              <w:jc w:val="center"/>
              <w:ind w:left="33"/>
              <w:spacing w:after="0" w:line="149" w:lineRule="exact"/>
              <w:rPr>
                <w:sz w:val="20"/>
                <w:szCs w:val="20"/>
                <w:color w:val="auto"/>
              </w:rPr>
            </w:pPr>
            <w:r>
              <w:rPr>
                <w:rFonts w:ascii="Arial" w:cs="Arial" w:eastAsia="Arial" w:hAnsi="Arial"/>
                <w:sz w:val="14"/>
                <w:szCs w:val="14"/>
                <w:color w:val="auto"/>
                <w:w w:val="95"/>
              </w:rPr>
              <w:t>3/3/2016</w:t>
            </w: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1" w:lineRule="exact"/>
              <w:rPr>
                <w:sz w:val="20"/>
                <w:szCs w:val="20"/>
                <w:color w:val="auto"/>
              </w:rPr>
            </w:pPr>
            <w:r>
              <w:rPr>
                <w:rFonts w:ascii="Arial" w:cs="Arial" w:eastAsia="Arial" w:hAnsi="Arial"/>
                <w:sz w:val="14"/>
                <w:szCs w:val="14"/>
                <w:color w:val="auto"/>
                <w:w w:val="96"/>
              </w:rPr>
              <w:t>2/24/2014</w:t>
            </w:r>
          </w:p>
        </w:tc>
        <w:tc>
          <w:tcPr>
            <w:tcW w:w="220" w:type="dxa"/>
            <w:vAlign w:val="bottom"/>
            <w:shd w:val="clear" w:color="auto" w:fill="DDE6F2"/>
          </w:tcPr>
          <w:p>
            <w:pPr>
              <w:spacing w:after="0"/>
              <w:rPr>
                <w:sz w:val="12"/>
                <w:szCs w:val="12"/>
                <w:color w:val="auto"/>
              </w:rPr>
            </w:pPr>
          </w:p>
        </w:tc>
        <w:tc>
          <w:tcPr>
            <w:tcW w:w="680" w:type="dxa"/>
            <w:vAlign w:val="bottom"/>
            <w:gridSpan w:val="2"/>
            <w:shd w:val="clear" w:color="auto" w:fill="DDE6F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DDE6F2"/>
          </w:tcPr>
          <w:p>
            <w:pPr>
              <w:jc w:val="right"/>
              <w:ind w:right="76"/>
              <w:spacing w:after="0" w:line="141" w:lineRule="exact"/>
              <w:rPr>
                <w:sz w:val="20"/>
                <w:szCs w:val="20"/>
                <w:color w:val="auto"/>
              </w:rPr>
            </w:pPr>
            <w:r>
              <w:rPr>
                <w:rFonts w:ascii="Arial" w:cs="Arial" w:eastAsia="Arial" w:hAnsi="Arial"/>
                <w:sz w:val="14"/>
                <w:szCs w:val="14"/>
                <w:color w:val="auto"/>
              </w:rPr>
              <w:t>38,023</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1" w:lineRule="exact"/>
              <w:rPr>
                <w:sz w:val="20"/>
                <w:szCs w:val="20"/>
                <w:color w:val="auto"/>
              </w:rPr>
            </w:pPr>
            <w:r>
              <w:rPr>
                <w:rFonts w:ascii="Arial" w:cs="Arial" w:eastAsia="Arial" w:hAnsi="Arial"/>
                <w:sz w:val="14"/>
                <w:szCs w:val="14"/>
                <w:color w:val="auto"/>
              </w:rPr>
              <w:t>41.77</w:t>
            </w:r>
          </w:p>
        </w:tc>
        <w:tc>
          <w:tcPr>
            <w:tcW w:w="820" w:type="dxa"/>
            <w:vAlign w:val="bottom"/>
            <w:shd w:val="clear" w:color="auto" w:fill="DDE6F2"/>
          </w:tcPr>
          <w:p>
            <w:pPr>
              <w:jc w:val="center"/>
              <w:ind w:left="33"/>
              <w:spacing w:after="0" w:line="141" w:lineRule="exact"/>
              <w:rPr>
                <w:sz w:val="20"/>
                <w:szCs w:val="20"/>
                <w:color w:val="auto"/>
              </w:rPr>
            </w:pPr>
            <w:r>
              <w:rPr>
                <w:rFonts w:ascii="Arial" w:cs="Arial" w:eastAsia="Arial" w:hAnsi="Arial"/>
                <w:sz w:val="14"/>
                <w:szCs w:val="14"/>
                <w:color w:val="auto"/>
                <w:w w:val="96"/>
              </w:rPr>
              <w:t>2/24/2024</w:t>
            </w:r>
          </w:p>
        </w:tc>
        <w:tc>
          <w:tcPr>
            <w:tcW w:w="1000" w:type="dxa"/>
            <w:vAlign w:val="bottom"/>
            <w:shd w:val="clear" w:color="auto" w:fill="DDE6F2"/>
          </w:tcPr>
          <w:p>
            <w:pPr>
              <w:jc w:val="center"/>
              <w:spacing w:after="0" w:line="141" w:lineRule="exact"/>
              <w:rPr>
                <w:sz w:val="20"/>
                <w:szCs w:val="20"/>
                <w:color w:val="auto"/>
              </w:rPr>
            </w:pPr>
            <w:r>
              <w:rPr>
                <w:rFonts w:ascii="Arial" w:cs="Arial" w:eastAsia="Arial" w:hAnsi="Arial"/>
                <w:sz w:val="14"/>
                <w:szCs w:val="14"/>
                <w:color w:val="auto"/>
                <w:w w:val="96"/>
              </w:rPr>
              <w:t xml:space="preserve">10/25/2014 </w:t>
            </w:r>
            <w:r>
              <w:rPr>
                <w:rFonts w:ascii="Arial" w:cs="Arial" w:eastAsia="Arial" w:hAnsi="Arial"/>
                <w:sz w:val="11"/>
                <w:szCs w:val="11"/>
                <w:color w:val="auto"/>
                <w:w w:val="96"/>
              </w:rPr>
              <w:t>(4)</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1" w:lineRule="exact"/>
              <w:rPr>
                <w:sz w:val="20"/>
                <w:szCs w:val="20"/>
                <w:color w:val="auto"/>
              </w:rPr>
            </w:pPr>
            <w:r>
              <w:rPr>
                <w:rFonts w:ascii="Arial" w:cs="Arial" w:eastAsia="Arial" w:hAnsi="Arial"/>
                <w:sz w:val="14"/>
                <w:szCs w:val="14"/>
                <w:color w:val="auto"/>
              </w:rPr>
              <w:t>18,746</w:t>
            </w:r>
          </w:p>
        </w:tc>
        <w:tc>
          <w:tcPr>
            <w:tcW w:w="1020" w:type="dxa"/>
            <w:vAlign w:val="bottom"/>
            <w:shd w:val="clear" w:color="auto" w:fill="DDE6F2"/>
          </w:tcPr>
          <w:p>
            <w:pPr>
              <w:jc w:val="right"/>
              <w:ind w:right="156"/>
              <w:spacing w:after="0" w:line="141" w:lineRule="exact"/>
              <w:rPr>
                <w:sz w:val="20"/>
                <w:szCs w:val="20"/>
                <w:color w:val="auto"/>
              </w:rPr>
            </w:pPr>
            <w:r>
              <w:rPr>
                <w:rFonts w:ascii="Arial" w:cs="Arial" w:eastAsia="Arial" w:hAnsi="Arial"/>
                <w:sz w:val="14"/>
                <w:szCs w:val="14"/>
                <w:color w:val="auto"/>
              </w:rPr>
              <w:t>842,445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6"/>
              </w:rPr>
              <w:t>2/25/2013</w:t>
            </w:r>
          </w:p>
        </w:tc>
        <w:tc>
          <w:tcPr>
            <w:tcW w:w="900" w:type="dxa"/>
            <w:vAlign w:val="bottom"/>
            <w:gridSpan w:val="3"/>
            <w:shd w:val="clear" w:color="auto" w:fill="DDE6F2"/>
          </w:tcPr>
          <w:p>
            <w:pPr>
              <w:jc w:val="right"/>
              <w:ind w:right="80"/>
              <w:spacing w:after="0" w:line="149" w:lineRule="exact"/>
              <w:rPr>
                <w:sz w:val="20"/>
                <w:szCs w:val="20"/>
                <w:color w:val="auto"/>
              </w:rPr>
            </w:pPr>
            <w:r>
              <w:rPr>
                <w:rFonts w:ascii="Arial" w:cs="Arial" w:eastAsia="Arial" w:hAnsi="Arial"/>
                <w:sz w:val="14"/>
                <w:szCs w:val="14"/>
                <w:color w:val="auto"/>
              </w:rPr>
              <w:t>13,460</w:t>
            </w:r>
          </w:p>
        </w:tc>
        <w:tc>
          <w:tcPr>
            <w:tcW w:w="1060" w:type="dxa"/>
            <w:vAlign w:val="bottom"/>
            <w:gridSpan w:val="2"/>
            <w:shd w:val="clear" w:color="auto" w:fill="DDE6F2"/>
          </w:tcPr>
          <w:p>
            <w:pPr>
              <w:jc w:val="right"/>
              <w:ind w:right="76"/>
              <w:spacing w:after="0" w:line="149" w:lineRule="exact"/>
              <w:rPr>
                <w:sz w:val="20"/>
                <w:szCs w:val="20"/>
                <w:color w:val="auto"/>
              </w:rPr>
            </w:pPr>
            <w:r>
              <w:rPr>
                <w:rFonts w:ascii="Arial" w:cs="Arial" w:eastAsia="Arial" w:hAnsi="Arial"/>
                <w:sz w:val="14"/>
                <w:szCs w:val="14"/>
                <w:color w:val="auto"/>
              </w:rPr>
              <w:t>26,921</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9" w:lineRule="exact"/>
              <w:rPr>
                <w:sz w:val="20"/>
                <w:szCs w:val="20"/>
                <w:color w:val="auto"/>
              </w:rPr>
            </w:pPr>
            <w:r>
              <w:rPr>
                <w:rFonts w:ascii="Arial" w:cs="Arial" w:eastAsia="Arial" w:hAnsi="Arial"/>
                <w:sz w:val="14"/>
                <w:szCs w:val="14"/>
                <w:color w:val="auto"/>
              </w:rPr>
              <w:t>33.57</w:t>
            </w:r>
          </w:p>
        </w:tc>
        <w:tc>
          <w:tcPr>
            <w:tcW w:w="820" w:type="dxa"/>
            <w:vAlign w:val="bottom"/>
            <w:shd w:val="clear" w:color="auto" w:fill="DDE6F2"/>
          </w:tcPr>
          <w:p>
            <w:pPr>
              <w:jc w:val="center"/>
              <w:ind w:left="33"/>
              <w:spacing w:after="0" w:line="149" w:lineRule="exact"/>
              <w:rPr>
                <w:sz w:val="20"/>
                <w:szCs w:val="20"/>
                <w:color w:val="auto"/>
              </w:rPr>
            </w:pPr>
            <w:r>
              <w:rPr>
                <w:rFonts w:ascii="Arial" w:cs="Arial" w:eastAsia="Arial" w:hAnsi="Arial"/>
                <w:sz w:val="14"/>
                <w:szCs w:val="14"/>
                <w:color w:val="auto"/>
                <w:w w:val="96"/>
              </w:rPr>
              <w:t>2/25/2023</w:t>
            </w: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2/24/2014 </w:t>
            </w:r>
            <w:r>
              <w:rPr>
                <w:rFonts w:ascii="Arial" w:cs="Arial" w:eastAsia="Arial" w:hAnsi="Arial"/>
                <w:sz w:val="11"/>
                <w:szCs w:val="11"/>
                <w:color w:val="auto"/>
                <w:w w:val="97"/>
              </w:rPr>
              <w:t>(2)</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12,569</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564,851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6"/>
              </w:rPr>
              <w:t>2/27/2012</w:t>
            </w:r>
          </w:p>
        </w:tc>
        <w:tc>
          <w:tcPr>
            <w:tcW w:w="900" w:type="dxa"/>
            <w:vAlign w:val="bottom"/>
            <w:gridSpan w:val="3"/>
            <w:shd w:val="clear" w:color="auto" w:fill="DDE6F2"/>
          </w:tcPr>
          <w:p>
            <w:pPr>
              <w:jc w:val="right"/>
              <w:ind w:right="80"/>
              <w:spacing w:after="0" w:line="149" w:lineRule="exact"/>
              <w:rPr>
                <w:sz w:val="20"/>
                <w:szCs w:val="20"/>
                <w:color w:val="auto"/>
              </w:rPr>
            </w:pPr>
            <w:r>
              <w:rPr>
                <w:rFonts w:ascii="Arial" w:cs="Arial" w:eastAsia="Arial" w:hAnsi="Arial"/>
                <w:sz w:val="14"/>
                <w:szCs w:val="14"/>
                <w:color w:val="auto"/>
              </w:rPr>
              <w:t>39,388</w:t>
            </w:r>
          </w:p>
        </w:tc>
        <w:tc>
          <w:tcPr>
            <w:tcW w:w="1060" w:type="dxa"/>
            <w:vAlign w:val="bottom"/>
            <w:gridSpan w:val="2"/>
            <w:shd w:val="clear" w:color="auto" w:fill="DDE6F2"/>
          </w:tcPr>
          <w:p>
            <w:pPr>
              <w:jc w:val="right"/>
              <w:ind w:right="76"/>
              <w:spacing w:after="0" w:line="149" w:lineRule="exact"/>
              <w:rPr>
                <w:sz w:val="20"/>
                <w:szCs w:val="20"/>
                <w:color w:val="auto"/>
              </w:rPr>
            </w:pPr>
            <w:r>
              <w:rPr>
                <w:rFonts w:ascii="Arial" w:cs="Arial" w:eastAsia="Arial" w:hAnsi="Arial"/>
                <w:sz w:val="14"/>
                <w:szCs w:val="14"/>
                <w:color w:val="auto"/>
              </w:rPr>
              <w:t>19,694</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9" w:lineRule="exact"/>
              <w:rPr>
                <w:sz w:val="20"/>
                <w:szCs w:val="20"/>
                <w:color w:val="auto"/>
              </w:rPr>
            </w:pPr>
            <w:r>
              <w:rPr>
                <w:rFonts w:ascii="Arial" w:cs="Arial" w:eastAsia="Arial" w:hAnsi="Arial"/>
                <w:sz w:val="14"/>
                <w:szCs w:val="14"/>
                <w:color w:val="auto"/>
              </w:rPr>
              <w:t>29.11</w:t>
            </w:r>
          </w:p>
        </w:tc>
        <w:tc>
          <w:tcPr>
            <w:tcW w:w="820" w:type="dxa"/>
            <w:vAlign w:val="bottom"/>
            <w:shd w:val="clear" w:color="auto" w:fill="DDE6F2"/>
          </w:tcPr>
          <w:p>
            <w:pPr>
              <w:jc w:val="center"/>
              <w:ind w:left="33"/>
              <w:spacing w:after="0" w:line="149" w:lineRule="exact"/>
              <w:rPr>
                <w:sz w:val="20"/>
                <w:szCs w:val="20"/>
                <w:color w:val="auto"/>
              </w:rPr>
            </w:pPr>
            <w:r>
              <w:rPr>
                <w:rFonts w:ascii="Arial" w:cs="Arial" w:eastAsia="Arial" w:hAnsi="Arial"/>
                <w:sz w:val="14"/>
                <w:szCs w:val="14"/>
                <w:color w:val="auto"/>
                <w:w w:val="96"/>
              </w:rPr>
              <w:t>2/27/2022</w:t>
            </w: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2/24/2014 </w:t>
            </w:r>
            <w:r>
              <w:rPr>
                <w:rFonts w:ascii="Arial" w:cs="Arial" w:eastAsia="Arial" w:hAnsi="Arial"/>
                <w:sz w:val="11"/>
                <w:szCs w:val="11"/>
                <w:color w:val="auto"/>
                <w:w w:val="97"/>
              </w:rPr>
              <w:t>(3)</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18,243</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819,840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60"/>
              <w:spacing w:after="0" w:line="149" w:lineRule="exact"/>
              <w:rPr>
                <w:sz w:val="20"/>
                <w:szCs w:val="20"/>
                <w:color w:val="auto"/>
              </w:rPr>
            </w:pPr>
            <w:r>
              <w:rPr>
                <w:rFonts w:ascii="Arial" w:cs="Arial" w:eastAsia="Arial" w:hAnsi="Arial"/>
                <w:sz w:val="14"/>
                <w:szCs w:val="14"/>
                <w:color w:val="auto"/>
              </w:rPr>
              <w:t>Miller</w:t>
            </w: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6"/>
              </w:rPr>
              <w:t>2/24/2011</w:t>
            </w:r>
          </w:p>
        </w:tc>
        <w:tc>
          <w:tcPr>
            <w:tcW w:w="220" w:type="dxa"/>
            <w:vAlign w:val="bottom"/>
            <w:shd w:val="clear" w:color="auto" w:fill="DDE6F2"/>
          </w:tcPr>
          <w:p>
            <w:pPr>
              <w:spacing w:after="0"/>
              <w:rPr>
                <w:sz w:val="12"/>
                <w:szCs w:val="12"/>
                <w:color w:val="auto"/>
              </w:rPr>
            </w:pPr>
          </w:p>
        </w:tc>
        <w:tc>
          <w:tcPr>
            <w:tcW w:w="680" w:type="dxa"/>
            <w:vAlign w:val="bottom"/>
            <w:gridSpan w:val="2"/>
            <w:shd w:val="clear" w:color="auto" w:fill="DDE6F2"/>
          </w:tcPr>
          <w:p>
            <w:pPr>
              <w:jc w:val="right"/>
              <w:ind w:right="80"/>
              <w:spacing w:after="0" w:line="149" w:lineRule="exact"/>
              <w:rPr>
                <w:sz w:val="20"/>
                <w:szCs w:val="20"/>
                <w:color w:val="auto"/>
              </w:rPr>
            </w:pPr>
            <w:r>
              <w:rPr>
                <w:rFonts w:ascii="Arial" w:cs="Arial" w:eastAsia="Arial" w:hAnsi="Arial"/>
                <w:sz w:val="14"/>
                <w:szCs w:val="14"/>
                <w:color w:val="auto"/>
              </w:rPr>
              <w:t>36,243</w:t>
            </w:r>
          </w:p>
        </w:tc>
        <w:tc>
          <w:tcPr>
            <w:tcW w:w="240" w:type="dxa"/>
            <w:vAlign w:val="bottom"/>
            <w:shd w:val="clear" w:color="auto" w:fill="DDE6F2"/>
          </w:tcPr>
          <w:p>
            <w:pPr>
              <w:spacing w:after="0"/>
              <w:rPr>
                <w:sz w:val="12"/>
                <w:szCs w:val="12"/>
                <w:color w:val="auto"/>
              </w:rPr>
            </w:pPr>
          </w:p>
        </w:tc>
        <w:tc>
          <w:tcPr>
            <w:tcW w:w="820" w:type="dxa"/>
            <w:vAlign w:val="bottom"/>
            <w:shd w:val="clear" w:color="auto" w:fill="DDE6F2"/>
          </w:tcPr>
          <w:p>
            <w:pPr>
              <w:jc w:val="right"/>
              <w:ind w:right="76"/>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9" w:lineRule="exact"/>
              <w:rPr>
                <w:sz w:val="20"/>
                <w:szCs w:val="20"/>
                <w:color w:val="auto"/>
              </w:rPr>
            </w:pPr>
            <w:r>
              <w:rPr>
                <w:rFonts w:ascii="Arial" w:cs="Arial" w:eastAsia="Arial" w:hAnsi="Arial"/>
                <w:sz w:val="14"/>
                <w:szCs w:val="14"/>
                <w:color w:val="auto"/>
              </w:rPr>
              <w:t>24.21</w:t>
            </w:r>
          </w:p>
        </w:tc>
        <w:tc>
          <w:tcPr>
            <w:tcW w:w="820" w:type="dxa"/>
            <w:vAlign w:val="bottom"/>
            <w:shd w:val="clear" w:color="auto" w:fill="DDE6F2"/>
          </w:tcPr>
          <w:p>
            <w:pPr>
              <w:jc w:val="center"/>
              <w:ind w:left="33"/>
              <w:spacing w:after="0" w:line="149" w:lineRule="exact"/>
              <w:rPr>
                <w:sz w:val="20"/>
                <w:szCs w:val="20"/>
                <w:color w:val="auto"/>
              </w:rPr>
            </w:pPr>
            <w:r>
              <w:rPr>
                <w:rFonts w:ascii="Arial" w:cs="Arial" w:eastAsia="Arial" w:hAnsi="Arial"/>
                <w:sz w:val="14"/>
                <w:szCs w:val="14"/>
                <w:color w:val="auto"/>
                <w:w w:val="96"/>
              </w:rPr>
              <w:t>2/24/2021</w:t>
            </w: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2/25/2013 </w:t>
            </w:r>
            <w:r>
              <w:rPr>
                <w:rFonts w:ascii="Arial" w:cs="Arial" w:eastAsia="Arial" w:hAnsi="Arial"/>
                <w:sz w:val="11"/>
                <w:szCs w:val="11"/>
                <w:color w:val="auto"/>
                <w:w w:val="97"/>
              </w:rPr>
              <w:t>(2)</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13,554</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609,117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spacing w:after="0"/>
              <w:rPr>
                <w:sz w:val="12"/>
                <w:szCs w:val="12"/>
                <w:color w:val="auto"/>
              </w:rPr>
            </w:pPr>
          </w:p>
        </w:tc>
        <w:tc>
          <w:tcPr>
            <w:tcW w:w="220" w:type="dxa"/>
            <w:vAlign w:val="bottom"/>
            <w:shd w:val="clear" w:color="auto" w:fill="DDE6F2"/>
          </w:tcPr>
          <w:p>
            <w:pPr>
              <w:spacing w:after="0"/>
              <w:rPr>
                <w:sz w:val="12"/>
                <w:szCs w:val="12"/>
                <w:color w:val="auto"/>
              </w:rPr>
            </w:pPr>
          </w:p>
        </w:tc>
        <w:tc>
          <w:tcPr>
            <w:tcW w:w="600" w:type="dxa"/>
            <w:vAlign w:val="bottom"/>
            <w:shd w:val="clear" w:color="auto" w:fill="DDE6F2"/>
          </w:tcPr>
          <w:p>
            <w:pPr>
              <w:spacing w:after="0"/>
              <w:rPr>
                <w:sz w:val="12"/>
                <w:szCs w:val="12"/>
                <w:color w:val="auto"/>
              </w:rPr>
            </w:pPr>
          </w:p>
        </w:tc>
        <w:tc>
          <w:tcPr>
            <w:tcW w:w="80" w:type="dxa"/>
            <w:vAlign w:val="bottom"/>
            <w:shd w:val="clear" w:color="auto" w:fill="DDE6F2"/>
          </w:tcPr>
          <w:p>
            <w:pPr>
              <w:spacing w:after="0"/>
              <w:rPr>
                <w:sz w:val="12"/>
                <w:szCs w:val="12"/>
                <w:color w:val="auto"/>
              </w:rPr>
            </w:pPr>
          </w:p>
        </w:tc>
        <w:tc>
          <w:tcPr>
            <w:tcW w:w="240" w:type="dxa"/>
            <w:vAlign w:val="bottom"/>
            <w:shd w:val="clear" w:color="auto" w:fill="DDE6F2"/>
          </w:tcPr>
          <w:p>
            <w:pPr>
              <w:spacing w:after="0"/>
              <w:rPr>
                <w:sz w:val="12"/>
                <w:szCs w:val="12"/>
                <w:color w:val="auto"/>
              </w:rPr>
            </w:pPr>
          </w:p>
        </w:tc>
        <w:tc>
          <w:tcPr>
            <w:tcW w:w="820" w:type="dxa"/>
            <w:vAlign w:val="bottom"/>
            <w:shd w:val="clear" w:color="auto" w:fill="DDE6F2"/>
          </w:tcPr>
          <w:p>
            <w:pPr>
              <w:spacing w:after="0"/>
              <w:rPr>
                <w:sz w:val="12"/>
                <w:szCs w:val="12"/>
                <w:color w:val="auto"/>
              </w:rPr>
            </w:pP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spacing w:after="0"/>
              <w:rPr>
                <w:sz w:val="12"/>
                <w:szCs w:val="12"/>
                <w:color w:val="auto"/>
              </w:rPr>
            </w:pPr>
          </w:p>
        </w:tc>
        <w:tc>
          <w:tcPr>
            <w:tcW w:w="820" w:type="dxa"/>
            <w:vAlign w:val="bottom"/>
            <w:shd w:val="clear" w:color="auto" w:fill="DDE6F2"/>
          </w:tcPr>
          <w:p>
            <w:pPr>
              <w:spacing w:after="0"/>
              <w:rPr>
                <w:sz w:val="12"/>
                <w:szCs w:val="12"/>
                <w:color w:val="auto"/>
              </w:rPr>
            </w:pP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2/25/2013 </w:t>
            </w:r>
            <w:r>
              <w:rPr>
                <w:rFonts w:ascii="Arial" w:cs="Arial" w:eastAsia="Arial" w:hAnsi="Arial"/>
                <w:sz w:val="11"/>
                <w:szCs w:val="11"/>
                <w:color w:val="auto"/>
                <w:w w:val="97"/>
              </w:rPr>
              <w:t>(3)</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19,810</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890,261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spacing w:after="0"/>
              <w:rPr>
                <w:sz w:val="12"/>
                <w:szCs w:val="12"/>
                <w:color w:val="auto"/>
              </w:rPr>
            </w:pPr>
          </w:p>
        </w:tc>
        <w:tc>
          <w:tcPr>
            <w:tcW w:w="220" w:type="dxa"/>
            <w:vAlign w:val="bottom"/>
            <w:shd w:val="clear" w:color="auto" w:fill="DDE6F2"/>
          </w:tcPr>
          <w:p>
            <w:pPr>
              <w:spacing w:after="0"/>
              <w:rPr>
                <w:sz w:val="12"/>
                <w:szCs w:val="12"/>
                <w:color w:val="auto"/>
              </w:rPr>
            </w:pPr>
          </w:p>
        </w:tc>
        <w:tc>
          <w:tcPr>
            <w:tcW w:w="600" w:type="dxa"/>
            <w:vAlign w:val="bottom"/>
            <w:shd w:val="clear" w:color="auto" w:fill="DDE6F2"/>
          </w:tcPr>
          <w:p>
            <w:pPr>
              <w:spacing w:after="0"/>
              <w:rPr>
                <w:sz w:val="12"/>
                <w:szCs w:val="12"/>
                <w:color w:val="auto"/>
              </w:rPr>
            </w:pPr>
          </w:p>
        </w:tc>
        <w:tc>
          <w:tcPr>
            <w:tcW w:w="80" w:type="dxa"/>
            <w:vAlign w:val="bottom"/>
            <w:shd w:val="clear" w:color="auto" w:fill="DDE6F2"/>
          </w:tcPr>
          <w:p>
            <w:pPr>
              <w:spacing w:after="0"/>
              <w:rPr>
                <w:sz w:val="12"/>
                <w:szCs w:val="12"/>
                <w:color w:val="auto"/>
              </w:rPr>
            </w:pPr>
          </w:p>
        </w:tc>
        <w:tc>
          <w:tcPr>
            <w:tcW w:w="240" w:type="dxa"/>
            <w:vAlign w:val="bottom"/>
            <w:shd w:val="clear" w:color="auto" w:fill="DDE6F2"/>
          </w:tcPr>
          <w:p>
            <w:pPr>
              <w:spacing w:after="0"/>
              <w:rPr>
                <w:sz w:val="12"/>
                <w:szCs w:val="12"/>
                <w:color w:val="auto"/>
              </w:rPr>
            </w:pPr>
          </w:p>
        </w:tc>
        <w:tc>
          <w:tcPr>
            <w:tcW w:w="820" w:type="dxa"/>
            <w:vAlign w:val="bottom"/>
            <w:shd w:val="clear" w:color="auto" w:fill="DDE6F2"/>
          </w:tcPr>
          <w:p>
            <w:pPr>
              <w:spacing w:after="0"/>
              <w:rPr>
                <w:sz w:val="12"/>
                <w:szCs w:val="12"/>
                <w:color w:val="auto"/>
              </w:rPr>
            </w:pP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spacing w:after="0"/>
              <w:rPr>
                <w:sz w:val="12"/>
                <w:szCs w:val="12"/>
                <w:color w:val="auto"/>
              </w:rPr>
            </w:pPr>
          </w:p>
        </w:tc>
        <w:tc>
          <w:tcPr>
            <w:tcW w:w="820" w:type="dxa"/>
            <w:vAlign w:val="bottom"/>
            <w:shd w:val="clear" w:color="auto" w:fill="DDE6F2"/>
          </w:tcPr>
          <w:p>
            <w:pPr>
              <w:spacing w:after="0"/>
              <w:rPr>
                <w:sz w:val="12"/>
                <w:szCs w:val="12"/>
                <w:color w:val="auto"/>
              </w:rPr>
            </w:pP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2/27/2012 </w:t>
            </w:r>
            <w:r>
              <w:rPr>
                <w:rFonts w:ascii="Arial" w:cs="Arial" w:eastAsia="Arial" w:hAnsi="Arial"/>
                <w:sz w:val="11"/>
                <w:szCs w:val="11"/>
                <w:color w:val="auto"/>
                <w:w w:val="97"/>
              </w:rPr>
              <w:t>(2)</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17,795</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799,707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shd w:val="clear" w:color="auto" w:fill="DDE6F2"/>
          </w:tcPr>
          <w:p>
            <w:pPr>
              <w:spacing w:after="0"/>
              <w:rPr>
                <w:sz w:val="12"/>
                <w:szCs w:val="12"/>
                <w:color w:val="auto"/>
              </w:rPr>
            </w:pPr>
          </w:p>
        </w:tc>
        <w:tc>
          <w:tcPr>
            <w:tcW w:w="600" w:type="dxa"/>
            <w:vAlign w:val="bottom"/>
            <w:tcBorders>
              <w:bottom w:val="single" w:sz="8" w:color="auto"/>
            </w:tcBorders>
            <w:shd w:val="clear" w:color="auto" w:fill="DDE6F2"/>
          </w:tcPr>
          <w:p>
            <w:pPr>
              <w:spacing w:after="0"/>
              <w:rPr>
                <w:sz w:val="12"/>
                <w:szCs w:val="12"/>
                <w:color w:val="auto"/>
              </w:rPr>
            </w:pPr>
          </w:p>
        </w:tc>
        <w:tc>
          <w:tcPr>
            <w:tcW w:w="220" w:type="dxa"/>
            <w:vAlign w:val="bottom"/>
            <w:tcBorders>
              <w:bottom w:val="single" w:sz="8" w:color="auto"/>
            </w:tcBorders>
            <w:shd w:val="clear" w:color="auto" w:fill="DDE6F2"/>
          </w:tcPr>
          <w:p>
            <w:pPr>
              <w:spacing w:after="0"/>
              <w:rPr>
                <w:sz w:val="12"/>
                <w:szCs w:val="12"/>
                <w:color w:val="auto"/>
              </w:rPr>
            </w:pPr>
          </w:p>
        </w:tc>
        <w:tc>
          <w:tcPr>
            <w:tcW w:w="600" w:type="dxa"/>
            <w:vAlign w:val="bottom"/>
            <w:tcBorders>
              <w:bottom w:val="single" w:sz="8" w:color="auto"/>
            </w:tcBorders>
            <w:shd w:val="clear" w:color="auto" w:fill="DDE6F2"/>
          </w:tcPr>
          <w:p>
            <w:pPr>
              <w:spacing w:after="0"/>
              <w:rPr>
                <w:sz w:val="12"/>
                <w:szCs w:val="12"/>
                <w:color w:val="auto"/>
              </w:rPr>
            </w:pPr>
          </w:p>
        </w:tc>
        <w:tc>
          <w:tcPr>
            <w:tcW w:w="80" w:type="dxa"/>
            <w:vAlign w:val="bottom"/>
            <w:tcBorders>
              <w:bottom w:val="single" w:sz="8" w:color="auto"/>
            </w:tcBorders>
            <w:shd w:val="clear" w:color="auto" w:fill="DDE6F2"/>
          </w:tcPr>
          <w:p>
            <w:pPr>
              <w:spacing w:after="0"/>
              <w:rPr>
                <w:sz w:val="12"/>
                <w:szCs w:val="12"/>
                <w:color w:val="auto"/>
              </w:rPr>
            </w:pPr>
          </w:p>
        </w:tc>
        <w:tc>
          <w:tcPr>
            <w:tcW w:w="240" w:type="dxa"/>
            <w:vAlign w:val="bottom"/>
            <w:tcBorders>
              <w:bottom w:val="single" w:sz="8" w:color="auto"/>
            </w:tcBorders>
            <w:shd w:val="clear" w:color="auto" w:fill="DDE6F2"/>
          </w:tcPr>
          <w:p>
            <w:pPr>
              <w:spacing w:after="0"/>
              <w:rPr>
                <w:sz w:val="12"/>
                <w:szCs w:val="12"/>
                <w:color w:val="auto"/>
              </w:rPr>
            </w:pPr>
          </w:p>
        </w:tc>
        <w:tc>
          <w:tcPr>
            <w:tcW w:w="820" w:type="dxa"/>
            <w:vAlign w:val="bottom"/>
            <w:tcBorders>
              <w:bottom w:val="single" w:sz="8" w:color="auto"/>
            </w:tcBorders>
            <w:shd w:val="clear" w:color="auto" w:fill="DDE6F2"/>
          </w:tcPr>
          <w:p>
            <w:pPr>
              <w:spacing w:after="0"/>
              <w:rPr>
                <w:sz w:val="12"/>
                <w:szCs w:val="12"/>
                <w:color w:val="auto"/>
              </w:rPr>
            </w:pPr>
          </w:p>
        </w:tc>
        <w:tc>
          <w:tcPr>
            <w:tcW w:w="900" w:type="dxa"/>
            <w:vAlign w:val="bottom"/>
            <w:tcBorders>
              <w:bottom w:val="single" w:sz="8" w:color="auto"/>
            </w:tcBorders>
            <w:shd w:val="clear" w:color="auto" w:fill="DDE6F2"/>
          </w:tcPr>
          <w:p>
            <w:pPr>
              <w:spacing w:after="0"/>
              <w:rPr>
                <w:sz w:val="12"/>
                <w:szCs w:val="12"/>
                <w:color w:val="auto"/>
              </w:rPr>
            </w:pPr>
          </w:p>
        </w:tc>
        <w:tc>
          <w:tcPr>
            <w:tcW w:w="660" w:type="dxa"/>
            <w:vAlign w:val="bottom"/>
            <w:tcBorders>
              <w:bottom w:val="single" w:sz="8" w:color="auto"/>
            </w:tcBorders>
            <w:shd w:val="clear" w:color="auto" w:fill="DDE6F2"/>
          </w:tcPr>
          <w:p>
            <w:pPr>
              <w:spacing w:after="0"/>
              <w:rPr>
                <w:sz w:val="12"/>
                <w:szCs w:val="12"/>
                <w:color w:val="auto"/>
              </w:rPr>
            </w:pPr>
          </w:p>
        </w:tc>
        <w:tc>
          <w:tcPr>
            <w:tcW w:w="820" w:type="dxa"/>
            <w:vAlign w:val="bottom"/>
            <w:tcBorders>
              <w:bottom w:val="single" w:sz="8" w:color="auto"/>
            </w:tcBorders>
            <w:shd w:val="clear" w:color="auto" w:fill="DDE6F2"/>
          </w:tcPr>
          <w:p>
            <w:pPr>
              <w:spacing w:after="0"/>
              <w:rPr>
                <w:sz w:val="12"/>
                <w:szCs w:val="12"/>
                <w:color w:val="auto"/>
              </w:rPr>
            </w:pPr>
          </w:p>
        </w:tc>
        <w:tc>
          <w:tcPr>
            <w:tcW w:w="1000" w:type="dxa"/>
            <w:vAlign w:val="bottom"/>
            <w:tcBorders>
              <w:bottom w:val="single" w:sz="8" w:color="auto"/>
            </w:tcBorders>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2/27/2012 </w:t>
            </w:r>
            <w:r>
              <w:rPr>
                <w:rFonts w:ascii="Arial" w:cs="Arial" w:eastAsia="Arial" w:hAnsi="Arial"/>
                <w:sz w:val="11"/>
                <w:szCs w:val="11"/>
                <w:color w:val="auto"/>
                <w:w w:val="97"/>
              </w:rPr>
              <w:t>(3)</w:t>
            </w:r>
          </w:p>
        </w:tc>
        <w:tc>
          <w:tcPr>
            <w:tcW w:w="720" w:type="dxa"/>
            <w:vAlign w:val="bottom"/>
            <w:tcBorders>
              <w:bottom w:val="single" w:sz="8" w:color="auto"/>
            </w:tcBorders>
            <w:shd w:val="clear" w:color="auto" w:fill="DDE6F2"/>
          </w:tcPr>
          <w:p>
            <w:pPr>
              <w:spacing w:after="0"/>
              <w:rPr>
                <w:sz w:val="12"/>
                <w:szCs w:val="12"/>
                <w:color w:val="auto"/>
              </w:rPr>
            </w:pPr>
          </w:p>
        </w:tc>
        <w:tc>
          <w:tcPr>
            <w:tcW w:w="840" w:type="dxa"/>
            <w:vAlign w:val="bottom"/>
            <w:tcBorders>
              <w:bottom w:val="single" w:sz="8" w:color="auto"/>
            </w:tcBorders>
            <w:shd w:val="clear" w:color="auto" w:fill="DDE6F2"/>
          </w:tcPr>
          <w:p>
            <w:pPr>
              <w:spacing w:after="0"/>
              <w:rPr>
                <w:sz w:val="12"/>
                <w:szCs w:val="12"/>
                <w:color w:val="auto"/>
              </w:rPr>
            </w:pPr>
          </w:p>
        </w:tc>
        <w:tc>
          <w:tcPr>
            <w:tcW w:w="760" w:type="dxa"/>
            <w:vAlign w:val="bottom"/>
            <w:tcBorders>
              <w:bottom w:val="single" w:sz="8" w:color="auto"/>
            </w:tcBorders>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25,586</w:t>
            </w:r>
          </w:p>
        </w:tc>
        <w:tc>
          <w:tcPr>
            <w:tcW w:w="1020" w:type="dxa"/>
            <w:vAlign w:val="bottom"/>
            <w:tcBorders>
              <w:bottom w:val="single" w:sz="8" w:color="auto"/>
            </w:tcBorders>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1,149,835</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960" w:type="dxa"/>
            <w:vAlign w:val="bottom"/>
          </w:tcPr>
          <w:p>
            <w:pPr>
              <w:spacing w:after="0"/>
              <w:rPr>
                <w:sz w:val="12"/>
                <w:szCs w:val="12"/>
                <w:color w:val="auto"/>
              </w:rPr>
            </w:pPr>
          </w:p>
        </w:tc>
        <w:tc>
          <w:tcPr>
            <w:tcW w:w="780" w:type="dxa"/>
            <w:vAlign w:val="bottom"/>
            <w:gridSpan w:val="2"/>
          </w:tcPr>
          <w:p>
            <w:pPr>
              <w:jc w:val="center"/>
              <w:ind w:left="112"/>
              <w:spacing w:after="0" w:line="141" w:lineRule="exact"/>
              <w:rPr>
                <w:sz w:val="20"/>
                <w:szCs w:val="20"/>
                <w:color w:val="auto"/>
              </w:rPr>
            </w:pPr>
            <w:r>
              <w:rPr>
                <w:rFonts w:ascii="Arial" w:cs="Arial" w:eastAsia="Arial" w:hAnsi="Arial"/>
                <w:sz w:val="14"/>
                <w:szCs w:val="14"/>
                <w:color w:val="auto"/>
                <w:w w:val="96"/>
              </w:rPr>
              <w:t>2/24/2014</w:t>
            </w:r>
          </w:p>
        </w:tc>
        <w:tc>
          <w:tcPr>
            <w:tcW w:w="220" w:type="dxa"/>
            <w:vAlign w:val="bottom"/>
          </w:tcPr>
          <w:p>
            <w:pPr>
              <w:spacing w:after="0"/>
              <w:rPr>
                <w:sz w:val="12"/>
                <w:szCs w:val="12"/>
                <w:color w:val="auto"/>
              </w:rPr>
            </w:pP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76"/>
              <w:spacing w:after="0" w:line="141" w:lineRule="exact"/>
              <w:rPr>
                <w:sz w:val="20"/>
                <w:szCs w:val="20"/>
                <w:color w:val="auto"/>
              </w:rPr>
            </w:pPr>
            <w:r>
              <w:rPr>
                <w:rFonts w:ascii="Arial" w:cs="Arial" w:eastAsia="Arial" w:hAnsi="Arial"/>
                <w:sz w:val="14"/>
                <w:szCs w:val="14"/>
                <w:color w:val="auto"/>
              </w:rPr>
              <w:t>35,488</w:t>
            </w:r>
          </w:p>
        </w:tc>
        <w:tc>
          <w:tcPr>
            <w:tcW w:w="900" w:type="dxa"/>
            <w:vAlign w:val="bottom"/>
          </w:tcPr>
          <w:p>
            <w:pPr>
              <w:spacing w:after="0"/>
              <w:rPr>
                <w:sz w:val="12"/>
                <w:szCs w:val="12"/>
                <w:color w:val="auto"/>
              </w:rPr>
            </w:pPr>
          </w:p>
        </w:tc>
        <w:tc>
          <w:tcPr>
            <w:tcW w:w="660" w:type="dxa"/>
            <w:vAlign w:val="bottom"/>
          </w:tcPr>
          <w:p>
            <w:pPr>
              <w:jc w:val="right"/>
              <w:ind w:right="74"/>
              <w:spacing w:after="0" w:line="141" w:lineRule="exact"/>
              <w:rPr>
                <w:sz w:val="20"/>
                <w:szCs w:val="20"/>
                <w:color w:val="auto"/>
              </w:rPr>
            </w:pPr>
            <w:r>
              <w:rPr>
                <w:rFonts w:ascii="Arial" w:cs="Arial" w:eastAsia="Arial" w:hAnsi="Arial"/>
                <w:sz w:val="14"/>
                <w:szCs w:val="14"/>
                <w:color w:val="auto"/>
              </w:rPr>
              <w:t>41.77</w:t>
            </w:r>
          </w:p>
        </w:tc>
        <w:tc>
          <w:tcPr>
            <w:tcW w:w="820" w:type="dxa"/>
            <w:vAlign w:val="bottom"/>
          </w:tcPr>
          <w:p>
            <w:pPr>
              <w:jc w:val="center"/>
              <w:ind w:left="33"/>
              <w:spacing w:after="0" w:line="141" w:lineRule="exact"/>
              <w:rPr>
                <w:sz w:val="20"/>
                <w:szCs w:val="20"/>
                <w:color w:val="auto"/>
              </w:rPr>
            </w:pPr>
            <w:r>
              <w:rPr>
                <w:rFonts w:ascii="Arial" w:cs="Arial" w:eastAsia="Arial" w:hAnsi="Arial"/>
                <w:sz w:val="14"/>
                <w:szCs w:val="14"/>
                <w:color w:val="auto"/>
                <w:w w:val="96"/>
              </w:rPr>
              <w:t>2/24/2024</w:t>
            </w:r>
          </w:p>
        </w:tc>
        <w:tc>
          <w:tcPr>
            <w:tcW w:w="1000" w:type="dxa"/>
            <w:vAlign w:val="bottom"/>
          </w:tcPr>
          <w:p>
            <w:pPr>
              <w:jc w:val="center"/>
              <w:spacing w:after="0" w:line="141" w:lineRule="exact"/>
              <w:rPr>
                <w:sz w:val="20"/>
                <w:szCs w:val="20"/>
                <w:color w:val="auto"/>
              </w:rPr>
            </w:pPr>
            <w:r>
              <w:rPr>
                <w:rFonts w:ascii="Arial" w:cs="Arial" w:eastAsia="Arial" w:hAnsi="Arial"/>
                <w:sz w:val="14"/>
                <w:szCs w:val="14"/>
                <w:color w:val="auto"/>
                <w:w w:val="96"/>
              </w:rPr>
              <w:t xml:space="preserve">10/25/2014 </w:t>
            </w:r>
            <w:r>
              <w:rPr>
                <w:rFonts w:ascii="Arial" w:cs="Arial" w:eastAsia="Arial" w:hAnsi="Arial"/>
                <w:sz w:val="11"/>
                <w:szCs w:val="11"/>
                <w:color w:val="auto"/>
                <w:w w:val="96"/>
              </w:rPr>
              <w:t>(4)</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jc w:val="right"/>
              <w:ind w:right="16"/>
              <w:spacing w:after="0" w:line="141" w:lineRule="exact"/>
              <w:rPr>
                <w:sz w:val="20"/>
                <w:szCs w:val="20"/>
                <w:color w:val="auto"/>
              </w:rPr>
            </w:pPr>
            <w:r>
              <w:rPr>
                <w:rFonts w:ascii="Arial" w:cs="Arial" w:eastAsia="Arial" w:hAnsi="Arial"/>
                <w:sz w:val="14"/>
                <w:szCs w:val="14"/>
                <w:color w:val="auto"/>
              </w:rPr>
              <w:t>18,746</w:t>
            </w:r>
          </w:p>
        </w:tc>
        <w:tc>
          <w:tcPr>
            <w:tcW w:w="1020" w:type="dxa"/>
            <w:vAlign w:val="bottom"/>
          </w:tcPr>
          <w:p>
            <w:pPr>
              <w:jc w:val="right"/>
              <w:ind w:right="156"/>
              <w:spacing w:after="0" w:line="141" w:lineRule="exact"/>
              <w:rPr>
                <w:sz w:val="20"/>
                <w:szCs w:val="20"/>
                <w:color w:val="auto"/>
              </w:rPr>
            </w:pPr>
            <w:r>
              <w:rPr>
                <w:rFonts w:ascii="Arial" w:cs="Arial" w:eastAsia="Arial" w:hAnsi="Arial"/>
                <w:sz w:val="14"/>
                <w:szCs w:val="14"/>
                <w:color w:val="auto"/>
              </w:rPr>
              <w:t>842,445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vMerge w:val="restart"/>
          </w:tcPr>
          <w:p>
            <w:pPr>
              <w:ind w:left="160"/>
              <w:spacing w:after="0"/>
              <w:rPr>
                <w:sz w:val="20"/>
                <w:szCs w:val="20"/>
                <w:color w:val="auto"/>
              </w:rPr>
            </w:pPr>
            <w:r>
              <w:rPr>
                <w:rFonts w:ascii="Arial" w:cs="Arial" w:eastAsia="Arial" w:hAnsi="Arial"/>
                <w:sz w:val="14"/>
                <w:szCs w:val="14"/>
                <w:color w:val="auto"/>
              </w:rPr>
              <w:t>Dearborn</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 xml:space="preserve">2/24/2014 </w:t>
            </w:r>
            <w:r>
              <w:rPr>
                <w:rFonts w:ascii="Arial" w:cs="Arial" w:eastAsia="Arial" w:hAnsi="Arial"/>
                <w:sz w:val="11"/>
                <w:szCs w:val="11"/>
                <w:color w:val="auto"/>
                <w:w w:val="97"/>
              </w:rPr>
              <w:t>(2)</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jc w:val="right"/>
              <w:ind w:right="16"/>
              <w:spacing w:after="0" w:line="149" w:lineRule="exact"/>
              <w:rPr>
                <w:sz w:val="20"/>
                <w:szCs w:val="20"/>
                <w:color w:val="auto"/>
              </w:rPr>
            </w:pPr>
            <w:r>
              <w:rPr>
                <w:rFonts w:ascii="Arial" w:cs="Arial" w:eastAsia="Arial" w:hAnsi="Arial"/>
                <w:sz w:val="14"/>
                <w:szCs w:val="14"/>
                <w:color w:val="auto"/>
              </w:rPr>
              <w:t>11,731</w:t>
            </w:r>
          </w:p>
        </w:tc>
        <w:tc>
          <w:tcPr>
            <w:tcW w:w="1020" w:type="dxa"/>
            <w:vAlign w:val="bottom"/>
          </w:tcPr>
          <w:p>
            <w:pPr>
              <w:jc w:val="right"/>
              <w:ind w:right="156"/>
              <w:spacing w:after="0" w:line="149" w:lineRule="exact"/>
              <w:rPr>
                <w:sz w:val="20"/>
                <w:szCs w:val="20"/>
                <w:color w:val="auto"/>
              </w:rPr>
            </w:pPr>
            <w:r>
              <w:rPr>
                <w:rFonts w:ascii="Arial" w:cs="Arial" w:eastAsia="Arial" w:hAnsi="Arial"/>
                <w:sz w:val="14"/>
                <w:szCs w:val="14"/>
                <w:color w:val="auto"/>
              </w:rPr>
              <w:t>527,191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9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7"/>
              </w:rPr>
              <w:t xml:space="preserve">2/24/2014 </w:t>
            </w:r>
            <w:r>
              <w:rPr>
                <w:rFonts w:ascii="Arial" w:cs="Arial" w:eastAsia="Arial" w:hAnsi="Arial"/>
                <w:sz w:val="11"/>
                <w:szCs w:val="11"/>
                <w:color w:val="auto"/>
                <w:w w:val="97"/>
              </w:rPr>
              <w:t>(3)</w:t>
            </w:r>
          </w:p>
        </w:tc>
        <w:tc>
          <w:tcPr>
            <w:tcW w:w="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vMerge w:val="restart"/>
          </w:tcPr>
          <w:p>
            <w:pPr>
              <w:jc w:val="right"/>
              <w:ind w:right="16"/>
              <w:spacing w:after="0" w:line="149" w:lineRule="exact"/>
              <w:rPr>
                <w:sz w:val="20"/>
                <w:szCs w:val="20"/>
                <w:color w:val="auto"/>
              </w:rPr>
            </w:pPr>
            <w:r>
              <w:rPr>
                <w:rFonts w:ascii="Arial" w:cs="Arial" w:eastAsia="Arial" w:hAnsi="Arial"/>
                <w:sz w:val="14"/>
                <w:szCs w:val="14"/>
                <w:color w:val="auto"/>
              </w:rPr>
              <w:t>17,027</w:t>
            </w:r>
          </w:p>
        </w:tc>
        <w:tc>
          <w:tcPr>
            <w:tcW w:w="1020" w:type="dxa"/>
            <w:vAlign w:val="bottom"/>
            <w:vMerge w:val="restart"/>
          </w:tcPr>
          <w:p>
            <w:pPr>
              <w:jc w:val="right"/>
              <w:ind w:right="156"/>
              <w:spacing w:after="0" w:line="149" w:lineRule="exact"/>
              <w:rPr>
                <w:sz w:val="20"/>
                <w:szCs w:val="20"/>
                <w:color w:val="auto"/>
              </w:rPr>
            </w:pPr>
            <w:r>
              <w:rPr>
                <w:rFonts w:ascii="Arial" w:cs="Arial" w:eastAsia="Arial" w:hAnsi="Arial"/>
                <w:sz w:val="14"/>
                <w:szCs w:val="14"/>
                <w:color w:val="auto"/>
              </w:rPr>
              <w:t>765,193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9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 xml:space="preserve">5/1/2013 </w:t>
            </w:r>
            <w:r>
              <w:rPr>
                <w:rFonts w:ascii="Arial" w:cs="Arial" w:eastAsia="Arial" w:hAnsi="Arial"/>
                <w:sz w:val="11"/>
                <w:szCs w:val="11"/>
                <w:color w:val="auto"/>
                <w:w w:val="97"/>
              </w:rPr>
              <w:t>(2)</w:t>
            </w:r>
          </w:p>
        </w:tc>
        <w:tc>
          <w:tcPr>
            <w:tcW w:w="7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
              <w:spacing w:after="0" w:line="149" w:lineRule="exact"/>
              <w:rPr>
                <w:sz w:val="20"/>
                <w:szCs w:val="20"/>
                <w:color w:val="auto"/>
              </w:rPr>
            </w:pPr>
            <w:r>
              <w:rPr>
                <w:rFonts w:ascii="Arial" w:cs="Arial" w:eastAsia="Arial" w:hAnsi="Arial"/>
                <w:sz w:val="14"/>
                <w:szCs w:val="14"/>
                <w:color w:val="auto"/>
              </w:rPr>
              <w:t>21,328</w:t>
            </w:r>
          </w:p>
        </w:tc>
        <w:tc>
          <w:tcPr>
            <w:tcW w:w="1020" w:type="dxa"/>
            <w:vAlign w:val="bottom"/>
            <w:tcBorders>
              <w:bottom w:val="single" w:sz="8" w:color="auto"/>
            </w:tcBorders>
          </w:tcPr>
          <w:p>
            <w:pPr>
              <w:jc w:val="right"/>
              <w:ind w:right="156"/>
              <w:spacing w:after="0" w:line="149" w:lineRule="exact"/>
              <w:rPr>
                <w:sz w:val="20"/>
                <w:szCs w:val="20"/>
                <w:color w:val="auto"/>
              </w:rPr>
            </w:pPr>
            <w:r>
              <w:rPr>
                <w:rFonts w:ascii="Arial" w:cs="Arial" w:eastAsia="Arial" w:hAnsi="Arial"/>
                <w:sz w:val="14"/>
                <w:szCs w:val="14"/>
                <w:color w:val="auto"/>
              </w:rPr>
              <w:t>958,480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1" w:lineRule="exact"/>
              <w:rPr>
                <w:sz w:val="20"/>
                <w:szCs w:val="20"/>
                <w:color w:val="auto"/>
              </w:rPr>
            </w:pPr>
            <w:r>
              <w:rPr>
                <w:rFonts w:ascii="Arial" w:cs="Arial" w:eastAsia="Arial" w:hAnsi="Arial"/>
                <w:sz w:val="14"/>
                <w:szCs w:val="14"/>
                <w:color w:val="auto"/>
                <w:w w:val="96"/>
              </w:rPr>
              <w:t>2/24/2014</w:t>
            </w:r>
          </w:p>
        </w:tc>
        <w:tc>
          <w:tcPr>
            <w:tcW w:w="220" w:type="dxa"/>
            <w:vAlign w:val="bottom"/>
            <w:shd w:val="clear" w:color="auto" w:fill="DDE6F2"/>
          </w:tcPr>
          <w:p>
            <w:pPr>
              <w:spacing w:after="0"/>
              <w:rPr>
                <w:sz w:val="12"/>
                <w:szCs w:val="12"/>
                <w:color w:val="auto"/>
              </w:rPr>
            </w:pPr>
          </w:p>
        </w:tc>
        <w:tc>
          <w:tcPr>
            <w:tcW w:w="680" w:type="dxa"/>
            <w:vAlign w:val="bottom"/>
            <w:gridSpan w:val="2"/>
            <w:shd w:val="clear" w:color="auto" w:fill="DDE6F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DDE6F2"/>
          </w:tcPr>
          <w:p>
            <w:pPr>
              <w:jc w:val="right"/>
              <w:ind w:right="76"/>
              <w:spacing w:after="0" w:line="141" w:lineRule="exact"/>
              <w:rPr>
                <w:sz w:val="20"/>
                <w:szCs w:val="20"/>
                <w:color w:val="auto"/>
              </w:rPr>
            </w:pPr>
            <w:r>
              <w:rPr>
                <w:rFonts w:ascii="Arial" w:cs="Arial" w:eastAsia="Arial" w:hAnsi="Arial"/>
                <w:sz w:val="14"/>
                <w:szCs w:val="14"/>
                <w:color w:val="auto"/>
              </w:rPr>
              <w:t>30,418</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1" w:lineRule="exact"/>
              <w:rPr>
                <w:sz w:val="20"/>
                <w:szCs w:val="20"/>
                <w:color w:val="auto"/>
              </w:rPr>
            </w:pPr>
            <w:r>
              <w:rPr>
                <w:rFonts w:ascii="Arial" w:cs="Arial" w:eastAsia="Arial" w:hAnsi="Arial"/>
                <w:sz w:val="14"/>
                <w:szCs w:val="14"/>
                <w:color w:val="auto"/>
              </w:rPr>
              <w:t>41.77</w:t>
            </w:r>
          </w:p>
        </w:tc>
        <w:tc>
          <w:tcPr>
            <w:tcW w:w="820" w:type="dxa"/>
            <w:vAlign w:val="bottom"/>
            <w:shd w:val="clear" w:color="auto" w:fill="DDE6F2"/>
          </w:tcPr>
          <w:p>
            <w:pPr>
              <w:jc w:val="center"/>
              <w:ind w:left="33"/>
              <w:spacing w:after="0" w:line="141" w:lineRule="exact"/>
              <w:rPr>
                <w:sz w:val="20"/>
                <w:szCs w:val="20"/>
                <w:color w:val="auto"/>
              </w:rPr>
            </w:pPr>
            <w:r>
              <w:rPr>
                <w:rFonts w:ascii="Arial" w:cs="Arial" w:eastAsia="Arial" w:hAnsi="Arial"/>
                <w:sz w:val="14"/>
                <w:szCs w:val="14"/>
                <w:color w:val="auto"/>
                <w:w w:val="96"/>
              </w:rPr>
              <w:t>2/24/2024</w:t>
            </w:r>
          </w:p>
        </w:tc>
        <w:tc>
          <w:tcPr>
            <w:tcW w:w="1000" w:type="dxa"/>
            <w:vAlign w:val="bottom"/>
            <w:shd w:val="clear" w:color="auto" w:fill="DDE6F2"/>
          </w:tcPr>
          <w:p>
            <w:pPr>
              <w:jc w:val="center"/>
              <w:spacing w:after="0" w:line="141" w:lineRule="exact"/>
              <w:rPr>
                <w:sz w:val="20"/>
                <w:szCs w:val="20"/>
                <w:color w:val="auto"/>
              </w:rPr>
            </w:pPr>
            <w:r>
              <w:rPr>
                <w:rFonts w:ascii="Arial" w:cs="Arial" w:eastAsia="Arial" w:hAnsi="Arial"/>
                <w:sz w:val="14"/>
                <w:szCs w:val="14"/>
                <w:color w:val="auto"/>
                <w:w w:val="96"/>
              </w:rPr>
              <w:t xml:space="preserve">10/25/2014 </w:t>
            </w:r>
            <w:r>
              <w:rPr>
                <w:rFonts w:ascii="Arial" w:cs="Arial" w:eastAsia="Arial" w:hAnsi="Arial"/>
                <w:sz w:val="11"/>
                <w:szCs w:val="11"/>
                <w:color w:val="auto"/>
                <w:w w:val="96"/>
              </w:rPr>
              <w:t>(4)</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1" w:lineRule="exact"/>
              <w:rPr>
                <w:sz w:val="20"/>
                <w:szCs w:val="20"/>
                <w:color w:val="auto"/>
              </w:rPr>
            </w:pPr>
            <w:r>
              <w:rPr>
                <w:rFonts w:ascii="Arial" w:cs="Arial" w:eastAsia="Arial" w:hAnsi="Arial"/>
                <w:sz w:val="14"/>
                <w:szCs w:val="14"/>
                <w:color w:val="auto"/>
              </w:rPr>
              <w:t>18,746</w:t>
            </w:r>
          </w:p>
        </w:tc>
        <w:tc>
          <w:tcPr>
            <w:tcW w:w="1020" w:type="dxa"/>
            <w:vAlign w:val="bottom"/>
            <w:shd w:val="clear" w:color="auto" w:fill="DDE6F2"/>
          </w:tcPr>
          <w:p>
            <w:pPr>
              <w:jc w:val="right"/>
              <w:ind w:right="156"/>
              <w:spacing w:after="0" w:line="141" w:lineRule="exact"/>
              <w:rPr>
                <w:sz w:val="20"/>
                <w:szCs w:val="20"/>
                <w:color w:val="auto"/>
              </w:rPr>
            </w:pPr>
            <w:r>
              <w:rPr>
                <w:rFonts w:ascii="Arial" w:cs="Arial" w:eastAsia="Arial" w:hAnsi="Arial"/>
                <w:sz w:val="14"/>
                <w:szCs w:val="14"/>
                <w:color w:val="auto"/>
              </w:rPr>
              <w:t>842,445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6"/>
              </w:rPr>
              <w:t>2/25/2013</w:t>
            </w:r>
          </w:p>
        </w:tc>
        <w:tc>
          <w:tcPr>
            <w:tcW w:w="900" w:type="dxa"/>
            <w:vAlign w:val="bottom"/>
            <w:gridSpan w:val="3"/>
            <w:shd w:val="clear" w:color="auto" w:fill="DDE6F2"/>
          </w:tcPr>
          <w:p>
            <w:pPr>
              <w:jc w:val="right"/>
              <w:ind w:right="80"/>
              <w:spacing w:after="0" w:line="149" w:lineRule="exact"/>
              <w:rPr>
                <w:sz w:val="20"/>
                <w:szCs w:val="20"/>
                <w:color w:val="auto"/>
              </w:rPr>
            </w:pPr>
            <w:r>
              <w:rPr>
                <w:rFonts w:ascii="Arial" w:cs="Arial" w:eastAsia="Arial" w:hAnsi="Arial"/>
                <w:sz w:val="14"/>
                <w:szCs w:val="14"/>
                <w:color w:val="auto"/>
              </w:rPr>
              <w:t>14,495</w:t>
            </w:r>
          </w:p>
        </w:tc>
        <w:tc>
          <w:tcPr>
            <w:tcW w:w="1060" w:type="dxa"/>
            <w:vAlign w:val="bottom"/>
            <w:gridSpan w:val="2"/>
            <w:shd w:val="clear" w:color="auto" w:fill="DDE6F2"/>
          </w:tcPr>
          <w:p>
            <w:pPr>
              <w:jc w:val="right"/>
              <w:ind w:right="76"/>
              <w:spacing w:after="0" w:line="149" w:lineRule="exact"/>
              <w:rPr>
                <w:sz w:val="20"/>
                <w:szCs w:val="20"/>
                <w:color w:val="auto"/>
              </w:rPr>
            </w:pPr>
            <w:r>
              <w:rPr>
                <w:rFonts w:ascii="Arial" w:cs="Arial" w:eastAsia="Arial" w:hAnsi="Arial"/>
                <w:sz w:val="14"/>
                <w:szCs w:val="14"/>
                <w:color w:val="auto"/>
              </w:rPr>
              <w:t>28,992</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9" w:lineRule="exact"/>
              <w:rPr>
                <w:sz w:val="20"/>
                <w:szCs w:val="20"/>
                <w:color w:val="auto"/>
              </w:rPr>
            </w:pPr>
            <w:r>
              <w:rPr>
                <w:rFonts w:ascii="Arial" w:cs="Arial" w:eastAsia="Arial" w:hAnsi="Arial"/>
                <w:sz w:val="14"/>
                <w:szCs w:val="14"/>
                <w:color w:val="auto"/>
              </w:rPr>
              <w:t>33.57</w:t>
            </w:r>
          </w:p>
        </w:tc>
        <w:tc>
          <w:tcPr>
            <w:tcW w:w="820" w:type="dxa"/>
            <w:vAlign w:val="bottom"/>
            <w:shd w:val="clear" w:color="auto" w:fill="DDE6F2"/>
          </w:tcPr>
          <w:p>
            <w:pPr>
              <w:jc w:val="center"/>
              <w:ind w:left="33"/>
              <w:spacing w:after="0" w:line="149" w:lineRule="exact"/>
              <w:rPr>
                <w:sz w:val="20"/>
                <w:szCs w:val="20"/>
                <w:color w:val="auto"/>
              </w:rPr>
            </w:pPr>
            <w:r>
              <w:rPr>
                <w:rFonts w:ascii="Arial" w:cs="Arial" w:eastAsia="Arial" w:hAnsi="Arial"/>
                <w:sz w:val="14"/>
                <w:szCs w:val="14"/>
                <w:color w:val="auto"/>
                <w:w w:val="96"/>
              </w:rPr>
              <w:t>2/25/2023</w:t>
            </w: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2/24/2014 </w:t>
            </w:r>
            <w:r>
              <w:rPr>
                <w:rFonts w:ascii="Arial" w:cs="Arial" w:eastAsia="Arial" w:hAnsi="Arial"/>
                <w:sz w:val="11"/>
                <w:szCs w:val="11"/>
                <w:color w:val="auto"/>
                <w:w w:val="97"/>
              </w:rPr>
              <w:t>(2)</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10,055</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451,872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6"/>
              </w:rPr>
              <w:t>2/27/2012</w:t>
            </w:r>
          </w:p>
        </w:tc>
        <w:tc>
          <w:tcPr>
            <w:tcW w:w="900" w:type="dxa"/>
            <w:vAlign w:val="bottom"/>
            <w:gridSpan w:val="3"/>
            <w:shd w:val="clear" w:color="auto" w:fill="DDE6F2"/>
          </w:tcPr>
          <w:p>
            <w:pPr>
              <w:jc w:val="right"/>
              <w:ind w:right="80"/>
              <w:spacing w:after="0" w:line="149" w:lineRule="exact"/>
              <w:rPr>
                <w:sz w:val="20"/>
                <w:szCs w:val="20"/>
                <w:color w:val="auto"/>
              </w:rPr>
            </w:pPr>
            <w:r>
              <w:rPr>
                <w:rFonts w:ascii="Arial" w:cs="Arial" w:eastAsia="Arial" w:hAnsi="Arial"/>
                <w:sz w:val="14"/>
                <w:szCs w:val="14"/>
                <w:color w:val="auto"/>
              </w:rPr>
              <w:t>39,920</w:t>
            </w:r>
          </w:p>
        </w:tc>
        <w:tc>
          <w:tcPr>
            <w:tcW w:w="1060" w:type="dxa"/>
            <w:vAlign w:val="bottom"/>
            <w:gridSpan w:val="2"/>
            <w:shd w:val="clear" w:color="auto" w:fill="DDE6F2"/>
          </w:tcPr>
          <w:p>
            <w:pPr>
              <w:jc w:val="right"/>
              <w:ind w:right="76"/>
              <w:spacing w:after="0" w:line="149" w:lineRule="exact"/>
              <w:rPr>
                <w:sz w:val="20"/>
                <w:szCs w:val="20"/>
                <w:color w:val="auto"/>
              </w:rPr>
            </w:pPr>
            <w:r>
              <w:rPr>
                <w:rFonts w:ascii="Arial" w:cs="Arial" w:eastAsia="Arial" w:hAnsi="Arial"/>
                <w:sz w:val="14"/>
                <w:szCs w:val="14"/>
                <w:color w:val="auto"/>
              </w:rPr>
              <w:t>19,960</w:t>
            </w: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jc w:val="right"/>
              <w:ind w:right="74"/>
              <w:spacing w:after="0" w:line="149" w:lineRule="exact"/>
              <w:rPr>
                <w:sz w:val="20"/>
                <w:szCs w:val="20"/>
                <w:color w:val="auto"/>
              </w:rPr>
            </w:pPr>
            <w:r>
              <w:rPr>
                <w:rFonts w:ascii="Arial" w:cs="Arial" w:eastAsia="Arial" w:hAnsi="Arial"/>
                <w:sz w:val="14"/>
                <w:szCs w:val="14"/>
                <w:color w:val="auto"/>
              </w:rPr>
              <w:t>29.11</w:t>
            </w:r>
          </w:p>
        </w:tc>
        <w:tc>
          <w:tcPr>
            <w:tcW w:w="820" w:type="dxa"/>
            <w:vAlign w:val="bottom"/>
            <w:shd w:val="clear" w:color="auto" w:fill="DDE6F2"/>
          </w:tcPr>
          <w:p>
            <w:pPr>
              <w:jc w:val="center"/>
              <w:ind w:left="33"/>
              <w:spacing w:after="0" w:line="149" w:lineRule="exact"/>
              <w:rPr>
                <w:sz w:val="20"/>
                <w:szCs w:val="20"/>
                <w:color w:val="auto"/>
              </w:rPr>
            </w:pPr>
            <w:r>
              <w:rPr>
                <w:rFonts w:ascii="Arial" w:cs="Arial" w:eastAsia="Arial" w:hAnsi="Arial"/>
                <w:sz w:val="14"/>
                <w:szCs w:val="14"/>
                <w:color w:val="auto"/>
                <w:w w:val="96"/>
              </w:rPr>
              <w:t>2/27/2022</w:t>
            </w: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2/24/2014 </w:t>
            </w:r>
            <w:r>
              <w:rPr>
                <w:rFonts w:ascii="Arial" w:cs="Arial" w:eastAsia="Arial" w:hAnsi="Arial"/>
                <w:sz w:val="11"/>
                <w:szCs w:val="11"/>
                <w:color w:val="auto"/>
                <w:w w:val="97"/>
              </w:rPr>
              <w:t>(3)</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14,595</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655,899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60"/>
              <w:spacing w:after="0" w:line="149" w:lineRule="exact"/>
              <w:rPr>
                <w:sz w:val="20"/>
                <w:szCs w:val="20"/>
                <w:color w:val="auto"/>
              </w:rPr>
            </w:pPr>
            <w:r>
              <w:rPr>
                <w:rFonts w:ascii="Arial" w:cs="Arial" w:eastAsia="Arial" w:hAnsi="Arial"/>
                <w:sz w:val="14"/>
                <w:szCs w:val="14"/>
                <w:color w:val="auto"/>
              </w:rPr>
              <w:t>Scheel</w:t>
            </w: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spacing w:after="0"/>
              <w:rPr>
                <w:sz w:val="12"/>
                <w:szCs w:val="12"/>
                <w:color w:val="auto"/>
              </w:rPr>
            </w:pPr>
          </w:p>
        </w:tc>
        <w:tc>
          <w:tcPr>
            <w:tcW w:w="220" w:type="dxa"/>
            <w:vAlign w:val="bottom"/>
            <w:shd w:val="clear" w:color="auto" w:fill="DDE6F2"/>
          </w:tcPr>
          <w:p>
            <w:pPr>
              <w:spacing w:after="0"/>
              <w:rPr>
                <w:sz w:val="12"/>
                <w:szCs w:val="12"/>
                <w:color w:val="auto"/>
              </w:rPr>
            </w:pPr>
          </w:p>
        </w:tc>
        <w:tc>
          <w:tcPr>
            <w:tcW w:w="600" w:type="dxa"/>
            <w:vAlign w:val="bottom"/>
            <w:shd w:val="clear" w:color="auto" w:fill="DDE6F2"/>
          </w:tcPr>
          <w:p>
            <w:pPr>
              <w:spacing w:after="0"/>
              <w:rPr>
                <w:sz w:val="12"/>
                <w:szCs w:val="12"/>
                <w:color w:val="auto"/>
              </w:rPr>
            </w:pPr>
          </w:p>
        </w:tc>
        <w:tc>
          <w:tcPr>
            <w:tcW w:w="80" w:type="dxa"/>
            <w:vAlign w:val="bottom"/>
            <w:shd w:val="clear" w:color="auto" w:fill="DDE6F2"/>
          </w:tcPr>
          <w:p>
            <w:pPr>
              <w:spacing w:after="0"/>
              <w:rPr>
                <w:sz w:val="12"/>
                <w:szCs w:val="12"/>
                <w:color w:val="auto"/>
              </w:rPr>
            </w:pPr>
          </w:p>
        </w:tc>
        <w:tc>
          <w:tcPr>
            <w:tcW w:w="240" w:type="dxa"/>
            <w:vAlign w:val="bottom"/>
            <w:shd w:val="clear" w:color="auto" w:fill="DDE6F2"/>
          </w:tcPr>
          <w:p>
            <w:pPr>
              <w:spacing w:after="0"/>
              <w:rPr>
                <w:sz w:val="12"/>
                <w:szCs w:val="12"/>
                <w:color w:val="auto"/>
              </w:rPr>
            </w:pPr>
          </w:p>
        </w:tc>
        <w:tc>
          <w:tcPr>
            <w:tcW w:w="820" w:type="dxa"/>
            <w:vAlign w:val="bottom"/>
            <w:shd w:val="clear" w:color="auto" w:fill="DDE6F2"/>
          </w:tcPr>
          <w:p>
            <w:pPr>
              <w:spacing w:after="0"/>
              <w:rPr>
                <w:sz w:val="12"/>
                <w:szCs w:val="12"/>
                <w:color w:val="auto"/>
              </w:rPr>
            </w:pP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spacing w:after="0"/>
              <w:rPr>
                <w:sz w:val="12"/>
                <w:szCs w:val="12"/>
                <w:color w:val="auto"/>
              </w:rPr>
            </w:pPr>
          </w:p>
        </w:tc>
        <w:tc>
          <w:tcPr>
            <w:tcW w:w="820" w:type="dxa"/>
            <w:vAlign w:val="bottom"/>
            <w:shd w:val="clear" w:color="auto" w:fill="DDE6F2"/>
          </w:tcPr>
          <w:p>
            <w:pPr>
              <w:spacing w:after="0"/>
              <w:rPr>
                <w:sz w:val="12"/>
                <w:szCs w:val="12"/>
                <w:color w:val="auto"/>
              </w:rPr>
            </w:pP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2/25/2013 </w:t>
            </w:r>
            <w:r>
              <w:rPr>
                <w:rFonts w:ascii="Arial" w:cs="Arial" w:eastAsia="Arial" w:hAnsi="Arial"/>
                <w:sz w:val="11"/>
                <w:szCs w:val="11"/>
                <w:color w:val="auto"/>
                <w:w w:val="97"/>
              </w:rPr>
              <w:t>(2)</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14,596</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655,944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spacing w:after="0"/>
              <w:rPr>
                <w:sz w:val="12"/>
                <w:szCs w:val="12"/>
                <w:color w:val="auto"/>
              </w:rPr>
            </w:pPr>
          </w:p>
        </w:tc>
        <w:tc>
          <w:tcPr>
            <w:tcW w:w="220" w:type="dxa"/>
            <w:vAlign w:val="bottom"/>
            <w:shd w:val="clear" w:color="auto" w:fill="DDE6F2"/>
          </w:tcPr>
          <w:p>
            <w:pPr>
              <w:spacing w:after="0"/>
              <w:rPr>
                <w:sz w:val="12"/>
                <w:szCs w:val="12"/>
                <w:color w:val="auto"/>
              </w:rPr>
            </w:pPr>
          </w:p>
        </w:tc>
        <w:tc>
          <w:tcPr>
            <w:tcW w:w="600" w:type="dxa"/>
            <w:vAlign w:val="bottom"/>
            <w:shd w:val="clear" w:color="auto" w:fill="DDE6F2"/>
          </w:tcPr>
          <w:p>
            <w:pPr>
              <w:spacing w:after="0"/>
              <w:rPr>
                <w:sz w:val="12"/>
                <w:szCs w:val="12"/>
                <w:color w:val="auto"/>
              </w:rPr>
            </w:pPr>
          </w:p>
        </w:tc>
        <w:tc>
          <w:tcPr>
            <w:tcW w:w="80" w:type="dxa"/>
            <w:vAlign w:val="bottom"/>
            <w:shd w:val="clear" w:color="auto" w:fill="DDE6F2"/>
          </w:tcPr>
          <w:p>
            <w:pPr>
              <w:spacing w:after="0"/>
              <w:rPr>
                <w:sz w:val="12"/>
                <w:szCs w:val="12"/>
                <w:color w:val="auto"/>
              </w:rPr>
            </w:pPr>
          </w:p>
        </w:tc>
        <w:tc>
          <w:tcPr>
            <w:tcW w:w="240" w:type="dxa"/>
            <w:vAlign w:val="bottom"/>
            <w:shd w:val="clear" w:color="auto" w:fill="DDE6F2"/>
          </w:tcPr>
          <w:p>
            <w:pPr>
              <w:spacing w:after="0"/>
              <w:rPr>
                <w:sz w:val="12"/>
                <w:szCs w:val="12"/>
                <w:color w:val="auto"/>
              </w:rPr>
            </w:pPr>
          </w:p>
        </w:tc>
        <w:tc>
          <w:tcPr>
            <w:tcW w:w="820" w:type="dxa"/>
            <w:vAlign w:val="bottom"/>
            <w:shd w:val="clear" w:color="auto" w:fill="DDE6F2"/>
          </w:tcPr>
          <w:p>
            <w:pPr>
              <w:spacing w:after="0"/>
              <w:rPr>
                <w:sz w:val="12"/>
                <w:szCs w:val="12"/>
                <w:color w:val="auto"/>
              </w:rPr>
            </w:pP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spacing w:after="0"/>
              <w:rPr>
                <w:sz w:val="12"/>
                <w:szCs w:val="12"/>
                <w:color w:val="auto"/>
              </w:rPr>
            </w:pPr>
          </w:p>
        </w:tc>
        <w:tc>
          <w:tcPr>
            <w:tcW w:w="820" w:type="dxa"/>
            <w:vAlign w:val="bottom"/>
            <w:shd w:val="clear" w:color="auto" w:fill="DDE6F2"/>
          </w:tcPr>
          <w:p>
            <w:pPr>
              <w:spacing w:after="0"/>
              <w:rPr>
                <w:sz w:val="12"/>
                <w:szCs w:val="12"/>
                <w:color w:val="auto"/>
              </w:rPr>
            </w:pP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2/25/2013 </w:t>
            </w:r>
            <w:r>
              <w:rPr>
                <w:rFonts w:ascii="Arial" w:cs="Arial" w:eastAsia="Arial" w:hAnsi="Arial"/>
                <w:sz w:val="11"/>
                <w:szCs w:val="11"/>
                <w:color w:val="auto"/>
                <w:w w:val="97"/>
              </w:rPr>
              <w:t>(3)</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21,334</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958,750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spacing w:after="0"/>
              <w:rPr>
                <w:sz w:val="12"/>
                <w:szCs w:val="12"/>
                <w:color w:val="auto"/>
              </w:rPr>
            </w:pPr>
          </w:p>
        </w:tc>
        <w:tc>
          <w:tcPr>
            <w:tcW w:w="220" w:type="dxa"/>
            <w:vAlign w:val="bottom"/>
            <w:shd w:val="clear" w:color="auto" w:fill="DDE6F2"/>
          </w:tcPr>
          <w:p>
            <w:pPr>
              <w:spacing w:after="0"/>
              <w:rPr>
                <w:sz w:val="12"/>
                <w:szCs w:val="12"/>
                <w:color w:val="auto"/>
              </w:rPr>
            </w:pPr>
          </w:p>
        </w:tc>
        <w:tc>
          <w:tcPr>
            <w:tcW w:w="600" w:type="dxa"/>
            <w:vAlign w:val="bottom"/>
            <w:shd w:val="clear" w:color="auto" w:fill="DDE6F2"/>
          </w:tcPr>
          <w:p>
            <w:pPr>
              <w:spacing w:after="0"/>
              <w:rPr>
                <w:sz w:val="12"/>
                <w:szCs w:val="12"/>
                <w:color w:val="auto"/>
              </w:rPr>
            </w:pPr>
          </w:p>
        </w:tc>
        <w:tc>
          <w:tcPr>
            <w:tcW w:w="80" w:type="dxa"/>
            <w:vAlign w:val="bottom"/>
            <w:shd w:val="clear" w:color="auto" w:fill="DDE6F2"/>
          </w:tcPr>
          <w:p>
            <w:pPr>
              <w:spacing w:after="0"/>
              <w:rPr>
                <w:sz w:val="12"/>
                <w:szCs w:val="12"/>
                <w:color w:val="auto"/>
              </w:rPr>
            </w:pPr>
          </w:p>
        </w:tc>
        <w:tc>
          <w:tcPr>
            <w:tcW w:w="240" w:type="dxa"/>
            <w:vAlign w:val="bottom"/>
            <w:shd w:val="clear" w:color="auto" w:fill="DDE6F2"/>
          </w:tcPr>
          <w:p>
            <w:pPr>
              <w:spacing w:after="0"/>
              <w:rPr>
                <w:sz w:val="12"/>
                <w:szCs w:val="12"/>
                <w:color w:val="auto"/>
              </w:rPr>
            </w:pPr>
          </w:p>
        </w:tc>
        <w:tc>
          <w:tcPr>
            <w:tcW w:w="820" w:type="dxa"/>
            <w:vAlign w:val="bottom"/>
            <w:shd w:val="clear" w:color="auto" w:fill="DDE6F2"/>
          </w:tcPr>
          <w:p>
            <w:pPr>
              <w:spacing w:after="0"/>
              <w:rPr>
                <w:sz w:val="12"/>
                <w:szCs w:val="12"/>
                <w:color w:val="auto"/>
              </w:rPr>
            </w:pP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spacing w:after="0"/>
              <w:rPr>
                <w:sz w:val="12"/>
                <w:szCs w:val="12"/>
                <w:color w:val="auto"/>
              </w:rPr>
            </w:pPr>
          </w:p>
        </w:tc>
        <w:tc>
          <w:tcPr>
            <w:tcW w:w="820" w:type="dxa"/>
            <w:vAlign w:val="bottom"/>
            <w:shd w:val="clear" w:color="auto" w:fill="DDE6F2"/>
          </w:tcPr>
          <w:p>
            <w:pPr>
              <w:spacing w:after="0"/>
              <w:rPr>
                <w:sz w:val="12"/>
                <w:szCs w:val="12"/>
                <w:color w:val="auto"/>
              </w:rPr>
            </w:pP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2/27/2012 </w:t>
            </w:r>
            <w:r>
              <w:rPr>
                <w:rFonts w:ascii="Arial" w:cs="Arial" w:eastAsia="Arial" w:hAnsi="Arial"/>
                <w:sz w:val="11"/>
                <w:szCs w:val="11"/>
                <w:color w:val="auto"/>
                <w:w w:val="97"/>
              </w:rPr>
              <w:t>(2)</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18,035</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810,493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shd w:val="clear" w:color="auto" w:fill="DDE6F2"/>
          </w:tcPr>
          <w:p>
            <w:pPr>
              <w:spacing w:after="0"/>
              <w:rPr>
                <w:sz w:val="12"/>
                <w:szCs w:val="12"/>
                <w:color w:val="auto"/>
              </w:rPr>
            </w:pPr>
          </w:p>
        </w:tc>
        <w:tc>
          <w:tcPr>
            <w:tcW w:w="600" w:type="dxa"/>
            <w:vAlign w:val="bottom"/>
            <w:shd w:val="clear" w:color="auto" w:fill="DDE6F2"/>
          </w:tcPr>
          <w:p>
            <w:pPr>
              <w:spacing w:after="0"/>
              <w:rPr>
                <w:sz w:val="12"/>
                <w:szCs w:val="12"/>
                <w:color w:val="auto"/>
              </w:rPr>
            </w:pPr>
          </w:p>
        </w:tc>
        <w:tc>
          <w:tcPr>
            <w:tcW w:w="220" w:type="dxa"/>
            <w:vAlign w:val="bottom"/>
            <w:shd w:val="clear" w:color="auto" w:fill="DDE6F2"/>
          </w:tcPr>
          <w:p>
            <w:pPr>
              <w:spacing w:after="0"/>
              <w:rPr>
                <w:sz w:val="12"/>
                <w:szCs w:val="12"/>
                <w:color w:val="auto"/>
              </w:rPr>
            </w:pPr>
          </w:p>
        </w:tc>
        <w:tc>
          <w:tcPr>
            <w:tcW w:w="600" w:type="dxa"/>
            <w:vAlign w:val="bottom"/>
            <w:shd w:val="clear" w:color="auto" w:fill="DDE6F2"/>
          </w:tcPr>
          <w:p>
            <w:pPr>
              <w:spacing w:after="0"/>
              <w:rPr>
                <w:sz w:val="12"/>
                <w:szCs w:val="12"/>
                <w:color w:val="auto"/>
              </w:rPr>
            </w:pPr>
          </w:p>
        </w:tc>
        <w:tc>
          <w:tcPr>
            <w:tcW w:w="80" w:type="dxa"/>
            <w:vAlign w:val="bottom"/>
            <w:shd w:val="clear" w:color="auto" w:fill="DDE6F2"/>
          </w:tcPr>
          <w:p>
            <w:pPr>
              <w:spacing w:after="0"/>
              <w:rPr>
                <w:sz w:val="12"/>
                <w:szCs w:val="12"/>
                <w:color w:val="auto"/>
              </w:rPr>
            </w:pPr>
          </w:p>
        </w:tc>
        <w:tc>
          <w:tcPr>
            <w:tcW w:w="240" w:type="dxa"/>
            <w:vAlign w:val="bottom"/>
            <w:shd w:val="clear" w:color="auto" w:fill="DDE6F2"/>
          </w:tcPr>
          <w:p>
            <w:pPr>
              <w:spacing w:after="0"/>
              <w:rPr>
                <w:sz w:val="12"/>
                <w:szCs w:val="12"/>
                <w:color w:val="auto"/>
              </w:rPr>
            </w:pPr>
          </w:p>
        </w:tc>
        <w:tc>
          <w:tcPr>
            <w:tcW w:w="820" w:type="dxa"/>
            <w:vAlign w:val="bottom"/>
            <w:shd w:val="clear" w:color="auto" w:fill="DDE6F2"/>
          </w:tcPr>
          <w:p>
            <w:pPr>
              <w:spacing w:after="0"/>
              <w:rPr>
                <w:sz w:val="12"/>
                <w:szCs w:val="12"/>
                <w:color w:val="auto"/>
              </w:rPr>
            </w:pPr>
          </w:p>
        </w:tc>
        <w:tc>
          <w:tcPr>
            <w:tcW w:w="900" w:type="dxa"/>
            <w:vAlign w:val="bottom"/>
            <w:shd w:val="clear" w:color="auto" w:fill="DDE6F2"/>
          </w:tcPr>
          <w:p>
            <w:pPr>
              <w:spacing w:after="0"/>
              <w:rPr>
                <w:sz w:val="12"/>
                <w:szCs w:val="12"/>
                <w:color w:val="auto"/>
              </w:rPr>
            </w:pPr>
          </w:p>
        </w:tc>
        <w:tc>
          <w:tcPr>
            <w:tcW w:w="660" w:type="dxa"/>
            <w:vAlign w:val="bottom"/>
            <w:shd w:val="clear" w:color="auto" w:fill="DDE6F2"/>
          </w:tcPr>
          <w:p>
            <w:pPr>
              <w:spacing w:after="0"/>
              <w:rPr>
                <w:sz w:val="12"/>
                <w:szCs w:val="12"/>
                <w:color w:val="auto"/>
              </w:rPr>
            </w:pPr>
          </w:p>
        </w:tc>
        <w:tc>
          <w:tcPr>
            <w:tcW w:w="820" w:type="dxa"/>
            <w:vAlign w:val="bottom"/>
            <w:shd w:val="clear" w:color="auto" w:fill="DDE6F2"/>
          </w:tcPr>
          <w:p>
            <w:pPr>
              <w:spacing w:after="0"/>
              <w:rPr>
                <w:sz w:val="12"/>
                <w:szCs w:val="12"/>
                <w:color w:val="auto"/>
              </w:rPr>
            </w:pPr>
          </w:p>
        </w:tc>
        <w:tc>
          <w:tcPr>
            <w:tcW w:w="1000" w:type="dxa"/>
            <w:vAlign w:val="bottom"/>
            <w:shd w:val="clear" w:color="auto" w:fill="DDE6F2"/>
          </w:tcPr>
          <w:p>
            <w:pPr>
              <w:jc w:val="center"/>
              <w:spacing w:after="0" w:line="149" w:lineRule="exact"/>
              <w:rPr>
                <w:sz w:val="20"/>
                <w:szCs w:val="20"/>
                <w:color w:val="auto"/>
              </w:rPr>
            </w:pPr>
            <w:r>
              <w:rPr>
                <w:rFonts w:ascii="Arial" w:cs="Arial" w:eastAsia="Arial" w:hAnsi="Arial"/>
                <w:sz w:val="14"/>
                <w:szCs w:val="14"/>
                <w:color w:val="auto"/>
                <w:w w:val="97"/>
              </w:rPr>
              <w:t xml:space="preserve">2/27/2012 </w:t>
            </w:r>
            <w:r>
              <w:rPr>
                <w:rFonts w:ascii="Arial" w:cs="Arial" w:eastAsia="Arial" w:hAnsi="Arial"/>
                <w:sz w:val="11"/>
                <w:szCs w:val="11"/>
                <w:color w:val="auto"/>
                <w:w w:val="97"/>
              </w:rPr>
              <w:t>(3)</w:t>
            </w:r>
          </w:p>
        </w:tc>
        <w:tc>
          <w:tcPr>
            <w:tcW w:w="720" w:type="dxa"/>
            <w:vAlign w:val="bottom"/>
            <w:shd w:val="clear" w:color="auto" w:fill="DDE6F2"/>
          </w:tcPr>
          <w:p>
            <w:pPr>
              <w:spacing w:after="0"/>
              <w:rPr>
                <w:sz w:val="12"/>
                <w:szCs w:val="12"/>
                <w:color w:val="auto"/>
              </w:rPr>
            </w:pPr>
          </w:p>
        </w:tc>
        <w:tc>
          <w:tcPr>
            <w:tcW w:w="840" w:type="dxa"/>
            <w:vAlign w:val="bottom"/>
            <w:shd w:val="clear" w:color="auto" w:fill="DDE6F2"/>
          </w:tcPr>
          <w:p>
            <w:pPr>
              <w:spacing w:after="0"/>
              <w:rPr>
                <w:sz w:val="12"/>
                <w:szCs w:val="12"/>
                <w:color w:val="auto"/>
              </w:rPr>
            </w:pPr>
          </w:p>
        </w:tc>
        <w:tc>
          <w:tcPr>
            <w:tcW w:w="760" w:type="dxa"/>
            <w:vAlign w:val="bottom"/>
            <w:shd w:val="clear" w:color="auto" w:fill="DDE6F2"/>
          </w:tcPr>
          <w:p>
            <w:pPr>
              <w:jc w:val="right"/>
              <w:ind w:right="16"/>
              <w:spacing w:after="0" w:line="149" w:lineRule="exact"/>
              <w:rPr>
                <w:sz w:val="20"/>
                <w:szCs w:val="20"/>
                <w:color w:val="auto"/>
              </w:rPr>
            </w:pPr>
            <w:r>
              <w:rPr>
                <w:rFonts w:ascii="Arial" w:cs="Arial" w:eastAsia="Arial" w:hAnsi="Arial"/>
                <w:sz w:val="14"/>
                <w:szCs w:val="14"/>
                <w:color w:val="auto"/>
              </w:rPr>
              <w:t>25,932</w:t>
            </w:r>
          </w:p>
        </w:tc>
        <w:tc>
          <w:tcPr>
            <w:tcW w:w="1020" w:type="dxa"/>
            <w:vAlign w:val="bottom"/>
            <w:shd w:val="clear" w:color="auto" w:fill="DDE6F2"/>
          </w:tcPr>
          <w:p>
            <w:pPr>
              <w:jc w:val="right"/>
              <w:ind w:right="156"/>
              <w:spacing w:after="0" w:line="149" w:lineRule="exact"/>
              <w:rPr>
                <w:sz w:val="20"/>
                <w:szCs w:val="20"/>
                <w:color w:val="auto"/>
              </w:rPr>
            </w:pPr>
            <w:r>
              <w:rPr>
                <w:rFonts w:ascii="Arial" w:cs="Arial" w:eastAsia="Arial" w:hAnsi="Arial"/>
                <w:sz w:val="14"/>
                <w:szCs w:val="14"/>
                <w:color w:val="auto"/>
              </w:rPr>
              <w:t>1,165,384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Note: Information provided is as of the close of market on December 31, 2014.</w:t>
      </w:r>
    </w:p>
    <w:p>
      <w:pPr>
        <w:spacing w:after="0" w:line="96" w:lineRule="exact"/>
        <w:rPr>
          <w:sz w:val="20"/>
          <w:szCs w:val="20"/>
          <w:color w:val="auto"/>
        </w:rPr>
      </w:pPr>
    </w:p>
    <w:p>
      <w:pPr>
        <w:jc w:val="both"/>
        <w:ind w:right="20"/>
        <w:spacing w:after="0" w:line="224" w:lineRule="auto"/>
        <w:rPr>
          <w:sz w:val="20"/>
          <w:szCs w:val="20"/>
          <w:color w:val="auto"/>
        </w:rPr>
      </w:pPr>
      <w:r>
        <w:rPr>
          <w:rFonts w:ascii="Arial" w:cs="Arial" w:eastAsia="Arial" w:hAnsi="Arial"/>
          <w:sz w:val="14"/>
          <w:szCs w:val="14"/>
          <w:color w:val="auto"/>
        </w:rPr>
        <w:t>Note: On December 31, 2011, we completed a tax-free spinoff of 100% of our exploration and production business, WPX Energy, Inc. (“WPX”), to our stockholders. At that time, we distributed one share of WPX common stock for every three shares of Williams’ common stock. As required under our 2007 Incentive Plan, we adjusted all outstanding equity awards on December 31, 2011 by applying an equity conversion factor. The intent of the equity conversion was to prevent dilution or enlargement of the benefits available under our incentive plans. The conversion resulted in increasing the number of stock options which were granted after January 1, 2006, in order to maintain the intrinsic value of these grants at the time of the spinoff. Stock options that were granted prior to December 31, 2005 were adjusted to provide both WMB stock options and WPX stock options using a distribution ratio of 3 to 1. All stock option awards, including option exercise price, granted prior to January 1, 2012 have been adjusted accordingly.</w:t>
      </w:r>
    </w:p>
    <w:p>
      <w:pPr>
        <w:spacing w:after="0" w:line="135"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61</w:t>
            </w:r>
          </w:p>
        </w:tc>
      </w:tr>
    </w:tbl>
    <w:p>
      <w:pPr>
        <w:sectPr>
          <w:pgSz w:w="11900" w:h="16838" w:orient="portrait"/>
          <w:cols w:equalWidth="0" w:num="1">
            <w:col w:w="11440"/>
          </w:cols>
          <w:pgMar w:left="240" w:top="459" w:right="2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205740</wp:posOffset>
            </wp:positionV>
            <wp:extent cx="228092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2809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Options</w:t>
      </w:r>
    </w:p>
    <w:p>
      <w:pPr>
        <w:spacing w:after="0" w:line="262"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following table reflects the vesting schedules for associated stock option grant dates for awards that were not 100% vested as of December 31, 2014.</w:t>
      </w:r>
    </w:p>
    <w:p>
      <w:pPr>
        <w:spacing w:after="0" w:line="219" w:lineRule="exact"/>
        <w:rPr>
          <w:sz w:val="20"/>
          <w:szCs w:val="20"/>
          <w:color w:val="auto"/>
        </w:rPr>
      </w:pPr>
    </w:p>
    <w:tbl>
      <w:tblPr>
        <w:tblLayout w:type="fixed"/>
        <w:tblInd w:w="930" w:type="dxa"/>
        <w:tblCellMar>
          <w:top w:w="0" w:type="dxa"/>
          <w:left w:w="0" w:type="dxa"/>
          <w:bottom w:w="0" w:type="dxa"/>
          <w:right w:w="0" w:type="dxa"/>
        </w:tblCellMar>
      </w:tblPr>
      <w:tr>
        <w:trPr>
          <w:trHeight w:val="176"/>
        </w:trPr>
        <w:tc>
          <w:tcPr>
            <w:tcW w:w="232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 Date</w:t>
            </w:r>
          </w:p>
        </w:tc>
        <w:tc>
          <w:tcPr>
            <w:tcW w:w="4080" w:type="dxa"/>
            <w:vAlign w:val="bottom"/>
            <w:tcBorders>
              <w:top w:val="single" w:sz="8" w:color="auto"/>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Vesting Schedule</w:t>
            </w:r>
          </w:p>
        </w:tc>
        <w:tc>
          <w:tcPr>
            <w:tcW w:w="3200" w:type="dxa"/>
            <w:vAlign w:val="bottom"/>
            <w:tcBorders>
              <w:top w:val="single" w:sz="8" w:color="auto"/>
              <w:bottom w:val="single" w:sz="8" w:color="auto"/>
              <w:right w:val="single" w:sz="8" w:color="auto"/>
            </w:tcBorders>
          </w:tcPr>
          <w:p>
            <w:pPr>
              <w:jc w:val="right"/>
              <w:ind w:right="1048"/>
              <w:spacing w:after="0"/>
              <w:rPr>
                <w:sz w:val="20"/>
                <w:szCs w:val="20"/>
                <w:color w:val="auto"/>
              </w:rPr>
            </w:pPr>
            <w:r>
              <w:rPr>
                <w:rFonts w:ascii="Arial" w:cs="Arial" w:eastAsia="Arial" w:hAnsi="Arial"/>
                <w:sz w:val="14"/>
                <w:szCs w:val="14"/>
                <w:b w:val="1"/>
                <w:bCs w:val="1"/>
                <w:color w:val="auto"/>
              </w:rPr>
              <w:t>Vesting Dates</w:t>
            </w:r>
          </w:p>
        </w:tc>
      </w:tr>
      <w:tr>
        <w:trPr>
          <w:trHeight w:val="156"/>
        </w:trPr>
        <w:tc>
          <w:tcPr>
            <w:tcW w:w="2320" w:type="dxa"/>
            <w:vAlign w:val="bottom"/>
            <w:tcBorders>
              <w:left w:val="single" w:sz="8" w:color="auto"/>
            </w:tcBorders>
            <w:shd w:val="clear" w:color="auto" w:fill="DDE6F2"/>
          </w:tcPr>
          <w:p>
            <w:pPr>
              <w:jc w:val="center"/>
              <w:spacing w:after="0" w:line="155" w:lineRule="exact"/>
              <w:rPr>
                <w:sz w:val="20"/>
                <w:szCs w:val="20"/>
                <w:color w:val="auto"/>
              </w:rPr>
            </w:pPr>
            <w:r>
              <w:rPr>
                <w:rFonts w:ascii="Arial" w:cs="Arial" w:eastAsia="Arial" w:hAnsi="Arial"/>
                <w:sz w:val="14"/>
                <w:szCs w:val="14"/>
                <w:color w:val="auto"/>
              </w:rPr>
              <w:t>2/24/2014</w:t>
            </w:r>
          </w:p>
        </w:tc>
        <w:tc>
          <w:tcPr>
            <w:tcW w:w="4080" w:type="dxa"/>
            <w:vAlign w:val="bottom"/>
            <w:shd w:val="clear" w:color="auto" w:fill="DDE6F2"/>
          </w:tcPr>
          <w:p>
            <w:pPr>
              <w:jc w:val="center"/>
              <w:ind w:left="68"/>
              <w:spacing w:after="0" w:line="155" w:lineRule="exact"/>
              <w:rPr>
                <w:sz w:val="20"/>
                <w:szCs w:val="20"/>
                <w:color w:val="auto"/>
              </w:rPr>
            </w:pPr>
            <w:r>
              <w:rPr>
                <w:rFonts w:ascii="Arial" w:cs="Arial" w:eastAsia="Arial" w:hAnsi="Arial"/>
                <w:sz w:val="14"/>
                <w:szCs w:val="14"/>
                <w:color w:val="auto"/>
              </w:rPr>
              <w:t>One-third vests each year for three years</w:t>
            </w:r>
          </w:p>
        </w:tc>
        <w:tc>
          <w:tcPr>
            <w:tcW w:w="3200" w:type="dxa"/>
            <w:vAlign w:val="bottom"/>
            <w:tcBorders>
              <w:right w:val="single" w:sz="8" w:color="auto"/>
            </w:tcBorders>
            <w:shd w:val="clear" w:color="auto" w:fill="DDE6F2"/>
          </w:tcPr>
          <w:p>
            <w:pPr>
              <w:jc w:val="right"/>
              <w:ind w:right="408"/>
              <w:spacing w:after="0" w:line="155" w:lineRule="exact"/>
              <w:rPr>
                <w:sz w:val="20"/>
                <w:szCs w:val="20"/>
                <w:color w:val="auto"/>
              </w:rPr>
            </w:pPr>
            <w:r>
              <w:rPr>
                <w:rFonts w:ascii="Arial" w:cs="Arial" w:eastAsia="Arial" w:hAnsi="Arial"/>
                <w:sz w:val="14"/>
                <w:szCs w:val="14"/>
                <w:color w:val="auto"/>
              </w:rPr>
              <w:t>2/24/2015, 2/24/2016, 2/24/2017</w:t>
            </w:r>
          </w:p>
        </w:tc>
      </w:tr>
      <w:tr>
        <w:trPr>
          <w:trHeight w:val="162"/>
        </w:trPr>
        <w:tc>
          <w:tcPr>
            <w:tcW w:w="232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rPr>
              <w:t>2/25/2013</w:t>
            </w:r>
          </w:p>
        </w:tc>
        <w:tc>
          <w:tcPr>
            <w:tcW w:w="4080" w:type="dxa"/>
            <w:vAlign w:val="bottom"/>
          </w:tcPr>
          <w:p>
            <w:pPr>
              <w:jc w:val="center"/>
              <w:ind w:left="68"/>
              <w:spacing w:after="0"/>
              <w:rPr>
                <w:sz w:val="20"/>
                <w:szCs w:val="20"/>
                <w:color w:val="auto"/>
              </w:rPr>
            </w:pPr>
            <w:r>
              <w:rPr>
                <w:rFonts w:ascii="Arial" w:cs="Arial" w:eastAsia="Arial" w:hAnsi="Arial"/>
                <w:sz w:val="14"/>
                <w:szCs w:val="14"/>
                <w:color w:val="auto"/>
              </w:rPr>
              <w:t>One-third vests each year for three years</w:t>
            </w:r>
          </w:p>
        </w:tc>
        <w:tc>
          <w:tcPr>
            <w:tcW w:w="3200" w:type="dxa"/>
            <w:vAlign w:val="bottom"/>
            <w:tcBorders>
              <w:right w:val="single" w:sz="8" w:color="auto"/>
            </w:tcBorders>
          </w:tcPr>
          <w:p>
            <w:pPr>
              <w:jc w:val="right"/>
              <w:ind w:right="408"/>
              <w:spacing w:after="0"/>
              <w:rPr>
                <w:sz w:val="20"/>
                <w:szCs w:val="20"/>
                <w:color w:val="auto"/>
              </w:rPr>
            </w:pPr>
            <w:r>
              <w:rPr>
                <w:rFonts w:ascii="Arial" w:cs="Arial" w:eastAsia="Arial" w:hAnsi="Arial"/>
                <w:sz w:val="14"/>
                <w:szCs w:val="14"/>
                <w:color w:val="auto"/>
              </w:rPr>
              <w:t>2/25/2014, 2/25/2015, 2/25/2016</w:t>
            </w:r>
          </w:p>
        </w:tc>
      </w:tr>
      <w:tr>
        <w:trPr>
          <w:trHeight w:val="162"/>
        </w:trPr>
        <w:tc>
          <w:tcPr>
            <w:tcW w:w="2320" w:type="dxa"/>
            <w:vAlign w:val="bottom"/>
            <w:tcBorders>
              <w:left w:val="single" w:sz="8" w:color="auto"/>
              <w:bottom w:val="single" w:sz="8" w:color="auto"/>
            </w:tcBorders>
            <w:shd w:val="clear" w:color="auto" w:fill="DDE6F2"/>
          </w:tcPr>
          <w:p>
            <w:pPr>
              <w:jc w:val="center"/>
              <w:spacing w:after="0"/>
              <w:rPr>
                <w:sz w:val="20"/>
                <w:szCs w:val="20"/>
                <w:color w:val="auto"/>
              </w:rPr>
            </w:pPr>
            <w:r>
              <w:rPr>
                <w:rFonts w:ascii="Arial" w:cs="Arial" w:eastAsia="Arial" w:hAnsi="Arial"/>
                <w:sz w:val="14"/>
                <w:szCs w:val="14"/>
                <w:color w:val="auto"/>
              </w:rPr>
              <w:t>2/27/2012</w:t>
            </w:r>
          </w:p>
        </w:tc>
        <w:tc>
          <w:tcPr>
            <w:tcW w:w="4080" w:type="dxa"/>
            <w:vAlign w:val="bottom"/>
            <w:tcBorders>
              <w:bottom w:val="single" w:sz="8" w:color="auto"/>
            </w:tcBorders>
            <w:shd w:val="clear" w:color="auto" w:fill="DDE6F2"/>
          </w:tcPr>
          <w:p>
            <w:pPr>
              <w:jc w:val="center"/>
              <w:ind w:left="68"/>
              <w:spacing w:after="0"/>
              <w:rPr>
                <w:sz w:val="20"/>
                <w:szCs w:val="20"/>
                <w:color w:val="auto"/>
              </w:rPr>
            </w:pPr>
            <w:r>
              <w:rPr>
                <w:rFonts w:ascii="Arial" w:cs="Arial" w:eastAsia="Arial" w:hAnsi="Arial"/>
                <w:sz w:val="14"/>
                <w:szCs w:val="14"/>
                <w:color w:val="auto"/>
              </w:rPr>
              <w:t>One-third vests each year for three years</w:t>
            </w:r>
          </w:p>
        </w:tc>
        <w:tc>
          <w:tcPr>
            <w:tcW w:w="3200" w:type="dxa"/>
            <w:vAlign w:val="bottom"/>
            <w:tcBorders>
              <w:bottom w:val="single" w:sz="8" w:color="auto"/>
              <w:right w:val="single" w:sz="8" w:color="auto"/>
            </w:tcBorders>
            <w:shd w:val="clear" w:color="auto" w:fill="DDE6F2"/>
          </w:tcPr>
          <w:p>
            <w:pPr>
              <w:jc w:val="right"/>
              <w:ind w:right="408"/>
              <w:spacing w:after="0"/>
              <w:rPr>
                <w:sz w:val="20"/>
                <w:szCs w:val="20"/>
                <w:color w:val="auto"/>
              </w:rPr>
            </w:pPr>
            <w:r>
              <w:rPr>
                <w:rFonts w:ascii="Arial" w:cs="Arial" w:eastAsia="Arial" w:hAnsi="Arial"/>
                <w:sz w:val="14"/>
                <w:szCs w:val="14"/>
                <w:color w:val="auto"/>
              </w:rPr>
              <w:t>2/27/2013, 2/27/2014, 2/27/2015</w:t>
            </w:r>
          </w:p>
        </w:tc>
      </w:tr>
    </w:tbl>
    <w:p>
      <w:pPr>
        <w:spacing w:after="0" w:line="22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Note: Mr. Armstrong has outstanding WPX stock options as a result of the equity conversion on December 31, 2011 in conjunction with the WPX spinoff.</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Mr. Armstrong has 13,353 outstanding WPX stock options. These expire in 2015.</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Awards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(2)</w:t>
            </w:r>
          </w:p>
        </w:tc>
        <w:tc>
          <w:tcPr>
            <w:tcW w:w="8740" w:type="dxa"/>
            <w:vAlign w:val="bottom"/>
            <w:gridSpan w:val="3"/>
          </w:tcPr>
          <w:p>
            <w:pPr>
              <w:ind w:left="80"/>
              <w:spacing w:after="0"/>
              <w:rPr>
                <w:sz w:val="20"/>
                <w:szCs w:val="20"/>
                <w:color w:val="auto"/>
              </w:rPr>
            </w:pPr>
            <w:r>
              <w:rPr>
                <w:rFonts w:ascii="Arial" w:cs="Arial" w:eastAsia="Arial" w:hAnsi="Arial"/>
                <w:sz w:val="14"/>
                <w:szCs w:val="14"/>
                <w:color w:val="auto"/>
              </w:rPr>
              <w:t>The following table reflects the vesting dates for associated time-based restricted stock unit award grant dates:</w:t>
            </w: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8"/>
        </w:trPr>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20" w:type="dxa"/>
            <w:vAlign w:val="bottom"/>
            <w:gridSpan w:val="2"/>
          </w:tcPr>
          <w:p>
            <w:pPr>
              <w:spacing w:after="0"/>
              <w:rPr>
                <w:sz w:val="19"/>
                <w:szCs w:val="19"/>
                <w:color w:val="auto"/>
              </w:rPr>
            </w:pPr>
          </w:p>
        </w:tc>
      </w:tr>
      <w:tr>
        <w:trPr>
          <w:trHeight w:val="156"/>
        </w:trPr>
        <w:tc>
          <w:tcPr>
            <w:tcW w:w="2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4420" w:type="dxa"/>
            <w:vAlign w:val="bottom"/>
            <w:tcBorders>
              <w:top w:val="single" w:sz="8" w:color="auto"/>
              <w:bottom w:val="single" w:sz="8" w:color="auto"/>
            </w:tcBorders>
          </w:tcPr>
          <w:p>
            <w:pPr>
              <w:jc w:val="center"/>
              <w:ind w:right="1648"/>
              <w:spacing w:after="0" w:line="155" w:lineRule="exact"/>
              <w:rPr>
                <w:sz w:val="20"/>
                <w:szCs w:val="20"/>
                <w:color w:val="auto"/>
              </w:rPr>
            </w:pPr>
            <w:r>
              <w:rPr>
                <w:rFonts w:ascii="Arial" w:cs="Arial" w:eastAsia="Arial" w:hAnsi="Arial"/>
                <w:sz w:val="14"/>
                <w:szCs w:val="14"/>
                <w:b w:val="1"/>
                <w:bCs w:val="1"/>
                <w:color w:val="auto"/>
              </w:rPr>
              <w:t>Grant Date</w:t>
            </w:r>
          </w:p>
        </w:tc>
        <w:tc>
          <w:tcPr>
            <w:tcW w:w="3640" w:type="dxa"/>
            <w:vAlign w:val="bottom"/>
            <w:tcBorders>
              <w:top w:val="single" w:sz="8" w:color="auto"/>
              <w:bottom w:val="single" w:sz="8" w:color="auto"/>
            </w:tcBorders>
          </w:tcPr>
          <w:p>
            <w:pPr>
              <w:jc w:val="center"/>
              <w:ind w:right="1548"/>
              <w:spacing w:after="0" w:line="155" w:lineRule="exact"/>
              <w:rPr>
                <w:sz w:val="20"/>
                <w:szCs w:val="20"/>
                <w:color w:val="auto"/>
              </w:rPr>
            </w:pPr>
            <w:r>
              <w:rPr>
                <w:rFonts w:ascii="Arial" w:cs="Arial" w:eastAsia="Arial" w:hAnsi="Arial"/>
                <w:sz w:val="14"/>
                <w:szCs w:val="14"/>
                <w:b w:val="1"/>
                <w:bCs w:val="1"/>
                <w:color w:val="auto"/>
              </w:rPr>
              <w:t>Vesting Schedule</w:t>
            </w:r>
          </w:p>
        </w:tc>
        <w:tc>
          <w:tcPr>
            <w:tcW w:w="1520" w:type="dxa"/>
            <w:vAlign w:val="bottom"/>
            <w:tcBorders>
              <w:top w:val="single" w:sz="8" w:color="auto"/>
              <w:bottom w:val="single" w:sz="8" w:color="auto"/>
              <w:right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Vesting Dates</w:t>
            </w:r>
          </w:p>
        </w:tc>
        <w:tc>
          <w:tcPr>
            <w:tcW w:w="900" w:type="dxa"/>
            <w:vAlign w:val="bottom"/>
          </w:tcPr>
          <w:p>
            <w:pPr>
              <w:spacing w:after="0"/>
              <w:rPr>
                <w:sz w:val="13"/>
                <w:szCs w:val="13"/>
                <w:color w:val="auto"/>
              </w:rPr>
            </w:pPr>
          </w:p>
        </w:tc>
      </w:tr>
      <w:tr>
        <w:trPr>
          <w:trHeight w:val="156"/>
        </w:trPr>
        <w:tc>
          <w:tcPr>
            <w:tcW w:w="2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4420" w:type="dxa"/>
            <w:vAlign w:val="bottom"/>
            <w:shd w:val="clear" w:color="auto" w:fill="DDE6F2"/>
          </w:tcPr>
          <w:p>
            <w:pPr>
              <w:jc w:val="center"/>
              <w:ind w:right="1628"/>
              <w:spacing w:after="0" w:line="155" w:lineRule="exact"/>
              <w:rPr>
                <w:sz w:val="20"/>
                <w:szCs w:val="20"/>
                <w:color w:val="auto"/>
              </w:rPr>
            </w:pPr>
            <w:r>
              <w:rPr>
                <w:rFonts w:ascii="Arial" w:cs="Arial" w:eastAsia="Arial" w:hAnsi="Arial"/>
                <w:sz w:val="14"/>
                <w:szCs w:val="14"/>
                <w:color w:val="auto"/>
              </w:rPr>
              <w:t>2/24/2014</w:t>
            </w:r>
          </w:p>
        </w:tc>
        <w:tc>
          <w:tcPr>
            <w:tcW w:w="3640" w:type="dxa"/>
            <w:vAlign w:val="bottom"/>
            <w:shd w:val="clear" w:color="auto" w:fill="DDE6F2"/>
          </w:tcPr>
          <w:p>
            <w:pPr>
              <w:jc w:val="center"/>
              <w:ind w:right="1548"/>
              <w:spacing w:after="0" w:line="155" w:lineRule="exact"/>
              <w:rPr>
                <w:sz w:val="20"/>
                <w:szCs w:val="20"/>
                <w:color w:val="auto"/>
              </w:rPr>
            </w:pPr>
            <w:r>
              <w:rPr>
                <w:rFonts w:ascii="Arial" w:cs="Arial" w:eastAsia="Arial" w:hAnsi="Arial"/>
                <w:sz w:val="14"/>
                <w:szCs w:val="14"/>
                <w:color w:val="auto"/>
              </w:rPr>
              <w:t>100% vests in three years</w:t>
            </w:r>
          </w:p>
        </w:tc>
        <w:tc>
          <w:tcPr>
            <w:tcW w:w="1520" w:type="dxa"/>
            <w:vAlign w:val="bottom"/>
            <w:tcBorders>
              <w:right w:val="single" w:sz="8" w:color="auto"/>
            </w:tcBorders>
            <w:shd w:val="clear" w:color="auto" w:fill="DDE6F2"/>
          </w:tcPr>
          <w:p>
            <w:pPr>
              <w:jc w:val="right"/>
              <w:ind w:right="268"/>
              <w:spacing w:after="0" w:line="155" w:lineRule="exact"/>
              <w:rPr>
                <w:sz w:val="20"/>
                <w:szCs w:val="20"/>
                <w:color w:val="auto"/>
              </w:rPr>
            </w:pPr>
            <w:r>
              <w:rPr>
                <w:rFonts w:ascii="Arial" w:cs="Arial" w:eastAsia="Arial" w:hAnsi="Arial"/>
                <w:sz w:val="14"/>
                <w:szCs w:val="14"/>
                <w:color w:val="auto"/>
              </w:rPr>
              <w:t>2/24/2017</w:t>
            </w:r>
          </w:p>
        </w:tc>
        <w:tc>
          <w:tcPr>
            <w:tcW w:w="900" w:type="dxa"/>
            <w:vAlign w:val="bottom"/>
          </w:tcPr>
          <w:p>
            <w:pPr>
              <w:spacing w:after="0"/>
              <w:rPr>
                <w:sz w:val="13"/>
                <w:szCs w:val="13"/>
                <w:color w:val="auto"/>
              </w:rPr>
            </w:pPr>
          </w:p>
        </w:tc>
      </w:tr>
      <w:tr>
        <w:trPr>
          <w:trHeight w:val="162"/>
        </w:trPr>
        <w:tc>
          <w:tcPr>
            <w:tcW w:w="26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420" w:type="dxa"/>
            <w:vAlign w:val="bottom"/>
          </w:tcPr>
          <w:p>
            <w:pPr>
              <w:jc w:val="center"/>
              <w:ind w:right="1628"/>
              <w:spacing w:after="0"/>
              <w:rPr>
                <w:sz w:val="20"/>
                <w:szCs w:val="20"/>
                <w:color w:val="auto"/>
              </w:rPr>
            </w:pPr>
            <w:r>
              <w:rPr>
                <w:rFonts w:ascii="Arial" w:cs="Arial" w:eastAsia="Arial" w:hAnsi="Arial"/>
                <w:sz w:val="14"/>
                <w:szCs w:val="14"/>
                <w:color w:val="auto"/>
              </w:rPr>
              <w:t>2/25/2013</w:t>
            </w:r>
          </w:p>
        </w:tc>
        <w:tc>
          <w:tcPr>
            <w:tcW w:w="3640" w:type="dxa"/>
            <w:vAlign w:val="bottom"/>
          </w:tcPr>
          <w:p>
            <w:pPr>
              <w:jc w:val="center"/>
              <w:ind w:right="1548"/>
              <w:spacing w:after="0"/>
              <w:rPr>
                <w:sz w:val="20"/>
                <w:szCs w:val="20"/>
                <w:color w:val="auto"/>
              </w:rPr>
            </w:pPr>
            <w:r>
              <w:rPr>
                <w:rFonts w:ascii="Arial" w:cs="Arial" w:eastAsia="Arial" w:hAnsi="Arial"/>
                <w:sz w:val="14"/>
                <w:szCs w:val="14"/>
                <w:color w:val="auto"/>
              </w:rPr>
              <w:t>100% vests in three years</w:t>
            </w:r>
          </w:p>
        </w:tc>
        <w:tc>
          <w:tcPr>
            <w:tcW w:w="152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2/25/2016</w:t>
            </w:r>
          </w:p>
        </w:tc>
        <w:tc>
          <w:tcPr>
            <w:tcW w:w="90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420" w:type="dxa"/>
            <w:vAlign w:val="bottom"/>
            <w:tcBorders>
              <w:bottom w:val="single" w:sz="8" w:color="auto"/>
            </w:tcBorders>
            <w:shd w:val="clear" w:color="auto" w:fill="DDE6F2"/>
          </w:tcPr>
          <w:p>
            <w:pPr>
              <w:jc w:val="center"/>
              <w:ind w:right="1628"/>
              <w:spacing w:after="0"/>
              <w:rPr>
                <w:sz w:val="20"/>
                <w:szCs w:val="20"/>
                <w:color w:val="auto"/>
              </w:rPr>
            </w:pPr>
            <w:r>
              <w:rPr>
                <w:rFonts w:ascii="Arial" w:cs="Arial" w:eastAsia="Arial" w:hAnsi="Arial"/>
                <w:sz w:val="14"/>
                <w:szCs w:val="14"/>
                <w:color w:val="auto"/>
              </w:rPr>
              <w:t>2/27/2012</w:t>
            </w:r>
          </w:p>
        </w:tc>
        <w:tc>
          <w:tcPr>
            <w:tcW w:w="3640" w:type="dxa"/>
            <w:vAlign w:val="bottom"/>
            <w:tcBorders>
              <w:bottom w:val="single" w:sz="8" w:color="auto"/>
            </w:tcBorders>
            <w:shd w:val="clear" w:color="auto" w:fill="DDE6F2"/>
          </w:tcPr>
          <w:p>
            <w:pPr>
              <w:jc w:val="center"/>
              <w:ind w:right="1548"/>
              <w:spacing w:after="0"/>
              <w:rPr>
                <w:sz w:val="20"/>
                <w:szCs w:val="20"/>
                <w:color w:val="auto"/>
              </w:rPr>
            </w:pPr>
            <w:r>
              <w:rPr>
                <w:rFonts w:ascii="Arial" w:cs="Arial" w:eastAsia="Arial" w:hAnsi="Arial"/>
                <w:sz w:val="14"/>
                <w:szCs w:val="14"/>
                <w:color w:val="auto"/>
              </w:rPr>
              <w:t>100% vests in three years</w:t>
            </w:r>
          </w:p>
        </w:tc>
        <w:tc>
          <w:tcPr>
            <w:tcW w:w="1520" w:type="dxa"/>
            <w:vAlign w:val="bottom"/>
            <w:tcBorders>
              <w:bottom w:val="single" w:sz="8" w:color="auto"/>
              <w:right w:val="single" w:sz="8" w:color="auto"/>
            </w:tcBorders>
            <w:shd w:val="clear" w:color="auto" w:fill="DDE6F2"/>
          </w:tcPr>
          <w:p>
            <w:pPr>
              <w:jc w:val="right"/>
              <w:ind w:right="268"/>
              <w:spacing w:after="0"/>
              <w:rPr>
                <w:sz w:val="20"/>
                <w:szCs w:val="20"/>
                <w:color w:val="auto"/>
              </w:rPr>
            </w:pPr>
            <w:r>
              <w:rPr>
                <w:rFonts w:ascii="Arial" w:cs="Arial" w:eastAsia="Arial" w:hAnsi="Arial"/>
                <w:sz w:val="14"/>
                <w:szCs w:val="14"/>
                <w:color w:val="auto"/>
              </w:rPr>
              <w:t>2/27/2015</w:t>
            </w:r>
          </w:p>
        </w:tc>
        <w:tc>
          <w:tcPr>
            <w:tcW w:w="900" w:type="dxa"/>
            <w:vAlign w:val="bottom"/>
          </w:tcPr>
          <w:p>
            <w:pPr>
              <w:spacing w:after="0"/>
              <w:rPr>
                <w:sz w:val="14"/>
                <w:szCs w:val="14"/>
                <w:color w:val="auto"/>
              </w:rPr>
            </w:pPr>
          </w:p>
        </w:tc>
      </w:tr>
      <w:tr>
        <w:trPr>
          <w:trHeight w:val="28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(3)</w:t>
            </w:r>
          </w:p>
        </w:tc>
        <w:tc>
          <w:tcPr>
            <w:tcW w:w="11160" w:type="dxa"/>
            <w:vAlign w:val="bottom"/>
            <w:gridSpan w:val="5"/>
          </w:tcPr>
          <w:p>
            <w:pPr>
              <w:ind w:left="80"/>
              <w:spacing w:after="0"/>
              <w:rPr>
                <w:sz w:val="20"/>
                <w:szCs w:val="20"/>
                <w:color w:val="auto"/>
              </w:rPr>
            </w:pPr>
            <w:r>
              <w:rPr>
                <w:rFonts w:ascii="Arial" w:cs="Arial" w:eastAsia="Arial" w:hAnsi="Arial"/>
                <w:sz w:val="14"/>
                <w:szCs w:val="14"/>
                <w:color w:val="auto"/>
              </w:rPr>
              <w:t>All performance-based RSUs are subject to attainment of performance targets established by the Compensation Committee. These awards will vest no earlier than three</w:t>
            </w:r>
          </w:p>
        </w:tc>
      </w:tr>
      <w:tr>
        <w:trPr>
          <w:trHeight w:val="162"/>
        </w:trPr>
        <w:tc>
          <w:tcPr>
            <w:tcW w:w="260" w:type="dxa"/>
            <w:vAlign w:val="bottom"/>
          </w:tcPr>
          <w:p>
            <w:pPr>
              <w:spacing w:after="0"/>
              <w:rPr>
                <w:sz w:val="14"/>
                <w:szCs w:val="14"/>
                <w:color w:val="auto"/>
              </w:rPr>
            </w:pPr>
          </w:p>
        </w:tc>
        <w:tc>
          <w:tcPr>
            <w:tcW w:w="8740" w:type="dxa"/>
            <w:vAlign w:val="bottom"/>
            <w:gridSpan w:val="3"/>
          </w:tcPr>
          <w:p>
            <w:pPr>
              <w:ind w:left="80"/>
              <w:spacing w:after="0"/>
              <w:rPr>
                <w:sz w:val="20"/>
                <w:szCs w:val="20"/>
                <w:color w:val="auto"/>
              </w:rPr>
            </w:pPr>
            <w:r>
              <w:rPr>
                <w:rFonts w:ascii="Arial" w:cs="Arial" w:eastAsia="Arial" w:hAnsi="Arial"/>
                <w:sz w:val="14"/>
                <w:szCs w:val="14"/>
                <w:color w:val="auto"/>
              </w:rPr>
              <w:t>years from the date of grant. The awards included on the table are outstanding as of December 31, 2014.</w:t>
            </w: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(4)</w:t>
            </w:r>
          </w:p>
        </w:tc>
        <w:tc>
          <w:tcPr>
            <w:tcW w:w="11160" w:type="dxa"/>
            <w:vAlign w:val="bottom"/>
            <w:gridSpan w:val="5"/>
          </w:tcPr>
          <w:p>
            <w:pPr>
              <w:ind w:left="80"/>
              <w:spacing w:after="0"/>
              <w:rPr>
                <w:sz w:val="20"/>
                <w:szCs w:val="20"/>
                <w:color w:val="auto"/>
              </w:rPr>
            </w:pPr>
            <w:r>
              <w:rPr>
                <w:rFonts w:ascii="Arial" w:cs="Arial" w:eastAsia="Arial" w:hAnsi="Arial"/>
                <w:sz w:val="14"/>
                <w:szCs w:val="14"/>
                <w:color w:val="auto"/>
              </w:rPr>
              <w:t>All Leveraged RSUs are subject to attainment of performance targets established by the Compensation Committee. The awards will vest no earlier than October 25, 2017.</w:t>
            </w:r>
          </w:p>
        </w:tc>
      </w:tr>
      <w:tr>
        <w:trPr>
          <w:trHeight w:val="162"/>
        </w:trPr>
        <w:tc>
          <w:tcPr>
            <w:tcW w:w="260" w:type="dxa"/>
            <w:vAlign w:val="bottom"/>
          </w:tcPr>
          <w:p>
            <w:pPr>
              <w:spacing w:after="0"/>
              <w:rPr>
                <w:sz w:val="14"/>
                <w:szCs w:val="14"/>
                <w:color w:val="auto"/>
              </w:rPr>
            </w:pPr>
          </w:p>
        </w:tc>
        <w:tc>
          <w:tcPr>
            <w:tcW w:w="8740" w:type="dxa"/>
            <w:vAlign w:val="bottom"/>
            <w:gridSpan w:val="3"/>
          </w:tcPr>
          <w:p>
            <w:pPr>
              <w:ind w:left="80"/>
              <w:spacing w:after="0"/>
              <w:rPr>
                <w:sz w:val="20"/>
                <w:szCs w:val="20"/>
                <w:color w:val="auto"/>
              </w:rPr>
            </w:pPr>
            <w:r>
              <w:rPr>
                <w:rFonts w:ascii="Arial" w:cs="Arial" w:eastAsia="Arial" w:hAnsi="Arial"/>
                <w:sz w:val="14"/>
                <w:szCs w:val="14"/>
                <w:color w:val="auto"/>
              </w:rPr>
              <w:t>Any earned units are scheduled to distribute in one-third increments on October 25, 2017, October 25, 2018 and October 25, 2019.</w:t>
            </w: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(5)</w:t>
            </w:r>
          </w:p>
        </w:tc>
        <w:tc>
          <w:tcPr>
            <w:tcW w:w="5100" w:type="dxa"/>
            <w:vAlign w:val="bottom"/>
            <w:gridSpan w:val="2"/>
          </w:tcPr>
          <w:p>
            <w:pPr>
              <w:ind w:left="80"/>
              <w:spacing w:after="0"/>
              <w:rPr>
                <w:sz w:val="20"/>
                <w:szCs w:val="20"/>
                <w:color w:val="auto"/>
              </w:rPr>
            </w:pPr>
            <w:r>
              <w:rPr>
                <w:rFonts w:ascii="Arial" w:cs="Arial" w:eastAsia="Arial" w:hAnsi="Arial"/>
                <w:sz w:val="14"/>
                <w:szCs w:val="14"/>
                <w:color w:val="auto"/>
              </w:rPr>
              <w:t>Values are based on a closing stock price of $44.94 on December 31, 2014.</w:t>
            </w:r>
          </w:p>
        </w:tc>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Option Exercises and Stock Vested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options exercised by the NEO and stock that vested during fiscal year 2014.</w:t>
      </w:r>
    </w:p>
    <w:p>
      <w:pPr>
        <w:spacing w:after="0" w:line="226" w:lineRule="exact"/>
        <w:rPr>
          <w:sz w:val="20"/>
          <w:szCs w:val="20"/>
          <w:color w:val="auto"/>
        </w:rPr>
      </w:pPr>
    </w:p>
    <w:tbl>
      <w:tblPr>
        <w:tblLayout w:type="fixed"/>
        <w:tblInd w:w="470" w:type="dxa"/>
        <w:tblCellMar>
          <w:top w:w="0" w:type="dxa"/>
          <w:left w:w="0" w:type="dxa"/>
          <w:bottom w:w="0" w:type="dxa"/>
          <w:right w:w="0" w:type="dxa"/>
        </w:tblCellMar>
      </w:tblPr>
      <w:tr>
        <w:trPr>
          <w:trHeight w:val="176"/>
        </w:trPr>
        <w:tc>
          <w:tcPr>
            <w:tcW w:w="1940" w:type="dxa"/>
            <w:vAlign w:val="bottom"/>
            <w:tcBorders>
              <w:bottom w:val="single" w:sz="8" w:color="auto"/>
              <w:right w:val="single" w:sz="8" w:color="auto"/>
            </w:tcBorders>
          </w:tcPr>
          <w:p>
            <w:pPr>
              <w:spacing w:after="0"/>
              <w:rPr>
                <w:sz w:val="15"/>
                <w:szCs w:val="15"/>
                <w:color w:val="auto"/>
              </w:rPr>
            </w:pPr>
          </w:p>
        </w:tc>
        <w:tc>
          <w:tcPr>
            <w:tcW w:w="310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Option Awards (1)</w:t>
            </w:r>
          </w:p>
        </w:tc>
        <w:tc>
          <w:tcPr>
            <w:tcW w:w="1160" w:type="dxa"/>
            <w:vAlign w:val="bottom"/>
            <w:tcBorders>
              <w:top w:val="single" w:sz="8" w:color="auto"/>
              <w:bottom w:val="single" w:sz="8" w:color="auto"/>
              <w:right w:val="single" w:sz="8" w:color="auto"/>
            </w:tcBorders>
          </w:tcPr>
          <w:p>
            <w:pPr>
              <w:spacing w:after="0"/>
              <w:rPr>
                <w:sz w:val="15"/>
                <w:szCs w:val="15"/>
                <w:color w:val="auto"/>
              </w:rPr>
            </w:pPr>
          </w:p>
        </w:tc>
        <w:tc>
          <w:tcPr>
            <w:tcW w:w="3040" w:type="dxa"/>
            <w:vAlign w:val="bottom"/>
            <w:tcBorders>
              <w:top w:val="single" w:sz="8" w:color="auto"/>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Stock Awards</w:t>
            </w:r>
          </w:p>
        </w:tc>
        <w:tc>
          <w:tcPr>
            <w:tcW w:w="1280" w:type="dxa"/>
            <w:vAlign w:val="bottom"/>
            <w:tcBorders>
              <w:top w:val="single" w:sz="8" w:color="auto"/>
              <w:bottom w:val="single" w:sz="8" w:color="auto"/>
              <w:right w:val="single" w:sz="8" w:color="auto"/>
            </w:tcBorders>
          </w:tcPr>
          <w:p>
            <w:pPr>
              <w:spacing w:after="0"/>
              <w:rPr>
                <w:sz w:val="15"/>
                <w:szCs w:val="15"/>
                <w:color w:val="auto"/>
              </w:rPr>
            </w:pPr>
          </w:p>
        </w:tc>
      </w:tr>
      <w:tr>
        <w:trPr>
          <w:trHeight w:val="142"/>
        </w:trPr>
        <w:tc>
          <w:tcPr>
            <w:tcW w:w="1940" w:type="dxa"/>
            <w:vAlign w:val="bottom"/>
            <w:tcBorders>
              <w:left w:val="single" w:sz="8" w:color="auto"/>
              <w:right w:val="single" w:sz="8" w:color="auto"/>
            </w:tcBorders>
          </w:tcPr>
          <w:p>
            <w:pPr>
              <w:spacing w:after="0"/>
              <w:rPr>
                <w:sz w:val="12"/>
                <w:szCs w:val="12"/>
                <w:color w:val="auto"/>
              </w:rPr>
            </w:pPr>
          </w:p>
        </w:tc>
        <w:tc>
          <w:tcPr>
            <w:tcW w:w="242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Number of Shares</w:t>
            </w:r>
          </w:p>
        </w:tc>
        <w:tc>
          <w:tcPr>
            <w:tcW w:w="1840" w:type="dxa"/>
            <w:vAlign w:val="bottom"/>
            <w:tcBorders>
              <w:right w:val="single" w:sz="8" w:color="auto"/>
            </w:tcBorders>
            <w:gridSpan w:val="2"/>
          </w:tcPr>
          <w:p>
            <w:pPr>
              <w:jc w:val="right"/>
              <w:ind w:right="268"/>
              <w:spacing w:after="0" w:line="143" w:lineRule="exact"/>
              <w:rPr>
                <w:sz w:val="20"/>
                <w:szCs w:val="20"/>
                <w:color w:val="auto"/>
              </w:rPr>
            </w:pPr>
            <w:r>
              <w:rPr>
                <w:rFonts w:ascii="Arial" w:cs="Arial" w:eastAsia="Arial" w:hAnsi="Arial"/>
                <w:sz w:val="14"/>
                <w:szCs w:val="14"/>
                <w:b w:val="1"/>
                <w:bCs w:val="1"/>
                <w:color w:val="auto"/>
              </w:rPr>
              <w:t>Value Realized on</w:t>
            </w:r>
          </w:p>
        </w:tc>
        <w:tc>
          <w:tcPr>
            <w:tcW w:w="2420" w:type="dxa"/>
            <w:vAlign w:val="bottom"/>
          </w:tcPr>
          <w:p>
            <w:pPr>
              <w:jc w:val="right"/>
              <w:ind w:right="188"/>
              <w:spacing w:after="0" w:line="143" w:lineRule="exact"/>
              <w:rPr>
                <w:sz w:val="20"/>
                <w:szCs w:val="20"/>
                <w:color w:val="auto"/>
              </w:rPr>
            </w:pPr>
            <w:r>
              <w:rPr>
                <w:rFonts w:ascii="Arial" w:cs="Arial" w:eastAsia="Arial" w:hAnsi="Arial"/>
                <w:sz w:val="14"/>
                <w:szCs w:val="14"/>
                <w:b w:val="1"/>
                <w:bCs w:val="1"/>
                <w:color w:val="auto"/>
              </w:rPr>
              <w:t>Number of Shares</w:t>
            </w:r>
          </w:p>
        </w:tc>
        <w:tc>
          <w:tcPr>
            <w:tcW w:w="1900" w:type="dxa"/>
            <w:vAlign w:val="bottom"/>
            <w:tcBorders>
              <w:right w:val="single" w:sz="8" w:color="auto"/>
            </w:tcBorders>
            <w:gridSpan w:val="2"/>
          </w:tcPr>
          <w:p>
            <w:pPr>
              <w:jc w:val="right"/>
              <w:ind w:right="348"/>
              <w:spacing w:after="0" w:line="143" w:lineRule="exact"/>
              <w:rPr>
                <w:sz w:val="20"/>
                <w:szCs w:val="20"/>
                <w:color w:val="auto"/>
              </w:rPr>
            </w:pPr>
            <w:r>
              <w:rPr>
                <w:rFonts w:ascii="Arial" w:cs="Arial" w:eastAsia="Arial" w:hAnsi="Arial"/>
                <w:sz w:val="14"/>
                <w:szCs w:val="14"/>
                <w:b w:val="1"/>
                <w:bCs w:val="1"/>
                <w:color w:val="auto"/>
              </w:rPr>
              <w:t>Value Realized on</w:t>
            </w:r>
          </w:p>
        </w:tc>
      </w:tr>
      <w:tr>
        <w:trPr>
          <w:trHeight w:val="175"/>
        </w:trPr>
        <w:tc>
          <w:tcPr>
            <w:tcW w:w="1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2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Acquired on Exercise</w:t>
            </w: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Exercise</w:t>
            </w:r>
          </w:p>
        </w:tc>
        <w:tc>
          <w:tcPr>
            <w:tcW w:w="2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Acquired on Vesting</w:t>
            </w:r>
          </w:p>
        </w:tc>
        <w:tc>
          <w:tcPr>
            <w:tcW w:w="62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Vesting</w:t>
            </w:r>
          </w:p>
        </w:tc>
      </w:tr>
      <w:tr>
        <w:trPr>
          <w:trHeight w:val="156"/>
        </w:trPr>
        <w:tc>
          <w:tcPr>
            <w:tcW w:w="1940" w:type="dxa"/>
            <w:vAlign w:val="bottom"/>
            <w:tcBorders>
              <w:left w:val="single" w:sz="8" w:color="auto"/>
              <w:right w:val="single" w:sz="8" w:color="auto"/>
            </w:tcBorders>
            <w:shd w:val="clear" w:color="auto" w:fill="CCEEFF"/>
          </w:tcPr>
          <w:p>
            <w:pPr>
              <w:ind w:left="160"/>
              <w:spacing w:after="0" w:line="155" w:lineRule="exact"/>
              <w:rPr>
                <w:sz w:val="20"/>
                <w:szCs w:val="20"/>
                <w:color w:val="auto"/>
              </w:rPr>
            </w:pPr>
            <w:r>
              <w:rPr>
                <w:rFonts w:ascii="Arial" w:cs="Arial" w:eastAsia="Arial" w:hAnsi="Arial"/>
                <w:sz w:val="14"/>
                <w:szCs w:val="14"/>
                <w:color w:val="auto"/>
              </w:rPr>
              <w:t>Alan S. Armstrong</w:t>
            </w:r>
          </w:p>
        </w:tc>
        <w:tc>
          <w:tcPr>
            <w:tcW w:w="2420" w:type="dxa"/>
            <w:vAlign w:val="bottom"/>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3"/>
                <w:szCs w:val="13"/>
                <w:color w:val="auto"/>
              </w:rPr>
            </w:pPr>
          </w:p>
        </w:tc>
        <w:tc>
          <w:tcPr>
            <w:tcW w:w="1160" w:type="dxa"/>
            <w:vAlign w:val="bottom"/>
            <w:tcBorders>
              <w:right w:val="single" w:sz="8" w:color="auto"/>
            </w:tcBorders>
            <w:shd w:val="clear" w:color="auto" w:fill="CCEEFF"/>
          </w:tcPr>
          <w:p>
            <w:pPr>
              <w:jc w:val="right"/>
              <w:ind w:right="268"/>
              <w:spacing w:after="0" w:line="155" w:lineRule="exact"/>
              <w:rPr>
                <w:sz w:val="20"/>
                <w:szCs w:val="20"/>
                <w:color w:val="auto"/>
              </w:rPr>
            </w:pPr>
            <w:r>
              <w:rPr>
                <w:rFonts w:ascii="Arial" w:cs="Arial" w:eastAsia="Arial" w:hAnsi="Arial"/>
                <w:sz w:val="14"/>
                <w:szCs w:val="14"/>
                <w:color w:val="auto"/>
              </w:rPr>
              <w:t>–</w:t>
            </w:r>
          </w:p>
        </w:tc>
        <w:tc>
          <w:tcPr>
            <w:tcW w:w="2420" w:type="dxa"/>
            <w:vAlign w:val="bottom"/>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156,365</w:t>
            </w:r>
          </w:p>
        </w:tc>
        <w:tc>
          <w:tcPr>
            <w:tcW w:w="620" w:type="dxa"/>
            <w:vAlign w:val="bottom"/>
            <w:shd w:val="clear" w:color="auto" w:fill="CCEEFF"/>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shd w:val="clear" w:color="auto" w:fill="CCEEFF"/>
          </w:tcPr>
          <w:p>
            <w:pPr>
              <w:jc w:val="right"/>
              <w:ind w:right="348"/>
              <w:spacing w:after="0" w:line="155" w:lineRule="exact"/>
              <w:rPr>
                <w:sz w:val="20"/>
                <w:szCs w:val="20"/>
                <w:color w:val="auto"/>
              </w:rPr>
            </w:pPr>
            <w:r>
              <w:rPr>
                <w:rFonts w:ascii="Arial" w:cs="Arial" w:eastAsia="Arial" w:hAnsi="Arial"/>
                <w:sz w:val="14"/>
                <w:szCs w:val="14"/>
                <w:color w:val="auto"/>
              </w:rPr>
              <w:t>6,531,366</w:t>
            </w:r>
          </w:p>
        </w:tc>
      </w:tr>
      <w:tr>
        <w:trPr>
          <w:trHeight w:val="162"/>
        </w:trPr>
        <w:tc>
          <w:tcPr>
            <w:tcW w:w="1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Donald R. Chappel</w:t>
            </w:r>
          </w:p>
        </w:tc>
        <w:tc>
          <w:tcPr>
            <w:tcW w:w="2420" w:type="dxa"/>
            <w:vAlign w:val="bottom"/>
          </w:tcPr>
          <w:p>
            <w:pPr>
              <w:jc w:val="right"/>
              <w:ind w:right="168"/>
              <w:spacing w:after="0"/>
              <w:rPr>
                <w:sz w:val="20"/>
                <w:szCs w:val="20"/>
                <w:color w:val="auto"/>
              </w:rPr>
            </w:pPr>
            <w:r>
              <w:rPr>
                <w:rFonts w:ascii="Arial" w:cs="Arial" w:eastAsia="Arial" w:hAnsi="Arial"/>
                <w:sz w:val="14"/>
                <w:szCs w:val="14"/>
                <w:color w:val="auto"/>
              </w:rPr>
              <w:t>55,083</w:t>
            </w:r>
          </w:p>
        </w:tc>
        <w:tc>
          <w:tcPr>
            <w:tcW w:w="6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1,752,392</w:t>
            </w:r>
          </w:p>
        </w:tc>
        <w:tc>
          <w:tcPr>
            <w:tcW w:w="2420" w:type="dxa"/>
            <w:vAlign w:val="bottom"/>
          </w:tcPr>
          <w:p>
            <w:pPr>
              <w:jc w:val="right"/>
              <w:ind w:right="188"/>
              <w:spacing w:after="0"/>
              <w:rPr>
                <w:sz w:val="20"/>
                <w:szCs w:val="20"/>
                <w:color w:val="auto"/>
              </w:rPr>
            </w:pPr>
            <w:r>
              <w:rPr>
                <w:rFonts w:ascii="Arial" w:cs="Arial" w:eastAsia="Arial" w:hAnsi="Arial"/>
                <w:sz w:val="14"/>
                <w:szCs w:val="14"/>
                <w:color w:val="auto"/>
              </w:rPr>
              <w:t>93,103</w:t>
            </w:r>
          </w:p>
        </w:tc>
        <w:tc>
          <w:tcPr>
            <w:tcW w:w="620" w:type="dxa"/>
            <w:vAlign w:val="bottom"/>
          </w:tcPr>
          <w:p>
            <w:pPr>
              <w:spacing w:after="0"/>
              <w:rPr>
                <w:sz w:val="14"/>
                <w:szCs w:val="14"/>
                <w:color w:val="auto"/>
              </w:rPr>
            </w:pPr>
          </w:p>
        </w:tc>
        <w:tc>
          <w:tcPr>
            <w:tcW w:w="128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3,888,912</w:t>
            </w:r>
          </w:p>
        </w:tc>
      </w:tr>
      <w:tr>
        <w:trPr>
          <w:trHeight w:val="162"/>
        </w:trPr>
        <w:tc>
          <w:tcPr>
            <w:tcW w:w="194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Rory L. Miller</w:t>
            </w:r>
          </w:p>
        </w:tc>
        <w:tc>
          <w:tcPr>
            <w:tcW w:w="2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49,599</w:t>
            </w:r>
          </w:p>
        </w:tc>
        <w:tc>
          <w:tcPr>
            <w:tcW w:w="680" w:type="dxa"/>
            <w:vAlign w:val="bottom"/>
            <w:shd w:val="clear" w:color="auto" w:fill="CCEEFF"/>
          </w:tcPr>
          <w:p>
            <w:pPr>
              <w:spacing w:after="0"/>
              <w:rPr>
                <w:sz w:val="14"/>
                <w:szCs w:val="14"/>
                <w:color w:val="auto"/>
              </w:rPr>
            </w:pPr>
          </w:p>
        </w:tc>
        <w:tc>
          <w:tcPr>
            <w:tcW w:w="1160" w:type="dxa"/>
            <w:vAlign w:val="bottom"/>
            <w:tcBorders>
              <w:right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1,216,374</w:t>
            </w:r>
          </w:p>
        </w:tc>
        <w:tc>
          <w:tcPr>
            <w:tcW w:w="2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66,505</w:t>
            </w:r>
          </w:p>
        </w:tc>
        <w:tc>
          <w:tcPr>
            <w:tcW w:w="620" w:type="dxa"/>
            <w:vAlign w:val="bottom"/>
            <w:shd w:val="clear" w:color="auto" w:fill="CCEEFF"/>
          </w:tcPr>
          <w:p>
            <w:pPr>
              <w:spacing w:after="0"/>
              <w:rPr>
                <w:sz w:val="14"/>
                <w:szCs w:val="14"/>
                <w:color w:val="auto"/>
              </w:rPr>
            </w:pPr>
          </w:p>
        </w:tc>
        <w:tc>
          <w:tcPr>
            <w:tcW w:w="1280" w:type="dxa"/>
            <w:vAlign w:val="bottom"/>
            <w:tcBorders>
              <w:right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2,777,914</w:t>
            </w:r>
          </w:p>
        </w:tc>
      </w:tr>
      <w:tr>
        <w:trPr>
          <w:trHeight w:val="162"/>
        </w:trPr>
        <w:tc>
          <w:tcPr>
            <w:tcW w:w="1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John R. Dearborn</w:t>
            </w:r>
          </w:p>
        </w:tc>
        <w:tc>
          <w:tcPr>
            <w:tcW w:w="2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116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28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r>
      <w:tr>
        <w:trPr>
          <w:trHeight w:val="162"/>
        </w:trPr>
        <w:tc>
          <w:tcPr>
            <w:tcW w:w="194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James E. Scheel</w:t>
            </w:r>
          </w:p>
        </w:tc>
        <w:tc>
          <w:tcPr>
            <w:tcW w:w="24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23,827</w:t>
            </w:r>
          </w:p>
        </w:tc>
        <w:tc>
          <w:tcPr>
            <w:tcW w:w="6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right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581,749</w:t>
            </w:r>
          </w:p>
        </w:tc>
        <w:tc>
          <w:tcPr>
            <w:tcW w:w="24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12,764</w:t>
            </w:r>
          </w:p>
        </w:tc>
        <w:tc>
          <w:tcPr>
            <w:tcW w:w="6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right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533,152</w:t>
            </w:r>
          </w:p>
        </w:tc>
      </w:tr>
    </w:tbl>
    <w:p>
      <w:pPr>
        <w:spacing w:after="0" w:line="126" w:lineRule="exact"/>
        <w:rPr>
          <w:sz w:val="20"/>
          <w:szCs w:val="20"/>
          <w:color w:val="auto"/>
        </w:rPr>
      </w:pPr>
    </w:p>
    <w:p>
      <w:pPr>
        <w:ind w:left="800" w:hanging="346"/>
        <w:spacing w:after="0"/>
        <w:tabs>
          <w:tab w:leader="none" w:pos="8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Additionally, in conjunction with the equity conversion as mentioned in the “Outstanding Equity Awards” table, Mr. Miller exercised 2,921 WPX 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Retirement Plan</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retirement plan for the Company’s executives consists of two plans: the pension plan and the retirement restoration plan as described below. Together these plans provide the same level of benefits to our executives as the pension plan provides to all other employees of the Company. The retirement restoration plan was implemented to address the annual compensation limit of the Internal Revenue Code.</w:t>
      </w:r>
    </w:p>
    <w:p>
      <w:pPr>
        <w:spacing w:after="0" w:line="12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62</w:t>
            </w: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205740</wp:posOffset>
            </wp:positionV>
            <wp:extent cx="228092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2809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executives who have completed one-year of service participate in our pension plan on the same terms as our other employees. Our pension plan is a noncontributory, tax qualified defined benefit plan (with a cash balance design) subject to the Employee Retirement Income Security Act of 1974, as amended.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year, participants earn compensation credits that are posted to their cash balance account. The annual compensation credits are equal to the sum of a percentage of eligible pay (base pay and certain bonuses) and a percentage of eligible pay greater than the social security wage base. The percentage credited is based upon the participant’s age as shown in the following table:</w:t>
      </w:r>
    </w:p>
    <w:p>
      <w:pPr>
        <w:spacing w:after="0" w:line="207"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2640" w:type="dxa"/>
            <w:vAlign w:val="bottom"/>
            <w:tcBorders>
              <w:top w:val="single" w:sz="8" w:color="auto"/>
              <w:left w:val="single" w:sz="8" w:color="auto"/>
            </w:tcBorders>
          </w:tcPr>
          <w:p>
            <w:pPr>
              <w:spacing w:after="0"/>
              <w:rPr>
                <w:sz w:val="14"/>
                <w:szCs w:val="14"/>
                <w:color w:val="auto"/>
              </w:rPr>
            </w:pPr>
          </w:p>
        </w:tc>
        <w:tc>
          <w:tcPr>
            <w:tcW w:w="3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440" w:type="dxa"/>
            <w:vAlign w:val="bottom"/>
            <w:tcBorders>
              <w:top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Percent of Eligible Pay Greater than the</w:t>
            </w:r>
          </w:p>
        </w:tc>
      </w:tr>
      <w:tr>
        <w:trPr>
          <w:trHeight w:val="175"/>
        </w:trPr>
        <w:tc>
          <w:tcPr>
            <w:tcW w:w="2640" w:type="dxa"/>
            <w:vAlign w:val="bottom"/>
            <w:tcBorders>
              <w:left w:val="single" w:sz="8" w:color="auto"/>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8"/>
              </w:rPr>
              <w:t>Age</w:t>
            </w:r>
          </w:p>
        </w:tc>
        <w:tc>
          <w:tcPr>
            <w:tcW w:w="33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Percentage of Eligible Pay</w:t>
            </w:r>
          </w:p>
        </w:tc>
        <w:tc>
          <w:tcPr>
            <w:tcW w:w="1120" w:type="dxa"/>
            <w:vAlign w:val="bottom"/>
            <w:tcBorders>
              <w:bottom w:val="single" w:sz="8" w:color="auto"/>
            </w:tcBorders>
          </w:tcPr>
          <w:p>
            <w:pPr>
              <w:spacing w:after="0"/>
              <w:rPr>
                <w:sz w:val="15"/>
                <w:szCs w:val="15"/>
                <w:color w:val="auto"/>
              </w:rPr>
            </w:pPr>
          </w:p>
        </w:tc>
        <w:tc>
          <w:tcPr>
            <w:tcW w:w="3440" w:type="dxa"/>
            <w:vAlign w:val="bottom"/>
            <w:tcBorders>
              <w:bottom w:val="single" w:sz="8" w:color="auto"/>
              <w:right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Social Security Wage Base</w:t>
            </w:r>
          </w:p>
        </w:tc>
      </w:tr>
      <w:tr>
        <w:trPr>
          <w:trHeight w:val="156"/>
        </w:trPr>
        <w:tc>
          <w:tcPr>
            <w:tcW w:w="2640" w:type="dxa"/>
            <w:vAlign w:val="bottom"/>
            <w:tcBorders>
              <w:left w:val="single" w:sz="8" w:color="auto"/>
            </w:tcBorders>
            <w:shd w:val="clear" w:color="auto" w:fill="DDE6F2"/>
          </w:tcPr>
          <w:p>
            <w:pPr>
              <w:jc w:val="center"/>
              <w:ind w:right="228"/>
              <w:spacing w:after="0" w:line="155" w:lineRule="exact"/>
              <w:rPr>
                <w:sz w:val="20"/>
                <w:szCs w:val="20"/>
                <w:color w:val="auto"/>
              </w:rPr>
            </w:pPr>
            <w:r>
              <w:rPr>
                <w:rFonts w:ascii="Arial" w:cs="Arial" w:eastAsia="Arial" w:hAnsi="Arial"/>
                <w:sz w:val="14"/>
                <w:szCs w:val="14"/>
                <w:color w:val="auto"/>
              </w:rPr>
              <w:t>Less than 30</w:t>
            </w:r>
          </w:p>
        </w:tc>
        <w:tc>
          <w:tcPr>
            <w:tcW w:w="3320" w:type="dxa"/>
            <w:vAlign w:val="bottom"/>
            <w:shd w:val="clear" w:color="auto" w:fill="DDE6F2"/>
          </w:tcPr>
          <w:p>
            <w:pPr>
              <w:jc w:val="center"/>
              <w:ind w:left="528"/>
              <w:spacing w:after="0" w:line="155" w:lineRule="exact"/>
              <w:rPr>
                <w:sz w:val="20"/>
                <w:szCs w:val="20"/>
                <w:color w:val="auto"/>
              </w:rPr>
            </w:pPr>
            <w:r>
              <w:rPr>
                <w:rFonts w:ascii="Arial" w:cs="Arial" w:eastAsia="Arial" w:hAnsi="Arial"/>
                <w:sz w:val="14"/>
                <w:szCs w:val="14"/>
                <w:color w:val="auto"/>
              </w:rPr>
              <w:t>4.5%</w:t>
            </w:r>
          </w:p>
        </w:tc>
        <w:tc>
          <w:tcPr>
            <w:tcW w:w="1120" w:type="dxa"/>
            <w:vAlign w:val="bottom"/>
            <w:shd w:val="clear" w:color="auto" w:fill="DDE6F2"/>
          </w:tcPr>
          <w:p>
            <w:pPr>
              <w:jc w:val="right"/>
              <w:ind w:right="508"/>
              <w:spacing w:after="0" w:line="155" w:lineRule="exact"/>
              <w:rPr>
                <w:sz w:val="20"/>
                <w:szCs w:val="20"/>
                <w:color w:val="auto"/>
              </w:rPr>
            </w:pPr>
            <w:r>
              <w:rPr>
                <w:rFonts w:ascii="Arial" w:cs="Arial" w:eastAsia="Arial" w:hAnsi="Arial"/>
                <w:sz w:val="14"/>
                <w:szCs w:val="14"/>
                <w:color w:val="auto"/>
              </w:rPr>
              <w:t>+</w:t>
            </w:r>
          </w:p>
        </w:tc>
        <w:tc>
          <w:tcPr>
            <w:tcW w:w="3440" w:type="dxa"/>
            <w:vAlign w:val="bottom"/>
            <w:tcBorders>
              <w:right w:val="single" w:sz="8" w:color="auto"/>
            </w:tcBorders>
            <w:shd w:val="clear" w:color="auto" w:fill="DDE6F2"/>
          </w:tcPr>
          <w:p>
            <w:pPr>
              <w:jc w:val="right"/>
              <w:ind w:right="808"/>
              <w:spacing w:after="0" w:line="155" w:lineRule="exact"/>
              <w:rPr>
                <w:sz w:val="20"/>
                <w:szCs w:val="20"/>
                <w:color w:val="auto"/>
              </w:rPr>
            </w:pPr>
            <w:r>
              <w:rPr>
                <w:rFonts w:ascii="Arial" w:cs="Arial" w:eastAsia="Arial" w:hAnsi="Arial"/>
                <w:sz w:val="14"/>
                <w:szCs w:val="14"/>
                <w:color w:val="auto"/>
              </w:rPr>
              <w:t>From 1% to 1.2%</w:t>
            </w:r>
          </w:p>
        </w:tc>
      </w:tr>
      <w:tr>
        <w:trPr>
          <w:trHeight w:val="162"/>
        </w:trPr>
        <w:tc>
          <w:tcPr>
            <w:tcW w:w="2640" w:type="dxa"/>
            <w:vAlign w:val="bottom"/>
            <w:tcBorders>
              <w:left w:val="single" w:sz="8" w:color="auto"/>
            </w:tcBorders>
          </w:tcPr>
          <w:p>
            <w:pPr>
              <w:jc w:val="center"/>
              <w:ind w:right="228"/>
              <w:spacing w:after="0"/>
              <w:rPr>
                <w:sz w:val="20"/>
                <w:szCs w:val="20"/>
                <w:color w:val="auto"/>
              </w:rPr>
            </w:pPr>
            <w:r>
              <w:rPr>
                <w:rFonts w:ascii="Arial" w:cs="Arial" w:eastAsia="Arial" w:hAnsi="Arial"/>
                <w:sz w:val="14"/>
                <w:szCs w:val="14"/>
                <w:color w:val="auto"/>
              </w:rPr>
              <w:t>30-39</w:t>
            </w:r>
          </w:p>
        </w:tc>
        <w:tc>
          <w:tcPr>
            <w:tcW w:w="3320" w:type="dxa"/>
            <w:vAlign w:val="bottom"/>
          </w:tcPr>
          <w:p>
            <w:pPr>
              <w:jc w:val="center"/>
              <w:ind w:left="528"/>
              <w:spacing w:after="0"/>
              <w:rPr>
                <w:sz w:val="20"/>
                <w:szCs w:val="20"/>
                <w:color w:val="auto"/>
              </w:rPr>
            </w:pPr>
            <w:r>
              <w:rPr>
                <w:rFonts w:ascii="Arial" w:cs="Arial" w:eastAsia="Arial" w:hAnsi="Arial"/>
                <w:sz w:val="14"/>
                <w:szCs w:val="14"/>
                <w:color w:val="auto"/>
                <w:w w:val="98"/>
              </w:rPr>
              <w:t>6%</w:t>
            </w:r>
          </w:p>
        </w:tc>
        <w:tc>
          <w:tcPr>
            <w:tcW w:w="112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3440" w:type="dxa"/>
            <w:vAlign w:val="bottom"/>
            <w:tcBorders>
              <w:right w:val="single" w:sz="8" w:color="auto"/>
            </w:tcBorders>
          </w:tcPr>
          <w:p>
            <w:pPr>
              <w:jc w:val="right"/>
              <w:ind w:right="1048"/>
              <w:spacing w:after="0"/>
              <w:rPr>
                <w:sz w:val="20"/>
                <w:szCs w:val="20"/>
                <w:color w:val="auto"/>
              </w:rPr>
            </w:pPr>
            <w:r>
              <w:rPr>
                <w:rFonts w:ascii="Arial" w:cs="Arial" w:eastAsia="Arial" w:hAnsi="Arial"/>
                <w:sz w:val="14"/>
                <w:szCs w:val="14"/>
                <w:color w:val="auto"/>
              </w:rPr>
              <w:t>2%</w:t>
            </w:r>
          </w:p>
        </w:tc>
      </w:tr>
      <w:tr>
        <w:trPr>
          <w:trHeight w:val="162"/>
        </w:trPr>
        <w:tc>
          <w:tcPr>
            <w:tcW w:w="2640" w:type="dxa"/>
            <w:vAlign w:val="bottom"/>
            <w:tcBorders>
              <w:left w:val="single" w:sz="8" w:color="auto"/>
            </w:tcBorders>
            <w:shd w:val="clear" w:color="auto" w:fill="DDE6F2"/>
          </w:tcPr>
          <w:p>
            <w:pPr>
              <w:jc w:val="center"/>
              <w:ind w:right="228"/>
              <w:spacing w:after="0"/>
              <w:rPr>
                <w:sz w:val="20"/>
                <w:szCs w:val="20"/>
                <w:color w:val="auto"/>
              </w:rPr>
            </w:pPr>
            <w:r>
              <w:rPr>
                <w:rFonts w:ascii="Arial" w:cs="Arial" w:eastAsia="Arial" w:hAnsi="Arial"/>
                <w:sz w:val="14"/>
                <w:szCs w:val="14"/>
                <w:color w:val="auto"/>
              </w:rPr>
              <w:t>40-49</w:t>
            </w:r>
          </w:p>
        </w:tc>
        <w:tc>
          <w:tcPr>
            <w:tcW w:w="3320" w:type="dxa"/>
            <w:vAlign w:val="bottom"/>
            <w:shd w:val="clear" w:color="auto" w:fill="DDE6F2"/>
          </w:tcPr>
          <w:p>
            <w:pPr>
              <w:jc w:val="center"/>
              <w:ind w:left="528"/>
              <w:spacing w:after="0"/>
              <w:rPr>
                <w:sz w:val="20"/>
                <w:szCs w:val="20"/>
                <w:color w:val="auto"/>
              </w:rPr>
            </w:pPr>
            <w:r>
              <w:rPr>
                <w:rFonts w:ascii="Arial" w:cs="Arial" w:eastAsia="Arial" w:hAnsi="Arial"/>
                <w:sz w:val="14"/>
                <w:szCs w:val="14"/>
                <w:color w:val="auto"/>
                <w:w w:val="98"/>
              </w:rPr>
              <w:t>8%</w:t>
            </w:r>
          </w:p>
        </w:tc>
        <w:tc>
          <w:tcPr>
            <w:tcW w:w="1120" w:type="dxa"/>
            <w:vAlign w:val="bottom"/>
            <w:shd w:val="clear" w:color="auto" w:fill="DDE6F2"/>
          </w:tcPr>
          <w:p>
            <w:pPr>
              <w:jc w:val="right"/>
              <w:ind w:right="508"/>
              <w:spacing w:after="0"/>
              <w:rPr>
                <w:sz w:val="20"/>
                <w:szCs w:val="20"/>
                <w:color w:val="auto"/>
              </w:rPr>
            </w:pPr>
            <w:r>
              <w:rPr>
                <w:rFonts w:ascii="Arial" w:cs="Arial" w:eastAsia="Arial" w:hAnsi="Arial"/>
                <w:sz w:val="14"/>
                <w:szCs w:val="14"/>
                <w:color w:val="auto"/>
              </w:rPr>
              <w:t>+</w:t>
            </w:r>
          </w:p>
        </w:tc>
        <w:tc>
          <w:tcPr>
            <w:tcW w:w="3440" w:type="dxa"/>
            <w:vAlign w:val="bottom"/>
            <w:tcBorders>
              <w:right w:val="single" w:sz="8" w:color="auto"/>
            </w:tcBorders>
            <w:shd w:val="clear" w:color="auto" w:fill="DDE6F2"/>
          </w:tcPr>
          <w:p>
            <w:pPr>
              <w:jc w:val="right"/>
              <w:ind w:right="1048"/>
              <w:spacing w:after="0"/>
              <w:rPr>
                <w:sz w:val="20"/>
                <w:szCs w:val="20"/>
                <w:color w:val="auto"/>
              </w:rPr>
            </w:pPr>
            <w:r>
              <w:rPr>
                <w:rFonts w:ascii="Arial" w:cs="Arial" w:eastAsia="Arial" w:hAnsi="Arial"/>
                <w:sz w:val="14"/>
                <w:szCs w:val="14"/>
                <w:color w:val="auto"/>
              </w:rPr>
              <w:t>3%</w:t>
            </w:r>
          </w:p>
        </w:tc>
      </w:tr>
      <w:tr>
        <w:trPr>
          <w:trHeight w:val="162"/>
        </w:trPr>
        <w:tc>
          <w:tcPr>
            <w:tcW w:w="2640" w:type="dxa"/>
            <w:vAlign w:val="bottom"/>
            <w:tcBorders>
              <w:left w:val="single" w:sz="8" w:color="auto"/>
              <w:bottom w:val="single" w:sz="8" w:color="auto"/>
            </w:tcBorders>
          </w:tcPr>
          <w:p>
            <w:pPr>
              <w:jc w:val="center"/>
              <w:ind w:right="228"/>
              <w:spacing w:after="0"/>
              <w:rPr>
                <w:sz w:val="20"/>
                <w:szCs w:val="20"/>
                <w:color w:val="auto"/>
              </w:rPr>
            </w:pPr>
            <w:r>
              <w:rPr>
                <w:rFonts w:ascii="Arial" w:cs="Arial" w:eastAsia="Arial" w:hAnsi="Arial"/>
                <w:sz w:val="14"/>
                <w:szCs w:val="14"/>
                <w:color w:val="auto"/>
              </w:rPr>
              <w:t>50 or over</w:t>
            </w:r>
          </w:p>
        </w:tc>
        <w:tc>
          <w:tcPr>
            <w:tcW w:w="332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w w:val="99"/>
              </w:rPr>
              <w:t>10%</w:t>
            </w: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3440" w:type="dxa"/>
            <w:vAlign w:val="bottom"/>
            <w:tcBorders>
              <w:bottom w:val="single" w:sz="8" w:color="auto"/>
              <w:right w:val="single" w:sz="8" w:color="auto"/>
            </w:tcBorders>
          </w:tcPr>
          <w:p>
            <w:pPr>
              <w:jc w:val="right"/>
              <w:ind w:right="1048"/>
              <w:spacing w:after="0"/>
              <w:rPr>
                <w:sz w:val="20"/>
                <w:szCs w:val="20"/>
                <w:color w:val="auto"/>
              </w:rPr>
            </w:pPr>
            <w:r>
              <w:rPr>
                <w:rFonts w:ascii="Arial" w:cs="Arial" w:eastAsia="Arial" w:hAnsi="Arial"/>
                <w:sz w:val="14"/>
                <w:szCs w:val="14"/>
                <w:color w:val="auto"/>
              </w:rPr>
              <w:t>5%</w:t>
            </w:r>
          </w:p>
        </w:tc>
      </w:tr>
    </w:tbl>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participants who were active employees and participants under the plan on March 31, 1998, and April 1, 1998, the percentage of eligible pay is increased by 0.3% multiplied by the participant’s total years of benefit service earned as of March 31, 1998.</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In addition, interest is credited to account balances quarterly at a rate determined annually in accordance with the terms of the plan.</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monthly annuity available to those who take normal retirement is based on the participant’s account balance as of the date of retirement. Normal retirement age is 65. Early retirement eligibility begins at 55. At retirement, participants may choose to receive a single-life annuity (for single participants) or a qualified joint and survivor annuity (for married participants) or they may choose one of several other forms of payment having an actuarial value equal to that of the relevant annuity.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Restoration Plan</w:t>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Internal Revenue Code limits pension benefits based on the annual compensation limit that can be accrued in tax-qualified defined benefit plans, such as our pension plan. Any reduction in an executive’s pension benefit accrual due to these limits will be compensated, subject to a cap, under an unfunded top hat plan — our retirement restoration plan.</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elements of compensation that are included in applying the payment and benefit formula for the retirement restoration plan are the same elements that are used, except for application of a cap, in the base pension plan for all employees. The elements of pay included in that definition are total base pay, including any overtime, base pay-reduction amounts, and cash bonus awards, if paid (unless specifically excluded under a written bonus or incentive-pay arrangement). Specifically excluded from the definition are severance pay, cost-of-living pay, housing pay, relocation pay (including mortgage interest differential), taxable and non-taxable fringe benefits, and all other extraordinary pay, including any amounts received from equity compensation awards.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With respect to bonuses, annual cash incentives are considered in determining eligible pay under the pension plan. Long-term equity compensation incentives are not considered.</w:t>
      </w:r>
    </w:p>
    <w:p>
      <w:pPr>
        <w:spacing w:after="0" w:line="123"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63</w:t>
            </w: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205740</wp:posOffset>
            </wp:positionV>
            <wp:extent cx="228092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809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Pension Benefits</w:t>
      </w:r>
    </w:p>
    <w:p>
      <w:pPr>
        <w:spacing w:after="0" w:line="23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sets forth certain information with respect to the actuarial present value of the accrued benefit as of December 31, 2014 under the qualified pension plan and retirement restoration plan.</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240" w:type="dxa"/>
            <w:vAlign w:val="bottom"/>
            <w:tcBorders>
              <w:top w:val="single" w:sz="8" w:color="auto"/>
              <w:left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6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Years</w:t>
            </w:r>
          </w:p>
        </w:tc>
        <w:tc>
          <w:tcPr>
            <w:tcW w:w="210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Present Value of</w:t>
            </w:r>
          </w:p>
        </w:tc>
        <w:tc>
          <w:tcPr>
            <w:tcW w:w="1900" w:type="dxa"/>
            <w:vAlign w:val="bottom"/>
            <w:tcBorders>
              <w:top w:val="single" w:sz="8" w:color="auto"/>
              <w:right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Payments During</w:t>
            </w:r>
          </w:p>
        </w:tc>
        <w:tc>
          <w:tcPr>
            <w:tcW w:w="0" w:type="dxa"/>
            <w:vAlign w:val="bottom"/>
          </w:tcPr>
          <w:p>
            <w:pPr>
              <w:spacing w:after="0"/>
              <w:rPr>
                <w:sz w:val="1"/>
                <w:szCs w:val="1"/>
                <w:color w:val="auto"/>
              </w:rPr>
            </w:pPr>
          </w:p>
        </w:tc>
      </w:tr>
      <w:tr>
        <w:trPr>
          <w:trHeight w:val="175"/>
        </w:trPr>
        <w:tc>
          <w:tcPr>
            <w:tcW w:w="224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310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Plan Name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Credited Services</w:t>
            </w:r>
          </w:p>
        </w:tc>
        <w:tc>
          <w:tcPr>
            <w:tcW w:w="2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Accrued Benefit (1)</w:t>
            </w:r>
          </w:p>
        </w:tc>
        <w:tc>
          <w:tcPr>
            <w:tcW w:w="190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Last Fiscal Year</w:t>
            </w:r>
          </w:p>
        </w:tc>
        <w:tc>
          <w:tcPr>
            <w:tcW w:w="0" w:type="dxa"/>
            <w:vAlign w:val="bottom"/>
          </w:tcPr>
          <w:p>
            <w:pPr>
              <w:spacing w:after="0"/>
              <w:rPr>
                <w:sz w:val="1"/>
                <w:szCs w:val="1"/>
                <w:color w:val="auto"/>
              </w:rPr>
            </w:pPr>
          </w:p>
        </w:tc>
      </w:tr>
      <w:tr>
        <w:trPr>
          <w:trHeight w:val="156"/>
        </w:trPr>
        <w:tc>
          <w:tcPr>
            <w:tcW w:w="224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color w:val="auto"/>
              </w:rPr>
              <w:t>Alan S. Armstrong</w:t>
            </w:r>
          </w:p>
        </w:tc>
        <w:tc>
          <w:tcPr>
            <w:tcW w:w="840" w:type="dxa"/>
            <w:vAlign w:val="bottom"/>
            <w:shd w:val="clear" w:color="auto" w:fill="DDE6F2"/>
          </w:tcPr>
          <w:p>
            <w:pPr>
              <w:spacing w:after="0"/>
              <w:rPr>
                <w:sz w:val="13"/>
                <w:szCs w:val="13"/>
                <w:color w:val="auto"/>
              </w:rPr>
            </w:pPr>
          </w:p>
        </w:tc>
        <w:tc>
          <w:tcPr>
            <w:tcW w:w="2260" w:type="dxa"/>
            <w:vAlign w:val="bottom"/>
            <w:shd w:val="clear" w:color="auto" w:fill="DDE6F2"/>
          </w:tcPr>
          <w:p>
            <w:pPr>
              <w:spacing w:after="0" w:line="155" w:lineRule="exact"/>
              <w:rPr>
                <w:sz w:val="20"/>
                <w:szCs w:val="20"/>
                <w:color w:val="auto"/>
              </w:rPr>
            </w:pPr>
            <w:r>
              <w:rPr>
                <w:rFonts w:ascii="Arial" w:cs="Arial" w:eastAsia="Arial" w:hAnsi="Arial"/>
                <w:sz w:val="14"/>
                <w:szCs w:val="14"/>
                <w:color w:val="auto"/>
              </w:rPr>
              <w:t>Pension Plan</w:t>
            </w:r>
          </w:p>
        </w:tc>
        <w:tc>
          <w:tcPr>
            <w:tcW w:w="2100" w:type="dxa"/>
            <w:vAlign w:val="bottom"/>
            <w:shd w:val="clear" w:color="auto" w:fill="DDE6F2"/>
          </w:tcPr>
          <w:p>
            <w:pPr>
              <w:jc w:val="center"/>
              <w:spacing w:after="0" w:line="155" w:lineRule="exact"/>
              <w:rPr>
                <w:sz w:val="20"/>
                <w:szCs w:val="20"/>
                <w:color w:val="auto"/>
              </w:rPr>
            </w:pPr>
            <w:r>
              <w:rPr>
                <w:rFonts w:ascii="Arial" w:cs="Arial" w:eastAsia="Arial" w:hAnsi="Arial"/>
                <w:sz w:val="14"/>
                <w:szCs w:val="14"/>
                <w:color w:val="auto"/>
              </w:rPr>
              <w:t>29</w:t>
            </w:r>
          </w:p>
        </w:tc>
        <w:tc>
          <w:tcPr>
            <w:tcW w:w="2100" w:type="dxa"/>
            <w:vAlign w:val="bottom"/>
            <w:shd w:val="clear" w:color="auto" w:fill="DDE6F2"/>
          </w:tcPr>
          <w:p>
            <w:pPr>
              <w:jc w:val="right"/>
              <w:ind w:right="268"/>
              <w:spacing w:after="0" w:line="155" w:lineRule="exact"/>
              <w:rPr>
                <w:sz w:val="20"/>
                <w:szCs w:val="20"/>
                <w:color w:val="auto"/>
              </w:rPr>
            </w:pPr>
            <w:r>
              <w:rPr>
                <w:rFonts w:ascii="Arial" w:cs="Arial" w:eastAsia="Arial" w:hAnsi="Arial"/>
                <w:sz w:val="14"/>
                <w:szCs w:val="14"/>
                <w:color w:val="auto"/>
              </w:rPr>
              <w:t>853,621</w:t>
            </w:r>
          </w:p>
        </w:tc>
        <w:tc>
          <w:tcPr>
            <w:tcW w:w="1900" w:type="dxa"/>
            <w:vAlign w:val="bottom"/>
            <w:tcBorders>
              <w:right w:val="single" w:sz="8" w:color="auto"/>
            </w:tcBorders>
            <w:shd w:val="clear" w:color="auto" w:fill="DDE6F2"/>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2240" w:type="dxa"/>
            <w:vAlign w:val="bottom"/>
            <w:tcBorders>
              <w:left w:val="single" w:sz="8" w:color="auto"/>
            </w:tcBorders>
            <w:vMerge w:val="continue"/>
          </w:tcPr>
          <w:p>
            <w:pPr>
              <w:spacing w:after="0"/>
              <w:rPr>
                <w:sz w:val="8"/>
                <w:szCs w:val="8"/>
                <w:color w:val="auto"/>
              </w:rPr>
            </w:pPr>
          </w:p>
        </w:tc>
        <w:tc>
          <w:tcPr>
            <w:tcW w:w="840" w:type="dxa"/>
            <w:vAlign w:val="bottom"/>
            <w:shd w:val="clear" w:color="auto" w:fill="DDE6F2"/>
          </w:tcPr>
          <w:p>
            <w:pPr>
              <w:spacing w:after="0"/>
              <w:rPr>
                <w:sz w:val="8"/>
                <w:szCs w:val="8"/>
                <w:color w:val="auto"/>
              </w:rPr>
            </w:pPr>
          </w:p>
        </w:tc>
        <w:tc>
          <w:tcPr>
            <w:tcW w:w="2260" w:type="dxa"/>
            <w:vAlign w:val="bottom"/>
            <w:vMerge w:val="restart"/>
            <w:shd w:val="clear" w:color="auto" w:fill="DDE6F2"/>
          </w:tcPr>
          <w:p>
            <w:pPr>
              <w:spacing w:after="0"/>
              <w:rPr>
                <w:sz w:val="20"/>
                <w:szCs w:val="20"/>
                <w:color w:val="auto"/>
              </w:rPr>
            </w:pPr>
            <w:r>
              <w:rPr>
                <w:rFonts w:ascii="Arial" w:cs="Arial" w:eastAsia="Arial" w:hAnsi="Arial"/>
                <w:sz w:val="14"/>
                <w:szCs w:val="14"/>
                <w:color w:val="auto"/>
              </w:rPr>
              <w:t>Retirement Restoration Plan</w:t>
            </w:r>
          </w:p>
        </w:tc>
        <w:tc>
          <w:tcPr>
            <w:tcW w:w="2100" w:type="dxa"/>
            <w:vAlign w:val="bottom"/>
            <w:vMerge w:val="restart"/>
            <w:shd w:val="clear" w:color="auto" w:fill="DDE6F2"/>
          </w:tcPr>
          <w:p>
            <w:pPr>
              <w:jc w:val="center"/>
              <w:spacing w:after="0"/>
              <w:rPr>
                <w:sz w:val="20"/>
                <w:szCs w:val="20"/>
                <w:color w:val="auto"/>
              </w:rPr>
            </w:pPr>
            <w:r>
              <w:rPr>
                <w:rFonts w:ascii="Arial" w:cs="Arial" w:eastAsia="Arial" w:hAnsi="Arial"/>
                <w:sz w:val="14"/>
                <w:szCs w:val="14"/>
                <w:color w:val="auto"/>
              </w:rPr>
              <w:t>29</w:t>
            </w:r>
          </w:p>
        </w:tc>
        <w:tc>
          <w:tcPr>
            <w:tcW w:w="2100" w:type="dxa"/>
            <w:vAlign w:val="bottom"/>
            <w:vMerge w:val="restart"/>
            <w:shd w:val="clear" w:color="auto" w:fill="DDE6F2"/>
          </w:tcPr>
          <w:p>
            <w:pPr>
              <w:jc w:val="right"/>
              <w:ind w:right="268"/>
              <w:spacing w:after="0"/>
              <w:rPr>
                <w:sz w:val="20"/>
                <w:szCs w:val="20"/>
                <w:color w:val="auto"/>
              </w:rPr>
            </w:pPr>
            <w:r>
              <w:rPr>
                <w:rFonts w:ascii="Arial" w:cs="Arial" w:eastAsia="Arial" w:hAnsi="Arial"/>
                <w:sz w:val="14"/>
                <w:szCs w:val="14"/>
                <w:color w:val="auto"/>
              </w:rPr>
              <w:t>3,297,202</w:t>
            </w:r>
          </w:p>
        </w:tc>
        <w:tc>
          <w:tcPr>
            <w:tcW w:w="1900" w:type="dxa"/>
            <w:vAlign w:val="bottom"/>
            <w:tcBorders>
              <w:right w:val="single" w:sz="8" w:color="auto"/>
            </w:tcBorders>
            <w:vMerge w:val="restart"/>
            <w:shd w:val="clear" w:color="auto" w:fill="DDE6F2"/>
          </w:tcPr>
          <w:p>
            <w:pPr>
              <w:jc w:val="right"/>
              <w:ind w:right="3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2240" w:type="dxa"/>
            <w:vAlign w:val="bottom"/>
            <w:tcBorders>
              <w:left w:val="single" w:sz="8" w:color="auto"/>
            </w:tcBorders>
          </w:tcPr>
          <w:p>
            <w:pPr>
              <w:spacing w:after="0"/>
              <w:rPr>
                <w:sz w:val="5"/>
                <w:szCs w:val="5"/>
                <w:color w:val="auto"/>
              </w:rPr>
            </w:pPr>
          </w:p>
        </w:tc>
        <w:tc>
          <w:tcPr>
            <w:tcW w:w="840" w:type="dxa"/>
            <w:vAlign w:val="bottom"/>
            <w:shd w:val="clear" w:color="auto" w:fill="DDE6F2"/>
          </w:tcPr>
          <w:p>
            <w:pPr>
              <w:spacing w:after="0"/>
              <w:rPr>
                <w:sz w:val="5"/>
                <w:szCs w:val="5"/>
                <w:color w:val="auto"/>
              </w:rPr>
            </w:pPr>
          </w:p>
        </w:tc>
        <w:tc>
          <w:tcPr>
            <w:tcW w:w="2260" w:type="dxa"/>
            <w:vAlign w:val="bottom"/>
            <w:vMerge w:val="continue"/>
            <w:shd w:val="clear" w:color="auto" w:fill="DDE6F2"/>
          </w:tcPr>
          <w:p>
            <w:pPr>
              <w:spacing w:after="0"/>
              <w:rPr>
                <w:sz w:val="5"/>
                <w:szCs w:val="5"/>
                <w:color w:val="auto"/>
              </w:rPr>
            </w:pPr>
          </w:p>
        </w:tc>
        <w:tc>
          <w:tcPr>
            <w:tcW w:w="2100" w:type="dxa"/>
            <w:vAlign w:val="bottom"/>
            <w:vMerge w:val="continue"/>
            <w:shd w:val="clear" w:color="auto" w:fill="DDE6F2"/>
          </w:tcPr>
          <w:p>
            <w:pPr>
              <w:spacing w:after="0"/>
              <w:rPr>
                <w:sz w:val="5"/>
                <w:szCs w:val="5"/>
                <w:color w:val="auto"/>
              </w:rPr>
            </w:pPr>
          </w:p>
        </w:tc>
        <w:tc>
          <w:tcPr>
            <w:tcW w:w="2100" w:type="dxa"/>
            <w:vAlign w:val="bottom"/>
            <w:vMerge w:val="continue"/>
            <w:shd w:val="clear" w:color="auto" w:fill="DDE6F2"/>
          </w:tcPr>
          <w:p>
            <w:pPr>
              <w:spacing w:after="0"/>
              <w:rPr>
                <w:sz w:val="5"/>
                <w:szCs w:val="5"/>
                <w:color w:val="auto"/>
              </w:rPr>
            </w:pPr>
          </w:p>
        </w:tc>
        <w:tc>
          <w:tcPr>
            <w:tcW w:w="1900" w:type="dxa"/>
            <w:vAlign w:val="bottom"/>
            <w:tcBorders>
              <w:right w:val="single" w:sz="8" w:color="auto"/>
            </w:tcBorders>
            <w:vMerge w:val="continue"/>
            <w:shd w:val="clear" w:color="auto" w:fill="DDE6F2"/>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24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color w:val="auto"/>
              </w:rPr>
              <w:t>Donald R. Chappel (2)</w:t>
            </w:r>
          </w:p>
        </w:tc>
        <w:tc>
          <w:tcPr>
            <w:tcW w:w="3100" w:type="dxa"/>
            <w:vAlign w:val="bottom"/>
            <w:gridSpan w:val="2"/>
          </w:tcPr>
          <w:p>
            <w:pPr>
              <w:ind w:left="840"/>
              <w:spacing w:after="0"/>
              <w:rPr>
                <w:sz w:val="20"/>
                <w:szCs w:val="20"/>
                <w:color w:val="auto"/>
              </w:rPr>
            </w:pPr>
            <w:r>
              <w:rPr>
                <w:rFonts w:ascii="Arial" w:cs="Arial" w:eastAsia="Arial" w:hAnsi="Arial"/>
                <w:sz w:val="14"/>
                <w:szCs w:val="14"/>
                <w:color w:val="auto"/>
              </w:rPr>
              <w:t>Pension Plan</w:t>
            </w:r>
          </w:p>
        </w:tc>
        <w:tc>
          <w:tcPr>
            <w:tcW w:w="2100" w:type="dxa"/>
            <w:vAlign w:val="bottom"/>
          </w:tcPr>
          <w:p>
            <w:pPr>
              <w:jc w:val="center"/>
              <w:spacing w:after="0"/>
              <w:rPr>
                <w:sz w:val="20"/>
                <w:szCs w:val="20"/>
                <w:color w:val="auto"/>
              </w:rPr>
            </w:pPr>
            <w:r>
              <w:rPr>
                <w:rFonts w:ascii="Arial" w:cs="Arial" w:eastAsia="Arial" w:hAnsi="Arial"/>
                <w:sz w:val="14"/>
                <w:szCs w:val="14"/>
                <w:color w:val="auto"/>
              </w:rPr>
              <w:t>12</w:t>
            </w:r>
          </w:p>
        </w:tc>
        <w:tc>
          <w:tcPr>
            <w:tcW w:w="2100" w:type="dxa"/>
            <w:vAlign w:val="bottom"/>
          </w:tcPr>
          <w:p>
            <w:pPr>
              <w:jc w:val="right"/>
              <w:ind w:right="268"/>
              <w:spacing w:after="0"/>
              <w:rPr>
                <w:sz w:val="20"/>
                <w:szCs w:val="20"/>
                <w:color w:val="auto"/>
              </w:rPr>
            </w:pPr>
            <w:r>
              <w:rPr>
                <w:rFonts w:ascii="Arial" w:cs="Arial" w:eastAsia="Arial" w:hAnsi="Arial"/>
                <w:sz w:val="14"/>
                <w:szCs w:val="14"/>
                <w:color w:val="auto"/>
              </w:rPr>
              <w:t>487,151</w:t>
            </w:r>
          </w:p>
        </w:tc>
        <w:tc>
          <w:tcPr>
            <w:tcW w:w="1900" w:type="dxa"/>
            <w:vAlign w:val="bottom"/>
            <w:tcBorders>
              <w:right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1"/>
        </w:trPr>
        <w:tc>
          <w:tcPr>
            <w:tcW w:w="2240" w:type="dxa"/>
            <w:vAlign w:val="bottom"/>
            <w:tcBorders>
              <w:left w:val="single" w:sz="8" w:color="auto"/>
            </w:tcBorders>
            <w:vMerge w:val="continue"/>
          </w:tcPr>
          <w:p>
            <w:pPr>
              <w:spacing w:after="0"/>
              <w:rPr>
                <w:sz w:val="7"/>
                <w:szCs w:val="7"/>
                <w:color w:val="auto"/>
              </w:rPr>
            </w:pPr>
          </w:p>
        </w:tc>
        <w:tc>
          <w:tcPr>
            <w:tcW w:w="3100" w:type="dxa"/>
            <w:vAlign w:val="bottom"/>
            <w:gridSpan w:val="2"/>
            <w:vMerge w:val="restart"/>
          </w:tcPr>
          <w:p>
            <w:pPr>
              <w:ind w:left="840"/>
              <w:spacing w:after="0" w:line="157" w:lineRule="exact"/>
              <w:rPr>
                <w:sz w:val="20"/>
                <w:szCs w:val="20"/>
                <w:color w:val="auto"/>
              </w:rPr>
            </w:pPr>
            <w:r>
              <w:rPr>
                <w:rFonts w:ascii="Arial" w:cs="Arial" w:eastAsia="Arial" w:hAnsi="Arial"/>
                <w:sz w:val="14"/>
                <w:szCs w:val="14"/>
                <w:color w:val="auto"/>
              </w:rPr>
              <w:t>Retirement Restoration Plan</w:t>
            </w:r>
          </w:p>
        </w:tc>
        <w:tc>
          <w:tcPr>
            <w:tcW w:w="2100" w:type="dxa"/>
            <w:vAlign w:val="bottom"/>
            <w:vMerge w:val="restart"/>
          </w:tcPr>
          <w:p>
            <w:pPr>
              <w:jc w:val="center"/>
              <w:spacing w:after="0" w:line="157" w:lineRule="exact"/>
              <w:rPr>
                <w:sz w:val="20"/>
                <w:szCs w:val="20"/>
                <w:color w:val="auto"/>
              </w:rPr>
            </w:pPr>
            <w:r>
              <w:rPr>
                <w:rFonts w:ascii="Arial" w:cs="Arial" w:eastAsia="Arial" w:hAnsi="Arial"/>
                <w:sz w:val="14"/>
                <w:szCs w:val="14"/>
                <w:color w:val="auto"/>
              </w:rPr>
              <w:t>12</w:t>
            </w:r>
          </w:p>
        </w:tc>
        <w:tc>
          <w:tcPr>
            <w:tcW w:w="2100" w:type="dxa"/>
            <w:vAlign w:val="bottom"/>
            <w:vMerge w:val="restart"/>
          </w:tcPr>
          <w:p>
            <w:pPr>
              <w:jc w:val="right"/>
              <w:ind w:right="268"/>
              <w:spacing w:after="0" w:line="157" w:lineRule="exact"/>
              <w:rPr>
                <w:sz w:val="20"/>
                <w:szCs w:val="20"/>
                <w:color w:val="auto"/>
              </w:rPr>
            </w:pPr>
            <w:r>
              <w:rPr>
                <w:rFonts w:ascii="Arial" w:cs="Arial" w:eastAsia="Arial" w:hAnsi="Arial"/>
                <w:sz w:val="14"/>
                <w:szCs w:val="14"/>
                <w:color w:val="auto"/>
              </w:rPr>
              <w:t>2,561,613</w:t>
            </w:r>
          </w:p>
        </w:tc>
        <w:tc>
          <w:tcPr>
            <w:tcW w:w="1900" w:type="dxa"/>
            <w:vAlign w:val="bottom"/>
            <w:tcBorders>
              <w:right w:val="single" w:sz="8" w:color="auto"/>
            </w:tcBorders>
            <w:vMerge w:val="restart"/>
          </w:tcPr>
          <w:p>
            <w:pPr>
              <w:jc w:val="right"/>
              <w:ind w:right="32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2240" w:type="dxa"/>
            <w:vAlign w:val="bottom"/>
            <w:tcBorders>
              <w:left w:val="single" w:sz="8" w:color="auto"/>
            </w:tcBorders>
          </w:tcPr>
          <w:p>
            <w:pPr>
              <w:spacing w:after="0"/>
              <w:rPr>
                <w:sz w:val="5"/>
                <w:szCs w:val="5"/>
                <w:color w:val="auto"/>
              </w:rPr>
            </w:pPr>
          </w:p>
        </w:tc>
        <w:tc>
          <w:tcPr>
            <w:tcW w:w="3100" w:type="dxa"/>
            <w:vAlign w:val="bottom"/>
            <w:gridSpan w:val="2"/>
            <w:vMerge w:val="continue"/>
          </w:tcPr>
          <w:p>
            <w:pPr>
              <w:spacing w:after="0"/>
              <w:rPr>
                <w:sz w:val="5"/>
                <w:szCs w:val="5"/>
                <w:color w:val="auto"/>
              </w:rPr>
            </w:pPr>
          </w:p>
        </w:tc>
        <w:tc>
          <w:tcPr>
            <w:tcW w:w="2100" w:type="dxa"/>
            <w:vAlign w:val="bottom"/>
            <w:vMerge w:val="continue"/>
          </w:tcPr>
          <w:p>
            <w:pPr>
              <w:spacing w:after="0"/>
              <w:rPr>
                <w:sz w:val="5"/>
                <w:szCs w:val="5"/>
                <w:color w:val="auto"/>
              </w:rPr>
            </w:pPr>
          </w:p>
        </w:tc>
        <w:tc>
          <w:tcPr>
            <w:tcW w:w="2100" w:type="dxa"/>
            <w:vAlign w:val="bottom"/>
            <w:vMerge w:val="continue"/>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4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color w:val="auto"/>
              </w:rPr>
              <w:t>Rory L. Miller</w:t>
            </w:r>
          </w:p>
        </w:tc>
        <w:tc>
          <w:tcPr>
            <w:tcW w:w="840" w:type="dxa"/>
            <w:vAlign w:val="bottom"/>
            <w:shd w:val="clear" w:color="auto" w:fill="DDE6F2"/>
          </w:tcPr>
          <w:p>
            <w:pPr>
              <w:spacing w:after="0"/>
              <w:rPr>
                <w:sz w:val="14"/>
                <w:szCs w:val="14"/>
                <w:color w:val="auto"/>
              </w:rPr>
            </w:pPr>
          </w:p>
        </w:tc>
        <w:tc>
          <w:tcPr>
            <w:tcW w:w="2260" w:type="dxa"/>
            <w:vAlign w:val="bottom"/>
            <w:shd w:val="clear" w:color="auto" w:fill="DDE6F2"/>
          </w:tcPr>
          <w:p>
            <w:pPr>
              <w:spacing w:after="0"/>
              <w:rPr>
                <w:sz w:val="20"/>
                <w:szCs w:val="20"/>
                <w:color w:val="auto"/>
              </w:rPr>
            </w:pPr>
            <w:r>
              <w:rPr>
                <w:rFonts w:ascii="Arial" w:cs="Arial" w:eastAsia="Arial" w:hAnsi="Arial"/>
                <w:sz w:val="14"/>
                <w:szCs w:val="14"/>
                <w:color w:val="auto"/>
              </w:rPr>
              <w:t>Pension Plan</w:t>
            </w:r>
          </w:p>
        </w:tc>
        <w:tc>
          <w:tcPr>
            <w:tcW w:w="2100" w:type="dxa"/>
            <w:vAlign w:val="bottom"/>
            <w:shd w:val="clear" w:color="auto" w:fill="DDE6F2"/>
          </w:tcPr>
          <w:p>
            <w:pPr>
              <w:jc w:val="center"/>
              <w:spacing w:after="0"/>
              <w:rPr>
                <w:sz w:val="20"/>
                <w:szCs w:val="20"/>
                <w:color w:val="auto"/>
              </w:rPr>
            </w:pPr>
            <w:r>
              <w:rPr>
                <w:rFonts w:ascii="Arial" w:cs="Arial" w:eastAsia="Arial" w:hAnsi="Arial"/>
                <w:sz w:val="14"/>
                <w:szCs w:val="14"/>
                <w:color w:val="auto"/>
              </w:rPr>
              <w:t>25</w:t>
            </w:r>
          </w:p>
        </w:tc>
        <w:tc>
          <w:tcPr>
            <w:tcW w:w="2100" w:type="dxa"/>
            <w:vAlign w:val="bottom"/>
            <w:shd w:val="clear" w:color="auto" w:fill="DDE6F2"/>
          </w:tcPr>
          <w:p>
            <w:pPr>
              <w:jc w:val="right"/>
              <w:ind w:right="268"/>
              <w:spacing w:after="0"/>
              <w:rPr>
                <w:sz w:val="20"/>
                <w:szCs w:val="20"/>
                <w:color w:val="auto"/>
              </w:rPr>
            </w:pPr>
            <w:r>
              <w:rPr>
                <w:rFonts w:ascii="Arial" w:cs="Arial" w:eastAsia="Arial" w:hAnsi="Arial"/>
                <w:sz w:val="14"/>
                <w:szCs w:val="14"/>
                <w:color w:val="auto"/>
              </w:rPr>
              <w:t>797,518</w:t>
            </w:r>
          </w:p>
        </w:tc>
        <w:tc>
          <w:tcPr>
            <w:tcW w:w="1900" w:type="dxa"/>
            <w:vAlign w:val="bottom"/>
            <w:tcBorders>
              <w:right w:val="single" w:sz="8" w:color="auto"/>
            </w:tcBorders>
            <w:shd w:val="clear" w:color="auto" w:fill="DDE6F2"/>
          </w:tcPr>
          <w:p>
            <w:pPr>
              <w:jc w:val="right"/>
              <w:ind w:right="3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2240" w:type="dxa"/>
            <w:vAlign w:val="bottom"/>
            <w:tcBorders>
              <w:left w:val="single" w:sz="8" w:color="auto"/>
            </w:tcBorders>
            <w:vMerge w:val="continue"/>
          </w:tcPr>
          <w:p>
            <w:pPr>
              <w:spacing w:after="0"/>
              <w:rPr>
                <w:sz w:val="8"/>
                <w:szCs w:val="8"/>
                <w:color w:val="auto"/>
              </w:rPr>
            </w:pPr>
          </w:p>
        </w:tc>
        <w:tc>
          <w:tcPr>
            <w:tcW w:w="840" w:type="dxa"/>
            <w:vAlign w:val="bottom"/>
            <w:shd w:val="clear" w:color="auto" w:fill="DDE6F2"/>
          </w:tcPr>
          <w:p>
            <w:pPr>
              <w:spacing w:after="0"/>
              <w:rPr>
                <w:sz w:val="8"/>
                <w:szCs w:val="8"/>
                <w:color w:val="auto"/>
              </w:rPr>
            </w:pPr>
          </w:p>
        </w:tc>
        <w:tc>
          <w:tcPr>
            <w:tcW w:w="2260" w:type="dxa"/>
            <w:vAlign w:val="bottom"/>
            <w:vMerge w:val="restart"/>
            <w:shd w:val="clear" w:color="auto" w:fill="DDE6F2"/>
          </w:tcPr>
          <w:p>
            <w:pPr>
              <w:spacing w:after="0"/>
              <w:rPr>
                <w:sz w:val="20"/>
                <w:szCs w:val="20"/>
                <w:color w:val="auto"/>
              </w:rPr>
            </w:pPr>
            <w:r>
              <w:rPr>
                <w:rFonts w:ascii="Arial" w:cs="Arial" w:eastAsia="Arial" w:hAnsi="Arial"/>
                <w:sz w:val="14"/>
                <w:szCs w:val="14"/>
                <w:color w:val="auto"/>
              </w:rPr>
              <w:t>Retirement Restoration Plan</w:t>
            </w:r>
          </w:p>
        </w:tc>
        <w:tc>
          <w:tcPr>
            <w:tcW w:w="2100" w:type="dxa"/>
            <w:vAlign w:val="bottom"/>
            <w:vMerge w:val="restart"/>
            <w:shd w:val="clear" w:color="auto" w:fill="DDE6F2"/>
          </w:tcPr>
          <w:p>
            <w:pPr>
              <w:jc w:val="center"/>
              <w:spacing w:after="0"/>
              <w:rPr>
                <w:sz w:val="20"/>
                <w:szCs w:val="20"/>
                <w:color w:val="auto"/>
              </w:rPr>
            </w:pPr>
            <w:r>
              <w:rPr>
                <w:rFonts w:ascii="Arial" w:cs="Arial" w:eastAsia="Arial" w:hAnsi="Arial"/>
                <w:sz w:val="14"/>
                <w:szCs w:val="14"/>
                <w:color w:val="auto"/>
              </w:rPr>
              <w:t>25</w:t>
            </w:r>
          </w:p>
        </w:tc>
        <w:tc>
          <w:tcPr>
            <w:tcW w:w="2100" w:type="dxa"/>
            <w:vAlign w:val="bottom"/>
            <w:vMerge w:val="restart"/>
            <w:shd w:val="clear" w:color="auto" w:fill="DDE6F2"/>
          </w:tcPr>
          <w:p>
            <w:pPr>
              <w:jc w:val="right"/>
              <w:ind w:right="268"/>
              <w:spacing w:after="0"/>
              <w:rPr>
                <w:sz w:val="20"/>
                <w:szCs w:val="20"/>
                <w:color w:val="auto"/>
              </w:rPr>
            </w:pPr>
            <w:r>
              <w:rPr>
                <w:rFonts w:ascii="Arial" w:cs="Arial" w:eastAsia="Arial" w:hAnsi="Arial"/>
                <w:sz w:val="14"/>
                <w:szCs w:val="14"/>
                <w:color w:val="auto"/>
              </w:rPr>
              <w:t>734,486</w:t>
            </w:r>
          </w:p>
        </w:tc>
        <w:tc>
          <w:tcPr>
            <w:tcW w:w="1900" w:type="dxa"/>
            <w:vAlign w:val="bottom"/>
            <w:tcBorders>
              <w:right w:val="single" w:sz="8" w:color="auto"/>
            </w:tcBorders>
            <w:vMerge w:val="restart"/>
            <w:shd w:val="clear" w:color="auto" w:fill="DDE6F2"/>
          </w:tcPr>
          <w:p>
            <w:pPr>
              <w:jc w:val="right"/>
              <w:ind w:right="3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2240" w:type="dxa"/>
            <w:vAlign w:val="bottom"/>
            <w:tcBorders>
              <w:left w:val="single" w:sz="8" w:color="auto"/>
            </w:tcBorders>
          </w:tcPr>
          <w:p>
            <w:pPr>
              <w:spacing w:after="0"/>
              <w:rPr>
                <w:sz w:val="5"/>
                <w:szCs w:val="5"/>
                <w:color w:val="auto"/>
              </w:rPr>
            </w:pPr>
          </w:p>
        </w:tc>
        <w:tc>
          <w:tcPr>
            <w:tcW w:w="840" w:type="dxa"/>
            <w:vAlign w:val="bottom"/>
            <w:shd w:val="clear" w:color="auto" w:fill="DDE6F2"/>
          </w:tcPr>
          <w:p>
            <w:pPr>
              <w:spacing w:after="0"/>
              <w:rPr>
                <w:sz w:val="5"/>
                <w:szCs w:val="5"/>
                <w:color w:val="auto"/>
              </w:rPr>
            </w:pPr>
          </w:p>
        </w:tc>
        <w:tc>
          <w:tcPr>
            <w:tcW w:w="2260" w:type="dxa"/>
            <w:vAlign w:val="bottom"/>
            <w:vMerge w:val="continue"/>
            <w:shd w:val="clear" w:color="auto" w:fill="DDE6F2"/>
          </w:tcPr>
          <w:p>
            <w:pPr>
              <w:spacing w:after="0"/>
              <w:rPr>
                <w:sz w:val="5"/>
                <w:szCs w:val="5"/>
                <w:color w:val="auto"/>
              </w:rPr>
            </w:pPr>
          </w:p>
        </w:tc>
        <w:tc>
          <w:tcPr>
            <w:tcW w:w="2100" w:type="dxa"/>
            <w:vAlign w:val="bottom"/>
            <w:vMerge w:val="continue"/>
            <w:shd w:val="clear" w:color="auto" w:fill="DDE6F2"/>
          </w:tcPr>
          <w:p>
            <w:pPr>
              <w:spacing w:after="0"/>
              <w:rPr>
                <w:sz w:val="5"/>
                <w:szCs w:val="5"/>
                <w:color w:val="auto"/>
              </w:rPr>
            </w:pPr>
          </w:p>
        </w:tc>
        <w:tc>
          <w:tcPr>
            <w:tcW w:w="2100" w:type="dxa"/>
            <w:vAlign w:val="bottom"/>
            <w:vMerge w:val="continue"/>
            <w:shd w:val="clear" w:color="auto" w:fill="DDE6F2"/>
          </w:tcPr>
          <w:p>
            <w:pPr>
              <w:spacing w:after="0"/>
              <w:rPr>
                <w:sz w:val="5"/>
                <w:szCs w:val="5"/>
                <w:color w:val="auto"/>
              </w:rPr>
            </w:pPr>
          </w:p>
        </w:tc>
        <w:tc>
          <w:tcPr>
            <w:tcW w:w="1900" w:type="dxa"/>
            <w:vAlign w:val="bottom"/>
            <w:tcBorders>
              <w:right w:val="single" w:sz="8" w:color="auto"/>
            </w:tcBorders>
            <w:vMerge w:val="continue"/>
            <w:shd w:val="clear" w:color="auto" w:fill="DDE6F2"/>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24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color w:val="auto"/>
              </w:rPr>
              <w:t>John R. Dearborn (3)</w:t>
            </w:r>
          </w:p>
        </w:tc>
        <w:tc>
          <w:tcPr>
            <w:tcW w:w="3100" w:type="dxa"/>
            <w:vAlign w:val="bottom"/>
            <w:gridSpan w:val="2"/>
          </w:tcPr>
          <w:p>
            <w:pPr>
              <w:ind w:left="840"/>
              <w:spacing w:after="0"/>
              <w:rPr>
                <w:sz w:val="20"/>
                <w:szCs w:val="20"/>
                <w:color w:val="auto"/>
              </w:rPr>
            </w:pPr>
            <w:r>
              <w:rPr>
                <w:rFonts w:ascii="Arial" w:cs="Arial" w:eastAsia="Arial" w:hAnsi="Arial"/>
                <w:sz w:val="14"/>
                <w:szCs w:val="14"/>
                <w:color w:val="auto"/>
              </w:rPr>
              <w:t>Pension Plan</w:t>
            </w:r>
          </w:p>
        </w:tc>
        <w:tc>
          <w:tcPr>
            <w:tcW w:w="2100" w:type="dxa"/>
            <w:vAlign w:val="bottom"/>
          </w:tcPr>
          <w:p>
            <w:pPr>
              <w:jc w:val="center"/>
              <w:spacing w:after="0"/>
              <w:rPr>
                <w:sz w:val="20"/>
                <w:szCs w:val="20"/>
                <w:color w:val="auto"/>
              </w:rPr>
            </w:pPr>
            <w:r>
              <w:rPr>
                <w:rFonts w:ascii="Arial" w:cs="Arial" w:eastAsia="Arial" w:hAnsi="Arial"/>
                <w:sz w:val="14"/>
                <w:szCs w:val="14"/>
                <w:color w:val="auto"/>
              </w:rPr>
              <w:t>1</w:t>
            </w:r>
          </w:p>
        </w:tc>
        <w:tc>
          <w:tcPr>
            <w:tcW w:w="2100" w:type="dxa"/>
            <w:vAlign w:val="bottom"/>
          </w:tcPr>
          <w:p>
            <w:pPr>
              <w:jc w:val="right"/>
              <w:ind w:right="268"/>
              <w:spacing w:after="0"/>
              <w:rPr>
                <w:sz w:val="20"/>
                <w:szCs w:val="20"/>
                <w:color w:val="auto"/>
              </w:rPr>
            </w:pPr>
            <w:r>
              <w:rPr>
                <w:rFonts w:ascii="Arial" w:cs="Arial" w:eastAsia="Arial" w:hAnsi="Arial"/>
                <w:sz w:val="14"/>
                <w:szCs w:val="14"/>
                <w:color w:val="auto"/>
              </w:rPr>
              <w:t>76,749</w:t>
            </w:r>
          </w:p>
        </w:tc>
        <w:tc>
          <w:tcPr>
            <w:tcW w:w="1900" w:type="dxa"/>
            <w:vAlign w:val="bottom"/>
            <w:tcBorders>
              <w:right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1"/>
        </w:trPr>
        <w:tc>
          <w:tcPr>
            <w:tcW w:w="2240" w:type="dxa"/>
            <w:vAlign w:val="bottom"/>
            <w:tcBorders>
              <w:left w:val="single" w:sz="8" w:color="auto"/>
            </w:tcBorders>
            <w:vMerge w:val="continue"/>
          </w:tcPr>
          <w:p>
            <w:pPr>
              <w:spacing w:after="0"/>
              <w:rPr>
                <w:sz w:val="7"/>
                <w:szCs w:val="7"/>
                <w:color w:val="auto"/>
              </w:rPr>
            </w:pPr>
          </w:p>
        </w:tc>
        <w:tc>
          <w:tcPr>
            <w:tcW w:w="3100" w:type="dxa"/>
            <w:vAlign w:val="bottom"/>
            <w:gridSpan w:val="2"/>
            <w:vMerge w:val="restart"/>
          </w:tcPr>
          <w:p>
            <w:pPr>
              <w:ind w:left="840"/>
              <w:spacing w:after="0" w:line="157" w:lineRule="exact"/>
              <w:rPr>
                <w:sz w:val="20"/>
                <w:szCs w:val="20"/>
                <w:color w:val="auto"/>
              </w:rPr>
            </w:pPr>
            <w:r>
              <w:rPr>
                <w:rFonts w:ascii="Arial" w:cs="Arial" w:eastAsia="Arial" w:hAnsi="Arial"/>
                <w:sz w:val="14"/>
                <w:szCs w:val="14"/>
                <w:color w:val="auto"/>
              </w:rPr>
              <w:t>Retirement Restoration Plan</w:t>
            </w:r>
          </w:p>
        </w:tc>
        <w:tc>
          <w:tcPr>
            <w:tcW w:w="2100" w:type="dxa"/>
            <w:vAlign w:val="bottom"/>
            <w:vMerge w:val="restart"/>
          </w:tcPr>
          <w:p>
            <w:pPr>
              <w:jc w:val="center"/>
              <w:spacing w:after="0" w:line="157" w:lineRule="exact"/>
              <w:rPr>
                <w:sz w:val="20"/>
                <w:szCs w:val="20"/>
                <w:color w:val="auto"/>
              </w:rPr>
            </w:pPr>
            <w:r>
              <w:rPr>
                <w:rFonts w:ascii="Arial" w:cs="Arial" w:eastAsia="Arial" w:hAnsi="Arial"/>
                <w:sz w:val="14"/>
                <w:szCs w:val="14"/>
                <w:color w:val="auto"/>
              </w:rPr>
              <w:t>1</w:t>
            </w:r>
          </w:p>
        </w:tc>
        <w:tc>
          <w:tcPr>
            <w:tcW w:w="2100" w:type="dxa"/>
            <w:vAlign w:val="bottom"/>
            <w:vMerge w:val="restart"/>
          </w:tcPr>
          <w:p>
            <w:pPr>
              <w:jc w:val="right"/>
              <w:ind w:right="268"/>
              <w:spacing w:after="0" w:line="157" w:lineRule="exact"/>
              <w:rPr>
                <w:sz w:val="20"/>
                <w:szCs w:val="20"/>
                <w:color w:val="auto"/>
              </w:rPr>
            </w:pPr>
            <w:r>
              <w:rPr>
                <w:rFonts w:ascii="Arial" w:cs="Arial" w:eastAsia="Arial" w:hAnsi="Arial"/>
                <w:sz w:val="14"/>
                <w:szCs w:val="14"/>
                <w:color w:val="auto"/>
              </w:rPr>
              <w:t>104,903</w:t>
            </w:r>
          </w:p>
        </w:tc>
        <w:tc>
          <w:tcPr>
            <w:tcW w:w="1900" w:type="dxa"/>
            <w:vAlign w:val="bottom"/>
            <w:tcBorders>
              <w:right w:val="single" w:sz="8" w:color="auto"/>
            </w:tcBorders>
            <w:vMerge w:val="restart"/>
          </w:tcPr>
          <w:p>
            <w:pPr>
              <w:jc w:val="right"/>
              <w:ind w:right="32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2240" w:type="dxa"/>
            <w:vAlign w:val="bottom"/>
            <w:tcBorders>
              <w:left w:val="single" w:sz="8" w:color="auto"/>
            </w:tcBorders>
          </w:tcPr>
          <w:p>
            <w:pPr>
              <w:spacing w:after="0"/>
              <w:rPr>
                <w:sz w:val="5"/>
                <w:szCs w:val="5"/>
                <w:color w:val="auto"/>
              </w:rPr>
            </w:pPr>
          </w:p>
        </w:tc>
        <w:tc>
          <w:tcPr>
            <w:tcW w:w="3100" w:type="dxa"/>
            <w:vAlign w:val="bottom"/>
            <w:gridSpan w:val="2"/>
            <w:vMerge w:val="continue"/>
          </w:tcPr>
          <w:p>
            <w:pPr>
              <w:spacing w:after="0"/>
              <w:rPr>
                <w:sz w:val="5"/>
                <w:szCs w:val="5"/>
                <w:color w:val="auto"/>
              </w:rPr>
            </w:pPr>
          </w:p>
        </w:tc>
        <w:tc>
          <w:tcPr>
            <w:tcW w:w="2100" w:type="dxa"/>
            <w:vAlign w:val="bottom"/>
            <w:vMerge w:val="continue"/>
          </w:tcPr>
          <w:p>
            <w:pPr>
              <w:spacing w:after="0"/>
              <w:rPr>
                <w:sz w:val="5"/>
                <w:szCs w:val="5"/>
                <w:color w:val="auto"/>
              </w:rPr>
            </w:pPr>
          </w:p>
        </w:tc>
        <w:tc>
          <w:tcPr>
            <w:tcW w:w="2100" w:type="dxa"/>
            <w:vAlign w:val="bottom"/>
            <w:vMerge w:val="continue"/>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4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color w:val="auto"/>
              </w:rPr>
              <w:t>James E. Scheel</w:t>
            </w:r>
          </w:p>
        </w:tc>
        <w:tc>
          <w:tcPr>
            <w:tcW w:w="840" w:type="dxa"/>
            <w:vAlign w:val="bottom"/>
            <w:shd w:val="clear" w:color="auto" w:fill="DDE6F2"/>
          </w:tcPr>
          <w:p>
            <w:pPr>
              <w:spacing w:after="0"/>
              <w:rPr>
                <w:sz w:val="14"/>
                <w:szCs w:val="14"/>
                <w:color w:val="auto"/>
              </w:rPr>
            </w:pPr>
          </w:p>
        </w:tc>
        <w:tc>
          <w:tcPr>
            <w:tcW w:w="2260" w:type="dxa"/>
            <w:vAlign w:val="bottom"/>
            <w:shd w:val="clear" w:color="auto" w:fill="DDE6F2"/>
          </w:tcPr>
          <w:p>
            <w:pPr>
              <w:spacing w:after="0"/>
              <w:rPr>
                <w:sz w:val="20"/>
                <w:szCs w:val="20"/>
                <w:color w:val="auto"/>
              </w:rPr>
            </w:pPr>
            <w:r>
              <w:rPr>
                <w:rFonts w:ascii="Arial" w:cs="Arial" w:eastAsia="Arial" w:hAnsi="Arial"/>
                <w:sz w:val="14"/>
                <w:szCs w:val="14"/>
                <w:color w:val="auto"/>
              </w:rPr>
              <w:t>Pension Plan</w:t>
            </w:r>
          </w:p>
        </w:tc>
        <w:tc>
          <w:tcPr>
            <w:tcW w:w="2100" w:type="dxa"/>
            <w:vAlign w:val="bottom"/>
            <w:shd w:val="clear" w:color="auto" w:fill="DDE6F2"/>
          </w:tcPr>
          <w:p>
            <w:pPr>
              <w:jc w:val="center"/>
              <w:spacing w:after="0"/>
              <w:rPr>
                <w:sz w:val="20"/>
                <w:szCs w:val="20"/>
                <w:color w:val="auto"/>
              </w:rPr>
            </w:pPr>
            <w:r>
              <w:rPr>
                <w:rFonts w:ascii="Arial" w:cs="Arial" w:eastAsia="Arial" w:hAnsi="Arial"/>
                <w:sz w:val="14"/>
                <w:szCs w:val="14"/>
                <w:color w:val="auto"/>
              </w:rPr>
              <w:t>26</w:t>
            </w:r>
          </w:p>
        </w:tc>
        <w:tc>
          <w:tcPr>
            <w:tcW w:w="2100" w:type="dxa"/>
            <w:vAlign w:val="bottom"/>
            <w:shd w:val="clear" w:color="auto" w:fill="DDE6F2"/>
          </w:tcPr>
          <w:p>
            <w:pPr>
              <w:jc w:val="right"/>
              <w:ind w:right="268"/>
              <w:spacing w:after="0"/>
              <w:rPr>
                <w:sz w:val="20"/>
                <w:szCs w:val="20"/>
                <w:color w:val="auto"/>
              </w:rPr>
            </w:pPr>
            <w:r>
              <w:rPr>
                <w:rFonts w:ascii="Arial" w:cs="Arial" w:eastAsia="Arial" w:hAnsi="Arial"/>
                <w:sz w:val="14"/>
                <w:szCs w:val="14"/>
                <w:color w:val="auto"/>
              </w:rPr>
              <w:t>705,325</w:t>
            </w:r>
          </w:p>
        </w:tc>
        <w:tc>
          <w:tcPr>
            <w:tcW w:w="1900" w:type="dxa"/>
            <w:vAlign w:val="bottom"/>
            <w:tcBorders>
              <w:right w:val="single" w:sz="8" w:color="auto"/>
            </w:tcBorders>
            <w:shd w:val="clear" w:color="auto" w:fill="DDE6F2"/>
          </w:tcPr>
          <w:p>
            <w:pPr>
              <w:jc w:val="right"/>
              <w:ind w:right="3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2240" w:type="dxa"/>
            <w:vAlign w:val="bottom"/>
            <w:tcBorders>
              <w:left w:val="single" w:sz="8" w:color="auto"/>
            </w:tcBorders>
            <w:vMerge w:val="continue"/>
          </w:tcPr>
          <w:p>
            <w:pPr>
              <w:spacing w:after="0"/>
              <w:rPr>
                <w:sz w:val="8"/>
                <w:szCs w:val="8"/>
                <w:color w:val="auto"/>
              </w:rPr>
            </w:pPr>
          </w:p>
        </w:tc>
        <w:tc>
          <w:tcPr>
            <w:tcW w:w="840" w:type="dxa"/>
            <w:vAlign w:val="bottom"/>
            <w:shd w:val="clear" w:color="auto" w:fill="DDE6F2"/>
          </w:tcPr>
          <w:p>
            <w:pPr>
              <w:spacing w:after="0"/>
              <w:rPr>
                <w:sz w:val="8"/>
                <w:szCs w:val="8"/>
                <w:color w:val="auto"/>
              </w:rPr>
            </w:pPr>
          </w:p>
        </w:tc>
        <w:tc>
          <w:tcPr>
            <w:tcW w:w="2260" w:type="dxa"/>
            <w:vAlign w:val="bottom"/>
            <w:vMerge w:val="restart"/>
            <w:shd w:val="clear" w:color="auto" w:fill="DDE6F2"/>
          </w:tcPr>
          <w:p>
            <w:pPr>
              <w:spacing w:after="0"/>
              <w:rPr>
                <w:sz w:val="20"/>
                <w:szCs w:val="20"/>
                <w:color w:val="auto"/>
              </w:rPr>
            </w:pPr>
            <w:r>
              <w:rPr>
                <w:rFonts w:ascii="Arial" w:cs="Arial" w:eastAsia="Arial" w:hAnsi="Arial"/>
                <w:sz w:val="14"/>
                <w:szCs w:val="14"/>
                <w:color w:val="auto"/>
              </w:rPr>
              <w:t>Retirement Restoration Plan</w:t>
            </w:r>
          </w:p>
        </w:tc>
        <w:tc>
          <w:tcPr>
            <w:tcW w:w="2100" w:type="dxa"/>
            <w:vAlign w:val="bottom"/>
            <w:vMerge w:val="restart"/>
            <w:shd w:val="clear" w:color="auto" w:fill="DDE6F2"/>
          </w:tcPr>
          <w:p>
            <w:pPr>
              <w:jc w:val="center"/>
              <w:spacing w:after="0"/>
              <w:rPr>
                <w:sz w:val="20"/>
                <w:szCs w:val="20"/>
                <w:color w:val="auto"/>
              </w:rPr>
            </w:pPr>
            <w:r>
              <w:rPr>
                <w:rFonts w:ascii="Arial" w:cs="Arial" w:eastAsia="Arial" w:hAnsi="Arial"/>
                <w:sz w:val="14"/>
                <w:szCs w:val="14"/>
                <w:color w:val="auto"/>
              </w:rPr>
              <w:t>26</w:t>
            </w:r>
          </w:p>
        </w:tc>
        <w:tc>
          <w:tcPr>
            <w:tcW w:w="2100" w:type="dxa"/>
            <w:vAlign w:val="bottom"/>
            <w:vMerge w:val="restart"/>
            <w:shd w:val="clear" w:color="auto" w:fill="DDE6F2"/>
          </w:tcPr>
          <w:p>
            <w:pPr>
              <w:jc w:val="right"/>
              <w:ind w:right="268"/>
              <w:spacing w:after="0"/>
              <w:rPr>
                <w:sz w:val="20"/>
                <w:szCs w:val="20"/>
                <w:color w:val="auto"/>
              </w:rPr>
            </w:pPr>
            <w:r>
              <w:rPr>
                <w:rFonts w:ascii="Arial" w:cs="Arial" w:eastAsia="Arial" w:hAnsi="Arial"/>
                <w:sz w:val="14"/>
                <w:szCs w:val="14"/>
                <w:color w:val="auto"/>
              </w:rPr>
              <w:t>236,790</w:t>
            </w:r>
          </w:p>
        </w:tc>
        <w:tc>
          <w:tcPr>
            <w:tcW w:w="1900" w:type="dxa"/>
            <w:vAlign w:val="bottom"/>
            <w:tcBorders>
              <w:right w:val="single" w:sz="8" w:color="auto"/>
            </w:tcBorders>
            <w:vMerge w:val="restart"/>
            <w:shd w:val="clear" w:color="auto" w:fill="DDE6F2"/>
          </w:tcPr>
          <w:p>
            <w:pPr>
              <w:jc w:val="right"/>
              <w:ind w:right="3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2240" w:type="dxa"/>
            <w:vAlign w:val="bottom"/>
            <w:tcBorders>
              <w:left w:val="single" w:sz="8" w:color="auto"/>
              <w:bottom w:val="single" w:sz="8" w:color="auto"/>
            </w:tcBorders>
          </w:tcPr>
          <w:p>
            <w:pPr>
              <w:spacing w:after="0"/>
              <w:rPr>
                <w:sz w:val="5"/>
                <w:szCs w:val="5"/>
                <w:color w:val="auto"/>
              </w:rPr>
            </w:pPr>
          </w:p>
        </w:tc>
        <w:tc>
          <w:tcPr>
            <w:tcW w:w="840" w:type="dxa"/>
            <w:vAlign w:val="bottom"/>
            <w:tcBorders>
              <w:bottom w:val="single" w:sz="8" w:color="auto"/>
            </w:tcBorders>
            <w:shd w:val="clear" w:color="auto" w:fill="DDE6F2"/>
          </w:tcPr>
          <w:p>
            <w:pPr>
              <w:spacing w:after="0"/>
              <w:rPr>
                <w:sz w:val="5"/>
                <w:szCs w:val="5"/>
                <w:color w:val="auto"/>
              </w:rPr>
            </w:pPr>
          </w:p>
        </w:tc>
        <w:tc>
          <w:tcPr>
            <w:tcW w:w="2260" w:type="dxa"/>
            <w:vAlign w:val="bottom"/>
            <w:tcBorders>
              <w:bottom w:val="single" w:sz="8" w:color="auto"/>
            </w:tcBorders>
            <w:vMerge w:val="continue"/>
            <w:shd w:val="clear" w:color="auto" w:fill="DDE6F2"/>
          </w:tcPr>
          <w:p>
            <w:pPr>
              <w:spacing w:after="0"/>
              <w:rPr>
                <w:sz w:val="5"/>
                <w:szCs w:val="5"/>
                <w:color w:val="auto"/>
              </w:rPr>
            </w:pPr>
          </w:p>
        </w:tc>
        <w:tc>
          <w:tcPr>
            <w:tcW w:w="2100" w:type="dxa"/>
            <w:vAlign w:val="bottom"/>
            <w:tcBorders>
              <w:bottom w:val="single" w:sz="8" w:color="auto"/>
            </w:tcBorders>
            <w:vMerge w:val="continue"/>
            <w:shd w:val="clear" w:color="auto" w:fill="DDE6F2"/>
          </w:tcPr>
          <w:p>
            <w:pPr>
              <w:spacing w:after="0"/>
              <w:rPr>
                <w:sz w:val="5"/>
                <w:szCs w:val="5"/>
                <w:color w:val="auto"/>
              </w:rPr>
            </w:pPr>
          </w:p>
        </w:tc>
        <w:tc>
          <w:tcPr>
            <w:tcW w:w="2100" w:type="dxa"/>
            <w:vAlign w:val="bottom"/>
            <w:tcBorders>
              <w:bottom w:val="single" w:sz="8" w:color="auto"/>
            </w:tcBorders>
            <w:vMerge w:val="continue"/>
            <w:shd w:val="clear" w:color="auto" w:fill="DDE6F2"/>
          </w:tcPr>
          <w:p>
            <w:pPr>
              <w:spacing w:after="0"/>
              <w:rPr>
                <w:sz w:val="5"/>
                <w:szCs w:val="5"/>
                <w:color w:val="auto"/>
              </w:rPr>
            </w:pPr>
          </w:p>
        </w:tc>
        <w:tc>
          <w:tcPr>
            <w:tcW w:w="1900" w:type="dxa"/>
            <w:vAlign w:val="bottom"/>
            <w:tcBorders>
              <w:bottom w:val="single" w:sz="8" w:color="auto"/>
              <w:right w:val="single" w:sz="8" w:color="auto"/>
            </w:tcBorders>
            <w:vMerge w:val="continue"/>
            <w:shd w:val="clear" w:color="auto" w:fill="DDE6F2"/>
          </w:tcPr>
          <w:p>
            <w:pPr>
              <w:spacing w:after="0"/>
              <w:rPr>
                <w:sz w:val="5"/>
                <w:szCs w:val="5"/>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60" w:right="20" w:hanging="214"/>
        <w:spacing w:after="0" w:line="241" w:lineRule="auto"/>
        <w:tabs>
          <w:tab w:leader="none" w:pos="560" w:val="left"/>
        </w:tabs>
        <w:numPr>
          <w:ilvl w:val="1"/>
          <w:numId w:val="52"/>
        </w:numPr>
        <w:rPr>
          <w:rFonts w:ascii="Arial" w:cs="Arial" w:eastAsia="Arial" w:hAnsi="Arial"/>
          <w:sz w:val="14"/>
          <w:szCs w:val="14"/>
          <w:color w:val="auto"/>
        </w:rPr>
      </w:pPr>
      <w:r>
        <w:rPr>
          <w:rFonts w:ascii="Arial" w:cs="Arial" w:eastAsia="Arial" w:hAnsi="Arial"/>
          <w:sz w:val="14"/>
          <w:szCs w:val="14"/>
          <w:color w:val="auto"/>
        </w:rPr>
        <w:t>The primary actuarial assumptions used to determine the present values include an annual interest credit to normal retirement age equal to 4.75% and a discount rate equal to 3.98% for the pension plan and discount rate equal to 3.56% for the retirement restoration plan.</w:t>
      </w:r>
    </w:p>
    <w:p>
      <w:pPr>
        <w:ind w:left="560" w:hanging="336"/>
        <w:spacing w:after="0"/>
        <w:tabs>
          <w:tab w:leader="none" w:pos="5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Chappel is the only NEO eligible to retire as of 12/31/2014.</w:t>
      </w:r>
    </w:p>
    <w:p>
      <w:pPr>
        <w:spacing w:after="0" w:line="1" w:lineRule="exact"/>
        <w:rPr>
          <w:rFonts w:ascii="Arial" w:cs="Arial" w:eastAsia="Arial" w:hAnsi="Arial"/>
          <w:sz w:val="14"/>
          <w:szCs w:val="14"/>
          <w:color w:val="auto"/>
        </w:rPr>
      </w:pPr>
    </w:p>
    <w:p>
      <w:pPr>
        <w:ind w:left="560" w:hanging="336"/>
        <w:spacing w:after="0"/>
        <w:tabs>
          <w:tab w:leader="none" w:pos="5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Dearborn is not vested in either benefit as of 12/31/2014.</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Nonqualified Deferred Compensation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We do not provide other nonqualified deferred compensation for any of our NEOs or other employees.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Change in Control Agreements</w:t>
      </w:r>
    </w:p>
    <w:p>
      <w:pPr>
        <w:spacing w:after="0" w:line="23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have entered into change in control agreements with each of our NEOs to facilitate continuity of management if there is a change in control of the Company.</w:t>
      </w:r>
    </w:p>
    <w:p>
      <w:pPr>
        <w:spacing w:after="0" w:line="200" w:lineRule="exact"/>
        <w:rPr>
          <w:sz w:val="20"/>
          <w:szCs w:val="20"/>
          <w:color w:val="auto"/>
        </w:rPr>
      </w:pPr>
    </w:p>
    <w:p>
      <w:pPr>
        <w:spacing w:after="0" w:line="20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If during the term of a change in control agreement, a “change in control” occurs and (i) the employment of any NEO is terminated other than for “cause,” “disability,” death or a “disqualification disaggregation” or (ii) an NEO resigns for “good reason,” such NEO is entitled to the following:</w:t>
      </w:r>
    </w:p>
    <w:p>
      <w:pPr>
        <w:spacing w:after="0" w:line="101"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Within 10 business days after the termination date:</w:t>
      </w:r>
    </w:p>
    <w:p>
      <w:pPr>
        <w:spacing w:after="0" w:line="72" w:lineRule="exact"/>
        <w:rPr>
          <w:rFonts w:ascii="Arial" w:cs="Arial" w:eastAsia="Arial" w:hAnsi="Arial"/>
          <w:sz w:val="16"/>
          <w:szCs w:val="16"/>
          <w:color w:val="auto"/>
        </w:rPr>
      </w:pPr>
    </w:p>
    <w:p>
      <w:pPr>
        <w:ind w:left="1120" w:right="20" w:hanging="216"/>
        <w:spacing w:after="0" w:line="260" w:lineRule="auto"/>
        <w:rPr>
          <w:rFonts w:ascii="Arial" w:cs="Arial" w:eastAsia="Arial" w:hAnsi="Arial"/>
          <w:sz w:val="16"/>
          <w:szCs w:val="16"/>
          <w:color w:val="auto"/>
        </w:rPr>
      </w:pPr>
      <w:r>
        <w:rPr>
          <w:rFonts w:ascii="Arial" w:cs="Arial" w:eastAsia="Arial" w:hAnsi="Arial"/>
          <w:sz w:val="16"/>
          <w:szCs w:val="16"/>
          <w:color w:val="auto"/>
        </w:rPr>
        <w:t>– Accrued but unpaid base salary, accrued earned but unpaid cash incentive, accrued but unpaid paid time off, and any other amounts or benefits due but not paid (lump sum payment);</w:t>
      </w:r>
    </w:p>
    <w:p>
      <w:pPr>
        <w:spacing w:after="0" w:line="47" w:lineRule="exact"/>
        <w:rPr>
          <w:rFonts w:ascii="Arial" w:cs="Arial" w:eastAsia="Arial" w:hAnsi="Arial"/>
          <w:sz w:val="16"/>
          <w:szCs w:val="16"/>
          <w:color w:val="auto"/>
        </w:rPr>
      </w:pPr>
    </w:p>
    <w:p>
      <w:pPr>
        <w:ind w:left="780" w:hanging="326"/>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the first business day following six months after the termination date:</w:t>
      </w:r>
    </w:p>
    <w:p>
      <w:pPr>
        <w:spacing w:after="0" w:line="72"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  Prorated annual cash incentive for the year of separation through the termination date (lump sum payment);</w:t>
      </w:r>
    </w:p>
    <w:p>
      <w:pPr>
        <w:spacing w:after="0" w:line="72" w:lineRule="exact"/>
        <w:rPr>
          <w:rFonts w:ascii="Arial" w:cs="Arial" w:eastAsia="Arial" w:hAnsi="Arial"/>
          <w:sz w:val="16"/>
          <w:szCs w:val="16"/>
          <w:color w:val="auto"/>
        </w:rPr>
      </w:pPr>
    </w:p>
    <w:p>
      <w:pPr>
        <w:ind w:left="1120" w:right="20" w:hanging="216"/>
        <w:spacing w:after="0" w:line="253" w:lineRule="auto"/>
        <w:rPr>
          <w:rFonts w:ascii="Arial" w:cs="Arial" w:eastAsia="Arial" w:hAnsi="Arial"/>
          <w:sz w:val="16"/>
          <w:szCs w:val="16"/>
          <w:color w:val="auto"/>
        </w:rPr>
      </w:pPr>
      <w:r>
        <w:rPr>
          <w:rFonts w:ascii="Arial" w:cs="Arial" w:eastAsia="Arial" w:hAnsi="Arial"/>
          <w:sz w:val="16"/>
          <w:szCs w:val="16"/>
          <w:color w:val="auto"/>
        </w:rPr>
        <w:t>– A severance amount equal to three times the sum of his/her base salary and annual cash incentive amount for executive officers, as of the termination date (lump sum payment). The annual cash incentive amount is equal to his/her target percentage multiplied by his/her base salary in effect at the termination date as if performance goals were achieved at 100%;</w:t>
      </w:r>
    </w:p>
    <w:p>
      <w:pPr>
        <w:spacing w:after="0" w:line="52" w:lineRule="exact"/>
        <w:rPr>
          <w:rFonts w:ascii="Arial" w:cs="Arial" w:eastAsia="Arial" w:hAnsi="Arial"/>
          <w:sz w:val="16"/>
          <w:szCs w:val="16"/>
          <w:color w:val="auto"/>
        </w:rPr>
      </w:pPr>
    </w:p>
    <w:p>
      <w:pPr>
        <w:ind w:left="1120" w:right="40" w:hanging="216"/>
        <w:spacing w:after="0" w:line="260" w:lineRule="auto"/>
        <w:rPr>
          <w:rFonts w:ascii="Arial" w:cs="Arial" w:eastAsia="Arial" w:hAnsi="Arial"/>
          <w:sz w:val="16"/>
          <w:szCs w:val="16"/>
          <w:color w:val="auto"/>
        </w:rPr>
      </w:pPr>
      <w:r>
        <w:rPr>
          <w:rFonts w:ascii="Arial" w:cs="Arial" w:eastAsia="Arial" w:hAnsi="Arial"/>
          <w:sz w:val="16"/>
          <w:szCs w:val="16"/>
          <w:color w:val="auto"/>
        </w:rPr>
        <w:t>– An amount equal to three times for executive officers, the total allocations made by Williams for the NEO in the preceding calendar year under our retirement restoration plan (lump sum payment);</w:t>
      </w:r>
    </w:p>
    <w:p>
      <w:pPr>
        <w:spacing w:after="0" w:line="123"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64</w:t>
            </w:r>
          </w:p>
        </w:tc>
      </w:tr>
    </w:tbl>
    <w:p>
      <w:pPr>
        <w:sectPr>
          <w:pgSz w:w="11900" w:h="16838" w:orient="portrait"/>
          <w:cols w:equalWidth="0" w:num="1">
            <w:col w:w="11440"/>
          </w:cols>
          <w:pgMar w:left="240" w:top="459" w:right="2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205740</wp:posOffset>
            </wp:positionV>
            <wp:extent cx="228092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2809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20" w:hanging="216"/>
        <w:spacing w:after="0" w:line="260" w:lineRule="auto"/>
        <w:rPr>
          <w:sz w:val="20"/>
          <w:szCs w:val="20"/>
          <w:color w:val="auto"/>
        </w:rPr>
      </w:pPr>
      <w:r>
        <w:rPr>
          <w:rFonts w:ascii="Arial" w:cs="Arial" w:eastAsia="Arial" w:hAnsi="Arial"/>
          <w:sz w:val="16"/>
          <w:szCs w:val="16"/>
          <w:color w:val="auto"/>
        </w:rPr>
        <w:t>– An amount equal to the sum of the value of the unvested portion of the NEO’s accounts or accrued benefits under the Company’s 401K plan that would have otherwise been forfeited (lump sum payment);</w:t>
      </w:r>
    </w:p>
    <w:p>
      <w:pPr>
        <w:spacing w:after="0" w:line="47" w:lineRule="exact"/>
        <w:rPr>
          <w:sz w:val="20"/>
          <w:szCs w:val="20"/>
          <w:color w:val="auto"/>
        </w:rPr>
      </w:pPr>
    </w:p>
    <w:p>
      <w:pPr>
        <w:ind w:left="780" w:hanging="326"/>
        <w:spacing w:after="0" w:line="260"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Continued participation in the Company’s medical benefit plans for so long as the NEO elects coverage or 18 months from the termination, whichever is less, in the same manner and at the same cost as similarly situated active employees;</w:t>
      </w:r>
    </w:p>
    <w:p>
      <w:pPr>
        <w:spacing w:after="0" w:line="47" w:lineRule="exact"/>
        <w:rPr>
          <w:rFonts w:ascii="Arial" w:cs="Arial" w:eastAsia="Arial" w:hAnsi="Arial"/>
          <w:sz w:val="16"/>
          <w:szCs w:val="16"/>
          <w:color w:val="auto"/>
        </w:rPr>
      </w:pPr>
    </w:p>
    <w:p>
      <w:pPr>
        <w:ind w:left="780" w:hanging="326"/>
        <w:spacing w:after="0"/>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restrictions on stock options held by the NEO will lapse, and the options will vest and become immediately exercisable;</w:t>
      </w:r>
    </w:p>
    <w:p>
      <w:pPr>
        <w:spacing w:after="0" w:line="72" w:lineRule="exact"/>
        <w:rPr>
          <w:rFonts w:ascii="Arial" w:cs="Arial" w:eastAsia="Arial" w:hAnsi="Arial"/>
          <w:sz w:val="16"/>
          <w:szCs w:val="16"/>
          <w:color w:val="auto"/>
        </w:rPr>
      </w:pPr>
    </w:p>
    <w:p>
      <w:pPr>
        <w:ind w:left="780" w:hanging="326"/>
        <w:spacing w:after="0"/>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restricted stock units will vest and will be paid out only in accordance with the terms of the respective award agreements</w:t>
      </w:r>
    </w:p>
    <w:p>
      <w:pPr>
        <w:spacing w:after="0" w:line="72" w:lineRule="exact"/>
        <w:rPr>
          <w:rFonts w:ascii="Arial" w:cs="Arial" w:eastAsia="Arial" w:hAnsi="Arial"/>
          <w:sz w:val="16"/>
          <w:szCs w:val="16"/>
          <w:color w:val="auto"/>
        </w:rPr>
      </w:pPr>
    </w:p>
    <w:p>
      <w:pPr>
        <w:ind w:left="780" w:hanging="326"/>
        <w:spacing w:after="0" w:line="260"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Continued participation in the Company’s directors’ and officers’ liability insurance for six-years or any longer known applicable statute of limitations period;</w:t>
      </w:r>
    </w:p>
    <w:p>
      <w:pPr>
        <w:spacing w:after="0" w:line="47" w:lineRule="exact"/>
        <w:rPr>
          <w:rFonts w:ascii="Arial" w:cs="Arial" w:eastAsia="Arial" w:hAnsi="Arial"/>
          <w:sz w:val="16"/>
          <w:szCs w:val="16"/>
          <w:color w:val="auto"/>
        </w:rPr>
      </w:pPr>
    </w:p>
    <w:p>
      <w:pPr>
        <w:ind w:left="780" w:hanging="326"/>
        <w:spacing w:after="0"/>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Indemnification as set forth under the Company’s By-laws; and</w:t>
      </w:r>
    </w:p>
    <w:p>
      <w:pPr>
        <w:spacing w:after="0" w:line="72" w:lineRule="exact"/>
        <w:rPr>
          <w:rFonts w:ascii="Arial" w:cs="Arial" w:eastAsia="Arial" w:hAnsi="Arial"/>
          <w:sz w:val="16"/>
          <w:szCs w:val="16"/>
          <w:color w:val="auto"/>
        </w:rPr>
      </w:pPr>
    </w:p>
    <w:p>
      <w:pPr>
        <w:ind w:left="780" w:hanging="326"/>
        <w:spacing w:after="0"/>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Outplacement benefits for six months at a cost not exceeding $25,000 for NEOs.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provide a ‘best net’ provision providing our NEOs with the better of their after-tax benefit capped at the safe harbor amount or their benefit paid in full, subjecting them to possible excise tax payments. If an NEO’s employment is terminated for “cause” during the period beginning upon a change of control and continuing for two-years or until the termination of the agreement, whichever happens first, the NEO is entitled to accrued but unpaid base salary, accrued earned but unpaid cash incentive, accrued but unpaid paid time off, and any other amounts or benefits due but not paid (lump sum payment).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agreements with our NEOs use the following definitions: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“Cause” means an NEO’s:</w:t>
      </w:r>
    </w:p>
    <w:p>
      <w:pPr>
        <w:spacing w:after="0" w:line="248"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Conviction of or a plea of nolo contendere to a felony or a crime involving fraud, dishonesty or moral turpitude;</w:t>
      </w:r>
    </w:p>
    <w:p>
      <w:pPr>
        <w:spacing w:after="0" w:line="72" w:lineRule="exact"/>
        <w:rPr>
          <w:rFonts w:ascii="Arial" w:cs="Arial" w:eastAsia="Arial" w:hAnsi="Arial"/>
          <w:sz w:val="16"/>
          <w:szCs w:val="16"/>
          <w:color w:val="auto"/>
        </w:rPr>
      </w:pPr>
    </w:p>
    <w:p>
      <w:pPr>
        <w:ind w:left="780" w:hanging="326"/>
        <w:spacing w:after="0" w:line="250"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Willful or reckless material misconduct in the performance of his/her duties that has an adverse effect on Williams or any of its subsidiaries or affiliates;</w:t>
      </w:r>
    </w:p>
    <w:p>
      <w:pPr>
        <w:spacing w:after="0" w:line="254" w:lineRule="exact"/>
        <w:rPr>
          <w:rFonts w:ascii="Arial" w:cs="Arial" w:eastAsia="Arial" w:hAnsi="Arial"/>
          <w:sz w:val="16"/>
          <w:szCs w:val="16"/>
          <w:color w:val="auto"/>
        </w:rPr>
      </w:pPr>
    </w:p>
    <w:p>
      <w:pPr>
        <w:ind w:left="780" w:hanging="326"/>
        <w:spacing w:after="0"/>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Willful or reckless violation or disregard of the code of business conduct of Williams or the policies of Williams or its subsidiaries; or</w:t>
      </w:r>
    </w:p>
    <w:p>
      <w:pPr>
        <w:spacing w:after="0" w:line="72" w:lineRule="exact"/>
        <w:rPr>
          <w:rFonts w:ascii="Arial" w:cs="Arial" w:eastAsia="Arial" w:hAnsi="Arial"/>
          <w:sz w:val="16"/>
          <w:szCs w:val="16"/>
          <w:color w:val="auto"/>
        </w:rPr>
      </w:pPr>
    </w:p>
    <w:p>
      <w:pPr>
        <w:ind w:left="780" w:hanging="326"/>
        <w:spacing w:after="0"/>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Habitual or gross neglect of his/her duties.</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Cause generally does not include bad judgment or negligence (other than habitual neglect or gross negligence); acts or omissions made in good faith after reasonable investigation by the NEO or acts or omissions with respect to which the Board could determine that the NEO had satisfied the standards of conduct for indemnification or reimbursement under the Company’s By-laws, indemnification agreement, or applicable law; or failure (despite good faith efforts) to meet performance goals, objectives, or measures for a period beginning upon a change of control and continuing for two-years or until the termination of the agreement, whichever happens first. An NEO’s act or failure to act (except as relates to a conviction or plea of nolo contendere described above), when done in good faith and with a reasonable belief after reasonable investigation that such action or non-action was in the best interest of Williams or its affiliate or required by law shall not be Cause if the NEO cures the action or non-action within 10 days of notice. Furthermore, no act or failure to act will be Cause if the NEO acted under the advice of Williams’ counsel or required by the legal process.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 means:</w:t>
      </w:r>
    </w:p>
    <w:p>
      <w:pPr>
        <w:spacing w:after="0" w:line="248" w:lineRule="exact"/>
        <w:rPr>
          <w:sz w:val="20"/>
          <w:szCs w:val="20"/>
          <w:color w:val="auto"/>
        </w:rPr>
      </w:pPr>
    </w:p>
    <w:p>
      <w:pPr>
        <w:ind w:left="780" w:hanging="326"/>
        <w:spacing w:after="0" w:line="260" w:lineRule="auto"/>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person or group (other than an affiliate of Williams or an employee benefit plan sponsored by Williams or its affiliates) becomes a beneficial owner, as such term is defined under the Exchange Act, of</w:t>
      </w:r>
    </w:p>
    <w:p>
      <w:pPr>
        <w:spacing w:after="0" w:line="123"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65</w:t>
            </w: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205740</wp:posOffset>
            </wp:positionV>
            <wp:extent cx="228092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2809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800"/>
        <w:spacing w:after="0" w:line="253" w:lineRule="auto"/>
        <w:rPr>
          <w:sz w:val="20"/>
          <w:szCs w:val="20"/>
          <w:color w:val="auto"/>
        </w:rPr>
      </w:pPr>
      <w:r>
        <w:rPr>
          <w:rFonts w:ascii="Arial" w:cs="Arial" w:eastAsia="Arial" w:hAnsi="Arial"/>
          <w:sz w:val="16"/>
          <w:szCs w:val="16"/>
          <w:color w:val="auto"/>
        </w:rPr>
        <w:t>20% or more of the Company’s common stock or 20% or more of the combined voting power of all securities entitled to vote generally in the election of directors (“Voting Securities”), unless such person owned both more than 75% of common stock and Voting Securities, directly or indirectly, in substantially the same proportion immediately before such acquisition;</w:t>
      </w:r>
    </w:p>
    <w:p>
      <w:pPr>
        <w:spacing w:after="0" w:line="53" w:lineRule="exact"/>
        <w:rPr>
          <w:sz w:val="20"/>
          <w:szCs w:val="20"/>
          <w:color w:val="auto"/>
        </w:rPr>
      </w:pPr>
    </w:p>
    <w:p>
      <w:pPr>
        <w:ind w:left="780" w:hanging="326"/>
        <w:spacing w:after="0" w:line="260"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Williams directors as of a date of the agreement (“Existing Directors”) and directors approved after that date by at least two-thirds of the Existing Directors cease to constitute a majority of the directors of Williams;</w:t>
      </w:r>
    </w:p>
    <w:p>
      <w:pPr>
        <w:spacing w:after="0" w:line="47" w:lineRule="exact"/>
        <w:rPr>
          <w:rFonts w:ascii="Arial" w:cs="Arial" w:eastAsia="Arial" w:hAnsi="Arial"/>
          <w:sz w:val="16"/>
          <w:szCs w:val="16"/>
          <w:color w:val="auto"/>
        </w:rPr>
      </w:pPr>
    </w:p>
    <w:p>
      <w:pPr>
        <w:jc w:val="both"/>
        <w:ind w:left="780" w:hanging="326"/>
        <w:spacing w:after="0" w:line="250"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Consummation of any merger, reorganization, recapitalization consolidation, or similar transaction (“Reorganization Transaction”), other than a Reorganization Transaction that results in the person who was the direct or indirect owner of outstanding common stock and Voting Securities of the Company prior to the transaction becoming, immediately after the transaction, the owner of at least 65% of the then outstanding common stock and Voting Securities representing 65% of the combined voting power of the then outstanding Voting Securities of the surviving corporation in substantially the same respective proportion as that person’s ownership immediately before such Reorganization Transaction; or</w:t>
      </w:r>
    </w:p>
    <w:p>
      <w:pPr>
        <w:spacing w:after="0" w:line="54" w:lineRule="exact"/>
        <w:rPr>
          <w:rFonts w:ascii="Arial" w:cs="Arial" w:eastAsia="Arial" w:hAnsi="Arial"/>
          <w:sz w:val="16"/>
          <w:szCs w:val="16"/>
          <w:color w:val="auto"/>
        </w:rPr>
      </w:pPr>
    </w:p>
    <w:p>
      <w:pPr>
        <w:jc w:val="both"/>
        <w:ind w:left="780" w:hanging="326"/>
        <w:spacing w:after="0" w:line="250"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Approval by the stockholders of Williams of the sale or other disposition of all or substantially all of the consolidated assets of Williams or the complete liquidation of Williams other than a transaction that would result in (i) a related party owning more than 50% of the assets that were owned by Williams immediately prior to the transaction or (ii) the persons who were the direct or indirect owners of outstanding Williams common stock and Voting Securities prior to the transaction continuing to own, directly or indirectly, 50% or more of the assets that were owned by Williams immediately prior to the transaction.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 change in control will not occur if:</w:t>
      </w:r>
    </w:p>
    <w:p>
      <w:pPr>
        <w:spacing w:after="0" w:line="248"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NEO agrees in writing prior to an event that such an event will not be a change in control; or</w:t>
      </w:r>
    </w:p>
    <w:p>
      <w:pPr>
        <w:spacing w:after="0" w:line="72" w:lineRule="exact"/>
        <w:rPr>
          <w:rFonts w:ascii="Arial" w:cs="Arial" w:eastAsia="Arial" w:hAnsi="Arial"/>
          <w:sz w:val="16"/>
          <w:szCs w:val="16"/>
          <w:color w:val="auto"/>
        </w:rPr>
      </w:pPr>
    </w:p>
    <w:p>
      <w:pPr>
        <w:ind w:left="780" w:hanging="326"/>
        <w:spacing w:after="0" w:line="260" w:lineRule="auto"/>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Board determines that a liquidation, sale or other disposition approved by the stockholders, as described in the fourth bullet above, will not occur, except to the extent termination occurred prior to such determination.</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“Disability” means a physical or mental infirmity that impairs the NEO’s ability to substantially perform his/her duties for twelve months or more and for which he is receiving income replacement benefits from a Company plan for not less than three months.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“Disqualification disaggregation” means:</w:t>
      </w:r>
    </w:p>
    <w:p>
      <w:pPr>
        <w:spacing w:after="0" w:line="248" w:lineRule="exact"/>
        <w:rPr>
          <w:sz w:val="20"/>
          <w:szCs w:val="20"/>
          <w:color w:val="auto"/>
        </w:rPr>
      </w:pPr>
    </w:p>
    <w:p>
      <w:pPr>
        <w:ind w:left="780" w:hanging="326"/>
        <w:spacing w:after="0"/>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termination of an NEO from Williams or an affiliate’s employment before a change in control for any reason; or</w:t>
      </w:r>
    </w:p>
    <w:p>
      <w:pPr>
        <w:spacing w:after="0" w:line="72" w:lineRule="exact"/>
        <w:rPr>
          <w:rFonts w:ascii="Arial" w:cs="Arial" w:eastAsia="Arial" w:hAnsi="Arial"/>
          <w:sz w:val="16"/>
          <w:szCs w:val="16"/>
          <w:color w:val="auto"/>
        </w:rPr>
      </w:pPr>
    </w:p>
    <w:p>
      <w:pPr>
        <w:jc w:val="both"/>
        <w:ind w:left="780" w:hanging="326"/>
        <w:spacing w:after="0" w:line="253" w:lineRule="auto"/>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termination of an NEO’s employment by a successor (during the period beginning upon a change of control and continuing for two-years or until the termination of the agreement, whichever happens first), if the NEO is employed in substantially the same position and the successor has assumed the Williams change in control agreement.</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“Good reason” means, generally, a material adverse change in the NEO’s title, position, or responsibilities, a reduction in the NEO’s base salary, a reduction in the NEO’s annual bonus, required relocation, a material reduction in the level of aggregate compensation or benefits not applicable to Company peers, a successor company’s failure to honor the agreement, or the failure of the Board to provide written notice of the act or omission constituting “cause.”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Termination Scenarios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sets forth circumstances that provide for payments to the NEOs following or in connection with a change in control of the Company or an NEO’s termination of employment for cause, upon retirement, upon death and disability, or not for cause. NEOs are generally eligible to retire at the earlier of age 55 and completion of 3 years of service or age 65.</w:t>
      </w:r>
    </w:p>
    <w:p>
      <w:pPr>
        <w:spacing w:after="0" w:line="12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66</w:t>
            </w: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205740</wp:posOffset>
            </wp:positionV>
            <wp:extent cx="228092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2809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All values are based on a hypothetical termination date of December 31, 2014 and a closing stock price of $44.94 on such date. The values shown are intended to provide reasonable estimates of the potential benefits the NEOs would receive upon termination. The values are based on various assumptions and may not represent the actual amount an NEO would receive. In addition to the amounts disclosed in the following table, a departing NEO would retain the amounts he/she has earned over the course of his/her employment prior to the termination event, including accrued retirement benefits and previously vested stock options and restricted stock units.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000" w:type="dxa"/>
            <w:vAlign w:val="bottom"/>
            <w:tcBorders>
              <w:top w:val="single" w:sz="8" w:color="auto"/>
              <w:left w:val="single" w:sz="8" w:color="auto"/>
            </w:tcBorders>
          </w:tcPr>
          <w:p>
            <w:pPr>
              <w:spacing w:after="0"/>
              <w:rPr>
                <w:sz w:val="14"/>
                <w:szCs w:val="14"/>
                <w:color w:val="auto"/>
              </w:rPr>
            </w:pPr>
          </w:p>
        </w:tc>
        <w:tc>
          <w:tcPr>
            <w:tcW w:w="49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For</w:t>
            </w:r>
          </w:p>
        </w:tc>
        <w:tc>
          <w:tcPr>
            <w:tcW w:w="11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Retirement</w:t>
            </w:r>
          </w:p>
        </w:tc>
        <w:tc>
          <w:tcPr>
            <w:tcW w:w="11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Death &amp;</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Not for</w:t>
            </w:r>
          </w:p>
        </w:tc>
        <w:tc>
          <w:tcPr>
            <w:tcW w:w="1160" w:type="dxa"/>
            <w:vAlign w:val="bottom"/>
            <w:tcBorders>
              <w:top w:val="single" w:sz="8" w:color="auto"/>
              <w:right w:val="single" w:sz="8" w:color="auto"/>
            </w:tcBorders>
          </w:tcPr>
          <w:p>
            <w:pPr>
              <w:spacing w:after="0"/>
              <w:rPr>
                <w:sz w:val="14"/>
                <w:szCs w:val="14"/>
                <w:color w:val="auto"/>
              </w:rPr>
            </w:pPr>
          </w:p>
        </w:tc>
      </w:tr>
      <w:tr>
        <w:trPr>
          <w:trHeight w:val="189"/>
        </w:trPr>
        <w:tc>
          <w:tcPr>
            <w:tcW w:w="1000" w:type="dxa"/>
            <w:vAlign w:val="bottom"/>
            <w:tcBorders>
              <w:lef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4900" w:type="dxa"/>
            <w:vAlign w:val="bottom"/>
          </w:tcPr>
          <w:p>
            <w:pPr>
              <w:ind w:left="100"/>
              <w:spacing w:after="0"/>
              <w:rPr>
                <w:sz w:val="20"/>
                <w:szCs w:val="20"/>
                <w:color w:val="auto"/>
              </w:rPr>
            </w:pPr>
            <w:r>
              <w:rPr>
                <w:rFonts w:ascii="Arial" w:cs="Arial" w:eastAsia="Arial" w:hAnsi="Arial"/>
                <w:sz w:val="14"/>
                <w:szCs w:val="14"/>
                <w:b w:val="1"/>
                <w:bCs w:val="1"/>
                <w:color w:val="auto"/>
              </w:rPr>
              <w:t>Payment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Cause (1)</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(2)</w:t>
            </w: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auto"/>
              </w:rPr>
              <w:t>Disability (3)</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Cause (4)</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CIC (5)</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Stock options</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$2,382,846</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$2,382,846</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Stock awards</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12,050,212</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12,050,212</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18,751,398</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AIP</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1,350,000</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1,350,000</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1,350,000</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Cash Severance</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7,290,000</w:t>
            </w:r>
          </w:p>
        </w:tc>
      </w:tr>
      <w:tr>
        <w:trPr>
          <w:trHeight w:val="162"/>
        </w:trPr>
        <w:tc>
          <w:tcPr>
            <w:tcW w:w="100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4"/>
                <w:szCs w:val="14"/>
                <w:color w:val="auto"/>
              </w:rPr>
              <w:t>Armstrong</w:t>
            </w: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Outplacement</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25,000</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Health &amp; Welfare</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25,410</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Retirement Restoration Plan Enhancement</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1,030,784</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‘Best Net’ Provision</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b w:val="1"/>
                <w:bCs w:val="1"/>
                <w:color w:val="auto"/>
              </w:rPr>
              <w:t>Total</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b w:val="1"/>
                <w:bCs w:val="1"/>
                <w:color w:val="auto"/>
              </w:rPr>
              <w:t>$0</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b w:val="1"/>
                <w:bCs w:val="1"/>
                <w:color w:val="auto"/>
              </w:rPr>
              <w:t>$0</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b w:val="1"/>
                <w:bCs w:val="1"/>
                <w:color w:val="auto"/>
              </w:rPr>
              <w:t>$15,783,058</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b w:val="1"/>
                <w:bCs w:val="1"/>
                <w:color w:val="auto"/>
              </w:rPr>
              <w:t>$13,400,212</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b w:val="1"/>
                <w:bCs w:val="1"/>
                <w:color w:val="auto"/>
              </w:rPr>
              <w:t>$30,855,437</w:t>
            </w:r>
          </w:p>
        </w:tc>
      </w:tr>
      <w:tr>
        <w:trPr>
          <w:trHeight w:val="167"/>
        </w:trPr>
        <w:tc>
          <w:tcPr>
            <w:tcW w:w="1000" w:type="dxa"/>
            <w:vAlign w:val="bottom"/>
            <w:tcBorders>
              <w:left w:val="single" w:sz="8" w:color="auto"/>
            </w:tcBorders>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Stock options</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1,263,489</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1,263,489</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1,263,489</w:t>
            </w:r>
          </w:p>
        </w:tc>
      </w:tr>
      <w:tr>
        <w:trPr>
          <w:trHeight w:val="162"/>
        </w:trPr>
        <w:tc>
          <w:tcPr>
            <w:tcW w:w="1000" w:type="dxa"/>
            <w:vAlign w:val="bottom"/>
            <w:tcBorders>
              <w:left w:val="single" w:sz="8" w:color="auto"/>
            </w:tcBorders>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Stock awards</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5,671,527</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6,833,576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6,833,576</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10,211,476</w:t>
            </w:r>
          </w:p>
        </w:tc>
      </w:tr>
      <w:tr>
        <w:trPr>
          <w:trHeight w:val="162"/>
        </w:trPr>
        <w:tc>
          <w:tcPr>
            <w:tcW w:w="1000" w:type="dxa"/>
            <w:vAlign w:val="bottom"/>
            <w:tcBorders>
              <w:left w:val="single" w:sz="8" w:color="auto"/>
            </w:tcBorders>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AIP</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493,500</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493,500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493,500</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493,500</w:t>
            </w:r>
          </w:p>
        </w:tc>
      </w:tr>
      <w:tr>
        <w:trPr>
          <w:trHeight w:val="162"/>
        </w:trPr>
        <w:tc>
          <w:tcPr>
            <w:tcW w:w="1000" w:type="dxa"/>
            <w:vAlign w:val="bottom"/>
            <w:tcBorders>
              <w:left w:val="single" w:sz="8" w:color="auto"/>
            </w:tcBorders>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Cash Severance</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3,454,500</w:t>
            </w:r>
          </w:p>
        </w:tc>
      </w:tr>
      <w:tr>
        <w:trPr>
          <w:trHeight w:val="162"/>
        </w:trPr>
        <w:tc>
          <w:tcPr>
            <w:tcW w:w="100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Chappel</w:t>
            </w:r>
          </w:p>
        </w:tc>
        <w:tc>
          <w:tcPr>
            <w:tcW w:w="4900" w:type="dxa"/>
            <w:vAlign w:val="bottom"/>
          </w:tcPr>
          <w:p>
            <w:pPr>
              <w:ind w:left="100"/>
              <w:spacing w:after="0"/>
              <w:rPr>
                <w:sz w:val="20"/>
                <w:szCs w:val="20"/>
                <w:color w:val="auto"/>
              </w:rPr>
            </w:pPr>
            <w:r>
              <w:rPr>
                <w:rFonts w:ascii="Arial" w:cs="Arial" w:eastAsia="Arial" w:hAnsi="Arial"/>
                <w:sz w:val="14"/>
                <w:szCs w:val="14"/>
                <w:color w:val="auto"/>
              </w:rPr>
              <w:t>Outplacement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25,000</w:t>
            </w:r>
          </w:p>
        </w:tc>
      </w:tr>
      <w:tr>
        <w:trPr>
          <w:trHeight w:val="162"/>
        </w:trPr>
        <w:tc>
          <w:tcPr>
            <w:tcW w:w="1000" w:type="dxa"/>
            <w:vAlign w:val="bottom"/>
            <w:tcBorders>
              <w:left w:val="single" w:sz="8" w:color="auto"/>
            </w:tcBorders>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Health &amp; Welfare</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18,719</w:t>
            </w:r>
          </w:p>
        </w:tc>
      </w:tr>
      <w:tr>
        <w:trPr>
          <w:trHeight w:val="162"/>
        </w:trPr>
        <w:tc>
          <w:tcPr>
            <w:tcW w:w="1000" w:type="dxa"/>
            <w:vAlign w:val="bottom"/>
            <w:tcBorders>
              <w:left w:val="single" w:sz="8" w:color="auto"/>
            </w:tcBorders>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Retirement Restoration Plan Enhancement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369,450</w:t>
            </w:r>
          </w:p>
        </w:tc>
      </w:tr>
      <w:tr>
        <w:trPr>
          <w:trHeight w:val="144"/>
        </w:trPr>
        <w:tc>
          <w:tcPr>
            <w:tcW w:w="1000" w:type="dxa"/>
            <w:vAlign w:val="bottom"/>
            <w:tcBorders>
              <w:left w:val="single" w:sz="8" w:color="auto"/>
            </w:tcBorders>
          </w:tcPr>
          <w:p>
            <w:pPr>
              <w:spacing w:after="0"/>
              <w:rPr>
                <w:sz w:val="12"/>
                <w:szCs w:val="12"/>
                <w:color w:val="auto"/>
              </w:rPr>
            </w:pPr>
          </w:p>
        </w:tc>
        <w:tc>
          <w:tcPr>
            <w:tcW w:w="4900" w:type="dxa"/>
            <w:vAlign w:val="bottom"/>
          </w:tcPr>
          <w:p>
            <w:pPr>
              <w:ind w:left="100"/>
              <w:spacing w:after="0" w:line="144" w:lineRule="exact"/>
              <w:rPr>
                <w:sz w:val="20"/>
                <w:szCs w:val="20"/>
                <w:color w:val="auto"/>
              </w:rPr>
            </w:pPr>
            <w:r>
              <w:rPr>
                <w:rFonts w:ascii="Arial" w:cs="Arial" w:eastAsia="Arial" w:hAnsi="Arial"/>
                <w:sz w:val="14"/>
                <w:szCs w:val="14"/>
                <w:color w:val="auto"/>
              </w:rPr>
              <w:t>‘Best Net’ Provision</w:t>
            </w:r>
          </w:p>
        </w:tc>
        <w:tc>
          <w:tcPr>
            <w:tcW w:w="960" w:type="dxa"/>
            <w:vAlign w:val="bottom"/>
          </w:tcPr>
          <w:p>
            <w:pPr>
              <w:jc w:val="right"/>
              <w:ind w:right="8"/>
              <w:spacing w:after="0" w:line="144"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line="144"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line="144"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line="144"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168"/>
              <w:spacing w:after="0" w:line="144" w:lineRule="exact"/>
              <w:rPr>
                <w:sz w:val="20"/>
                <w:szCs w:val="20"/>
                <w:color w:val="auto"/>
              </w:rPr>
            </w:pPr>
            <w:r>
              <w:rPr>
                <w:rFonts w:ascii="Arial" w:cs="Arial" w:eastAsia="Arial" w:hAnsi="Arial"/>
                <w:sz w:val="14"/>
                <w:szCs w:val="14"/>
                <w:color w:val="auto"/>
              </w:rPr>
              <w:t>0</w:t>
            </w:r>
          </w:p>
        </w:tc>
      </w:tr>
      <w:tr>
        <w:trPr>
          <w:trHeight w:val="175"/>
        </w:trPr>
        <w:tc>
          <w:tcPr>
            <w:tcW w:w="1000" w:type="dxa"/>
            <w:vAlign w:val="bottom"/>
            <w:tcBorders>
              <w:left w:val="single" w:sz="8" w:color="auto"/>
            </w:tcBorders>
          </w:tcPr>
          <w:p>
            <w:pPr>
              <w:spacing w:after="0"/>
              <w:rPr>
                <w:sz w:val="15"/>
                <w:szCs w:val="15"/>
                <w:color w:val="auto"/>
              </w:rPr>
            </w:pPr>
          </w:p>
        </w:tc>
        <w:tc>
          <w:tcPr>
            <w:tcW w:w="490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$0</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$7,428,516</w:t>
            </w: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auto"/>
              </w:rPr>
              <w:t>$8,590,565</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$7,327,076</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$15,836,134</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Stock options</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738,381</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738,381</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Stock awards</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4,041,221</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4,041,221</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5,839,063</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AIP</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332,500</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332,500</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332,500</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Cash Severance</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2,422,500</w:t>
            </w:r>
          </w:p>
        </w:tc>
      </w:tr>
      <w:tr>
        <w:trPr>
          <w:trHeight w:val="162"/>
        </w:trPr>
        <w:tc>
          <w:tcPr>
            <w:tcW w:w="100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4"/>
                <w:szCs w:val="14"/>
                <w:color w:val="auto"/>
              </w:rPr>
              <w:t>Miller</w:t>
            </w: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Outplacement</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25,000</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Health &amp; Welfare</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25,410</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Retirement Restoration Plan Enhancement</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260,619</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‘Best Net’ Provision</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0</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b w:val="1"/>
                <w:bCs w:val="1"/>
                <w:color w:val="auto"/>
              </w:rPr>
              <w:t>Total</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b w:val="1"/>
                <w:bCs w:val="1"/>
                <w:color w:val="auto"/>
              </w:rPr>
              <w:t>$0</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b w:val="1"/>
                <w:bCs w:val="1"/>
                <w:color w:val="auto"/>
              </w:rPr>
              <w:t>$0</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b w:val="1"/>
                <w:bCs w:val="1"/>
                <w:color w:val="auto"/>
              </w:rPr>
              <w:t>$5,112,102</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b w:val="1"/>
                <w:bCs w:val="1"/>
                <w:color w:val="auto"/>
              </w:rPr>
              <w:t>$4,373,721</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b w:val="1"/>
                <w:bCs w:val="1"/>
                <w:color w:val="auto"/>
              </w:rPr>
              <w:t>$9,643,473</w:t>
            </w:r>
          </w:p>
        </w:tc>
      </w:tr>
      <w:tr>
        <w:trPr>
          <w:trHeight w:val="167"/>
        </w:trPr>
        <w:tc>
          <w:tcPr>
            <w:tcW w:w="1000" w:type="dxa"/>
            <w:vAlign w:val="bottom"/>
            <w:tcBorders>
              <w:left w:val="single" w:sz="8" w:color="auto"/>
            </w:tcBorders>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Stock options</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112,497</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112,497</w:t>
            </w:r>
          </w:p>
        </w:tc>
      </w:tr>
      <w:tr>
        <w:trPr>
          <w:trHeight w:val="162"/>
        </w:trPr>
        <w:tc>
          <w:tcPr>
            <w:tcW w:w="1000" w:type="dxa"/>
            <w:vAlign w:val="bottom"/>
            <w:tcBorders>
              <w:left w:val="single" w:sz="8" w:color="auto"/>
            </w:tcBorders>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Stock awards</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1,843,861</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1,843,861</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3,192,142</w:t>
            </w:r>
          </w:p>
        </w:tc>
      </w:tr>
      <w:tr>
        <w:trPr>
          <w:trHeight w:val="162"/>
        </w:trPr>
        <w:tc>
          <w:tcPr>
            <w:tcW w:w="1000" w:type="dxa"/>
            <w:vAlign w:val="bottom"/>
            <w:tcBorders>
              <w:left w:val="single" w:sz="8" w:color="auto"/>
            </w:tcBorders>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AIP</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289,250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289,250</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289,250</w:t>
            </w:r>
          </w:p>
        </w:tc>
      </w:tr>
      <w:tr>
        <w:trPr>
          <w:trHeight w:val="162"/>
        </w:trPr>
        <w:tc>
          <w:tcPr>
            <w:tcW w:w="1000" w:type="dxa"/>
            <w:vAlign w:val="bottom"/>
            <w:tcBorders>
              <w:left w:val="single" w:sz="8" w:color="auto"/>
            </w:tcBorders>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Cash Severance</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2,202,750</w:t>
            </w:r>
          </w:p>
        </w:tc>
      </w:tr>
      <w:tr>
        <w:trPr>
          <w:trHeight w:val="162"/>
        </w:trPr>
        <w:tc>
          <w:tcPr>
            <w:tcW w:w="100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Dearborn</w:t>
            </w:r>
          </w:p>
        </w:tc>
        <w:tc>
          <w:tcPr>
            <w:tcW w:w="4900" w:type="dxa"/>
            <w:vAlign w:val="bottom"/>
          </w:tcPr>
          <w:p>
            <w:pPr>
              <w:ind w:left="100"/>
              <w:spacing w:after="0"/>
              <w:rPr>
                <w:sz w:val="20"/>
                <w:szCs w:val="20"/>
                <w:color w:val="auto"/>
              </w:rPr>
            </w:pPr>
            <w:r>
              <w:rPr>
                <w:rFonts w:ascii="Arial" w:cs="Arial" w:eastAsia="Arial" w:hAnsi="Arial"/>
                <w:sz w:val="14"/>
                <w:szCs w:val="14"/>
                <w:color w:val="auto"/>
              </w:rPr>
              <w:t>Outplacement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25,000</w:t>
            </w:r>
          </w:p>
        </w:tc>
      </w:tr>
      <w:tr>
        <w:trPr>
          <w:trHeight w:val="162"/>
        </w:trPr>
        <w:tc>
          <w:tcPr>
            <w:tcW w:w="1000" w:type="dxa"/>
            <w:vAlign w:val="bottom"/>
            <w:tcBorders>
              <w:left w:val="single" w:sz="8" w:color="auto"/>
            </w:tcBorders>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Health &amp; Welfare</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22,604</w:t>
            </w:r>
          </w:p>
        </w:tc>
      </w:tr>
      <w:tr>
        <w:trPr>
          <w:trHeight w:val="162"/>
        </w:trPr>
        <w:tc>
          <w:tcPr>
            <w:tcW w:w="1000" w:type="dxa"/>
            <w:vAlign w:val="bottom"/>
            <w:tcBorders>
              <w:left w:val="single" w:sz="8" w:color="auto"/>
            </w:tcBorders>
          </w:tcPr>
          <w:p>
            <w:pPr>
              <w:spacing w:after="0"/>
              <w:rPr>
                <w:sz w:val="14"/>
                <w:szCs w:val="14"/>
                <w:color w:val="auto"/>
              </w:rPr>
            </w:pPr>
          </w:p>
        </w:tc>
        <w:tc>
          <w:tcPr>
            <w:tcW w:w="4900" w:type="dxa"/>
            <w:vAlign w:val="bottom"/>
          </w:tcPr>
          <w:p>
            <w:pPr>
              <w:ind w:left="100"/>
              <w:spacing w:after="0"/>
              <w:rPr>
                <w:sz w:val="20"/>
                <w:szCs w:val="20"/>
                <w:color w:val="auto"/>
              </w:rPr>
            </w:pPr>
            <w:r>
              <w:rPr>
                <w:rFonts w:ascii="Arial" w:cs="Arial" w:eastAsia="Arial" w:hAnsi="Arial"/>
                <w:sz w:val="14"/>
                <w:szCs w:val="14"/>
                <w:color w:val="auto"/>
              </w:rPr>
              <w:t>Retirement Restoration Plan Enhancement (6)</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258,503</w:t>
            </w:r>
          </w:p>
        </w:tc>
      </w:tr>
      <w:tr>
        <w:trPr>
          <w:trHeight w:val="144"/>
        </w:trPr>
        <w:tc>
          <w:tcPr>
            <w:tcW w:w="1000" w:type="dxa"/>
            <w:vAlign w:val="bottom"/>
            <w:tcBorders>
              <w:left w:val="single" w:sz="8" w:color="auto"/>
            </w:tcBorders>
          </w:tcPr>
          <w:p>
            <w:pPr>
              <w:spacing w:after="0"/>
              <w:rPr>
                <w:sz w:val="12"/>
                <w:szCs w:val="12"/>
                <w:color w:val="auto"/>
              </w:rPr>
            </w:pPr>
          </w:p>
        </w:tc>
        <w:tc>
          <w:tcPr>
            <w:tcW w:w="4900" w:type="dxa"/>
            <w:vAlign w:val="bottom"/>
          </w:tcPr>
          <w:p>
            <w:pPr>
              <w:ind w:left="100"/>
              <w:spacing w:after="0" w:line="144" w:lineRule="exact"/>
              <w:rPr>
                <w:sz w:val="20"/>
                <w:szCs w:val="20"/>
                <w:color w:val="auto"/>
              </w:rPr>
            </w:pPr>
            <w:r>
              <w:rPr>
                <w:rFonts w:ascii="Arial" w:cs="Arial" w:eastAsia="Arial" w:hAnsi="Arial"/>
                <w:sz w:val="14"/>
                <w:szCs w:val="14"/>
                <w:color w:val="auto"/>
              </w:rPr>
              <w:t>‘Best Net’ Provision</w:t>
            </w:r>
          </w:p>
        </w:tc>
        <w:tc>
          <w:tcPr>
            <w:tcW w:w="960" w:type="dxa"/>
            <w:vAlign w:val="bottom"/>
          </w:tcPr>
          <w:p>
            <w:pPr>
              <w:jc w:val="right"/>
              <w:ind w:right="8"/>
              <w:spacing w:after="0" w:line="144"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line="144"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line="144"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line="144"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168"/>
              <w:spacing w:after="0" w:line="144" w:lineRule="exact"/>
              <w:rPr>
                <w:sz w:val="20"/>
                <w:szCs w:val="20"/>
                <w:color w:val="auto"/>
              </w:rPr>
            </w:pPr>
            <w:r>
              <w:rPr>
                <w:rFonts w:ascii="Arial" w:cs="Arial" w:eastAsia="Arial" w:hAnsi="Arial"/>
                <w:sz w:val="14"/>
                <w:szCs w:val="14"/>
                <w:color w:val="auto"/>
              </w:rPr>
              <w:t>0</w:t>
            </w:r>
          </w:p>
        </w:tc>
      </w:tr>
      <w:tr>
        <w:trPr>
          <w:trHeight w:val="175"/>
        </w:trPr>
        <w:tc>
          <w:tcPr>
            <w:tcW w:w="1000" w:type="dxa"/>
            <w:vAlign w:val="bottom"/>
            <w:tcBorders>
              <w:left w:val="single" w:sz="8" w:color="auto"/>
            </w:tcBorders>
          </w:tcPr>
          <w:p>
            <w:pPr>
              <w:spacing w:after="0"/>
              <w:rPr>
                <w:sz w:val="15"/>
                <w:szCs w:val="15"/>
                <w:color w:val="auto"/>
              </w:rPr>
            </w:pPr>
          </w:p>
        </w:tc>
        <w:tc>
          <w:tcPr>
            <w:tcW w:w="490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$0</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$0</w:t>
            </w: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auto"/>
              </w:rPr>
              <w:t>$2,245,608</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$2,133,111</w:t>
            </w:r>
          </w:p>
        </w:tc>
        <w:tc>
          <w:tcPr>
            <w:tcW w:w="11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$6,102,745</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Stock options</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742,031</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742,031</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Stock awards</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3,996,574</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3,996,574</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5,703,511</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AIP</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297,500</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297,500</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297,500</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Cash Severance</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2,167,500</w:t>
            </w:r>
          </w:p>
        </w:tc>
      </w:tr>
      <w:tr>
        <w:trPr>
          <w:trHeight w:val="162"/>
        </w:trPr>
        <w:tc>
          <w:tcPr>
            <w:tcW w:w="100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4"/>
                <w:szCs w:val="14"/>
                <w:color w:val="auto"/>
              </w:rPr>
              <w:t>Scheel</w:t>
            </w: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Outplacement (7)</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190,000</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Health &amp; Welfare</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23,818</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Retirement Restoration Plan Enhancement</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146,313</w:t>
            </w:r>
          </w:p>
        </w:tc>
      </w:tr>
      <w:tr>
        <w:trPr>
          <w:trHeight w:val="162"/>
        </w:trPr>
        <w:tc>
          <w:tcPr>
            <w:tcW w:w="1000" w:type="dxa"/>
            <w:vAlign w:val="bottom"/>
            <w:tcBorders>
              <w:left w:val="single" w:sz="8" w:color="auto"/>
            </w:tcBorders>
            <w:shd w:val="clear" w:color="auto" w:fill="DDE6F2"/>
          </w:tcPr>
          <w:p>
            <w:pPr>
              <w:spacing w:after="0"/>
              <w:rPr>
                <w:sz w:val="14"/>
                <w:szCs w:val="14"/>
                <w:color w:val="auto"/>
              </w:rPr>
            </w:pPr>
          </w:p>
        </w:tc>
        <w:tc>
          <w:tcPr>
            <w:tcW w:w="4900" w:type="dxa"/>
            <w:vAlign w:val="bottom"/>
            <w:shd w:val="clear" w:color="auto" w:fill="DDE6F2"/>
          </w:tcPr>
          <w:p>
            <w:pPr>
              <w:ind w:left="100"/>
              <w:spacing w:after="0"/>
              <w:rPr>
                <w:sz w:val="20"/>
                <w:szCs w:val="20"/>
                <w:color w:val="auto"/>
              </w:rPr>
            </w:pPr>
            <w:r>
              <w:rPr>
                <w:rFonts w:ascii="Arial" w:cs="Arial" w:eastAsia="Arial" w:hAnsi="Arial"/>
                <w:sz w:val="14"/>
                <w:szCs w:val="14"/>
                <w:color w:val="auto"/>
              </w:rPr>
              <w:t>‘Best Net’ Provision</w:t>
            </w:r>
          </w:p>
        </w:tc>
        <w:tc>
          <w:tcPr>
            <w:tcW w:w="960" w:type="dxa"/>
            <w:vAlign w:val="bottom"/>
            <w:shd w:val="clear" w:color="auto" w:fill="DDE6F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E6F2"/>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E6F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color w:val="auto"/>
              </w:rPr>
              <w:t>0</w:t>
            </w:r>
          </w:p>
        </w:tc>
      </w:tr>
      <w:tr>
        <w:trPr>
          <w:trHeight w:val="162"/>
        </w:trPr>
        <w:tc>
          <w:tcPr>
            <w:tcW w:w="1000" w:type="dxa"/>
            <w:vAlign w:val="bottom"/>
            <w:tcBorders>
              <w:left w:val="single" w:sz="8" w:color="auto"/>
              <w:bottom w:val="single" w:sz="8" w:color="auto"/>
            </w:tcBorders>
            <w:shd w:val="clear" w:color="auto" w:fill="DDE6F2"/>
          </w:tcPr>
          <w:p>
            <w:pPr>
              <w:spacing w:after="0"/>
              <w:rPr>
                <w:sz w:val="14"/>
                <w:szCs w:val="14"/>
                <w:color w:val="auto"/>
              </w:rPr>
            </w:pPr>
          </w:p>
        </w:tc>
        <w:tc>
          <w:tcPr>
            <w:tcW w:w="4900" w:type="dxa"/>
            <w:vAlign w:val="bottom"/>
            <w:tcBorders>
              <w:bottom w:val="single" w:sz="8" w:color="auto"/>
            </w:tcBorders>
            <w:shd w:val="clear" w:color="auto" w:fill="DDE6F2"/>
          </w:tcPr>
          <w:p>
            <w:pPr>
              <w:ind w:left="100"/>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bottom w:val="single" w:sz="8" w:color="auto"/>
            </w:tcBorders>
            <w:shd w:val="clear" w:color="auto" w:fill="DDE6F2"/>
          </w:tcPr>
          <w:p>
            <w:pPr>
              <w:jc w:val="right"/>
              <w:ind w:right="8"/>
              <w:spacing w:after="0"/>
              <w:rPr>
                <w:sz w:val="20"/>
                <w:szCs w:val="20"/>
                <w:color w:val="auto"/>
              </w:rPr>
            </w:pPr>
            <w:r>
              <w:rPr>
                <w:rFonts w:ascii="Arial" w:cs="Arial" w:eastAsia="Arial" w:hAnsi="Arial"/>
                <w:sz w:val="14"/>
                <w:szCs w:val="14"/>
                <w:b w:val="1"/>
                <w:bCs w:val="1"/>
                <w:color w:val="auto"/>
              </w:rPr>
              <w:t>$0</w:t>
            </w:r>
          </w:p>
        </w:tc>
        <w:tc>
          <w:tcPr>
            <w:tcW w:w="1140" w:type="dxa"/>
            <w:vAlign w:val="bottom"/>
            <w:tcBorders>
              <w:bottom w:val="single" w:sz="8" w:color="auto"/>
            </w:tcBorders>
            <w:shd w:val="clear" w:color="auto" w:fill="DDE6F2"/>
          </w:tcPr>
          <w:p>
            <w:pPr>
              <w:jc w:val="right"/>
              <w:ind w:right="88"/>
              <w:spacing w:after="0"/>
              <w:rPr>
                <w:sz w:val="20"/>
                <w:szCs w:val="20"/>
                <w:color w:val="auto"/>
              </w:rPr>
            </w:pPr>
            <w:r>
              <w:rPr>
                <w:rFonts w:ascii="Arial" w:cs="Arial" w:eastAsia="Arial" w:hAnsi="Arial"/>
                <w:sz w:val="14"/>
                <w:szCs w:val="14"/>
                <w:b w:val="1"/>
                <w:bCs w:val="1"/>
                <w:color w:val="auto"/>
              </w:rPr>
              <w:t>$0</w:t>
            </w:r>
          </w:p>
        </w:tc>
        <w:tc>
          <w:tcPr>
            <w:tcW w:w="1180" w:type="dxa"/>
            <w:vAlign w:val="bottom"/>
            <w:tcBorders>
              <w:bottom w:val="single" w:sz="8" w:color="auto"/>
            </w:tcBorders>
            <w:shd w:val="clear" w:color="auto" w:fill="DDE6F2"/>
          </w:tcPr>
          <w:p>
            <w:pPr>
              <w:jc w:val="right"/>
              <w:ind w:right="108"/>
              <w:spacing w:after="0"/>
              <w:rPr>
                <w:sz w:val="20"/>
                <w:szCs w:val="20"/>
                <w:color w:val="auto"/>
              </w:rPr>
            </w:pPr>
            <w:r>
              <w:rPr>
                <w:rFonts w:ascii="Arial" w:cs="Arial" w:eastAsia="Arial" w:hAnsi="Arial"/>
                <w:sz w:val="14"/>
                <w:szCs w:val="14"/>
                <w:b w:val="1"/>
                <w:bCs w:val="1"/>
                <w:color w:val="auto"/>
              </w:rPr>
              <w:t>$5,036,105</w:t>
            </w:r>
          </w:p>
        </w:tc>
        <w:tc>
          <w:tcPr>
            <w:tcW w:w="1100" w:type="dxa"/>
            <w:vAlign w:val="bottom"/>
            <w:tcBorders>
              <w:bottom w:val="single" w:sz="8" w:color="auto"/>
            </w:tcBorders>
            <w:shd w:val="clear" w:color="auto" w:fill="DDE6F2"/>
          </w:tcPr>
          <w:p>
            <w:pPr>
              <w:jc w:val="right"/>
              <w:ind w:right="48"/>
              <w:spacing w:after="0"/>
              <w:rPr>
                <w:sz w:val="20"/>
                <w:szCs w:val="20"/>
                <w:color w:val="auto"/>
              </w:rPr>
            </w:pPr>
            <w:r>
              <w:rPr>
                <w:rFonts w:ascii="Arial" w:cs="Arial" w:eastAsia="Arial" w:hAnsi="Arial"/>
                <w:sz w:val="14"/>
                <w:szCs w:val="14"/>
                <w:b w:val="1"/>
                <w:bCs w:val="1"/>
                <w:color w:val="auto"/>
              </w:rPr>
              <w:t>$4,294,074</w:t>
            </w:r>
          </w:p>
        </w:tc>
        <w:tc>
          <w:tcPr>
            <w:tcW w:w="1160" w:type="dxa"/>
            <w:vAlign w:val="bottom"/>
            <w:tcBorders>
              <w:bottom w:val="single" w:sz="8" w:color="auto"/>
              <w:right w:val="single" w:sz="8" w:color="auto"/>
            </w:tcBorders>
            <w:shd w:val="clear" w:color="auto" w:fill="DDE6F2"/>
          </w:tcPr>
          <w:p>
            <w:pPr>
              <w:jc w:val="right"/>
              <w:ind w:right="168"/>
              <w:spacing w:after="0"/>
              <w:rPr>
                <w:sz w:val="20"/>
                <w:szCs w:val="20"/>
                <w:color w:val="auto"/>
              </w:rPr>
            </w:pPr>
            <w:r>
              <w:rPr>
                <w:rFonts w:ascii="Arial" w:cs="Arial" w:eastAsia="Arial" w:hAnsi="Arial"/>
                <w:sz w:val="14"/>
                <w:szCs w:val="14"/>
                <w:b w:val="1"/>
                <w:bCs w:val="1"/>
                <w:color w:val="auto"/>
              </w:rPr>
              <w:t>$9,270,673</w:t>
            </w:r>
          </w:p>
        </w:tc>
      </w:tr>
    </w:tbl>
    <w:p>
      <w:pPr>
        <w:spacing w:after="0" w:line="5"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If an NEO is terminated for cause or leaves the company voluntarily, no additional benefits will be received.</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Chappel is the only NEO eligible to retire as of 12/31/2014. If an NEO retires, then the annual cash incentive for the year of separation is pro-rated to the retirement date and is paid when all active employees’ annual cash incentives are paid after</w:t>
      </w:r>
    </w:p>
    <w:p>
      <w:pPr>
        <w:spacing w:after="0" w:line="11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67</w:t>
            </w:r>
          </w:p>
        </w:tc>
      </w:tr>
    </w:tbl>
    <w:p>
      <w:pPr>
        <w:sectPr>
          <w:pgSz w:w="11900" w:h="16838" w:orient="portrait"/>
          <w:cols w:equalWidth="0" w:num="1">
            <w:col w:w="11440"/>
          </w:cols>
          <w:pgMar w:left="240" w:top="459" w:right="2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205740</wp:posOffset>
            </wp:positionV>
            <wp:extent cx="228092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2809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340"/>
        <w:spacing w:after="0" w:line="241" w:lineRule="auto"/>
        <w:rPr>
          <w:sz w:val="20"/>
          <w:szCs w:val="20"/>
          <w:color w:val="auto"/>
        </w:rPr>
      </w:pPr>
      <w:r>
        <w:rPr>
          <w:rFonts w:ascii="Arial" w:cs="Arial" w:eastAsia="Arial" w:hAnsi="Arial"/>
          <w:sz w:val="14"/>
          <w:szCs w:val="14"/>
          <w:color w:val="auto"/>
        </w:rPr>
        <w:t>the company performance is certified. All unvested stock options will fully accelerate. A pro-rated portion of the unvested time based restricted stock units will accelerate and a pro-rated portion of any performance-based and leveraged restricted stock units will vest on the original vesting date if the Compensation Committee certifies that the performance measures were met. The annual cash incentive award estimates, as of 12/31/2014, are shown at target.</w:t>
      </w:r>
    </w:p>
    <w:p>
      <w:pPr>
        <w:spacing w:after="0" w:line="1" w:lineRule="exact"/>
        <w:rPr>
          <w:sz w:val="20"/>
          <w:szCs w:val="20"/>
          <w:color w:val="auto"/>
        </w:rPr>
      </w:pPr>
    </w:p>
    <w:p>
      <w:pPr>
        <w:jc w:val="both"/>
        <w:ind w:left="340" w:hanging="332"/>
        <w:spacing w:after="0" w:line="24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If an NEO dies or becomes disabled, then the annual cash incentive for the year of separation is pro-rated through the separation or leave date and is paid when all active employees’ annual cash incentives are paid after the company performance is certified. All unvested stock options will fully accelerate. All unvested time-based restricted stock units will fully accelerate, and a pro-rated portion of any performance-based and leveraged restricted stock units will vest if the Compensation Committee certifies that the performance measures were met. The annual cash incentive award estimates, as of 12/31/2014, are shown at target.</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an NEO who is involuntarily terminated and who receives severance or for an NEO whose termination is due to the sale of a business or outsourcing any portion of a business and for whom no comparable internal offer of employment is made, all unvested time-based restricted stock units will fully accelerate and a pro-rated portion of any performance-based and leveraged restricted stock units will vest if the Compensation Committee certifies that the performance measures were met. However all unvested stock options cancel. If this separation occurs during the last quarter of the fiscal year, the annual cash incentive for the year of separation is pro-rated through the separation or leave date and is paid when all active employees’ annual cash incentives are paid after the company performance is certified. The annual cash incentive award estimates, as of 12/31/2014, are shown at target.</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See “Change in Control Agreements” above.</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Dearborn’s retirement benefit includes his unvested qualified defined contribution account balance which would become vested upon a CIC and a qualifying termination of employment.</w:t>
      </w: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Scheel’s outplacement benefit includes a relocation benefit. He is the only NEO with this additional benefit.</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Please note that we make no assumptions as to the achievement of performance goals as it relates to the performance-based RSUs. If an award is covered by Section 409A of the Internal Revenue Code, lump sum payments and distributions occurring from these events will occur six months after the triggering event as required by the Internal Revenue Code and our award agreements.</w:t>
      </w:r>
    </w:p>
    <w:p>
      <w:pPr>
        <w:spacing w:after="0" w:line="12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68</w:t>
            </w: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205740</wp:posOffset>
            </wp:positionV>
            <wp:extent cx="14147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147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of Directors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Only non-employee directors receive director fees. In 2014, the Company paid non-employee directors:</w:t>
      </w:r>
    </w:p>
    <w:p>
      <w:pPr>
        <w:spacing w:after="0" w:line="127" w:lineRule="exact"/>
        <w:rPr>
          <w:sz w:val="20"/>
          <w:szCs w:val="20"/>
          <w:color w:val="auto"/>
        </w:rPr>
      </w:pPr>
    </w:p>
    <w:p>
      <w:pPr>
        <w:ind w:left="780" w:hanging="326"/>
        <w:spacing w:after="0"/>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$110,000 annual retainer paid in quarterly cash payments</w:t>
      </w:r>
    </w:p>
    <w:p>
      <w:pPr>
        <w:spacing w:after="0" w:line="5" w:lineRule="exact"/>
        <w:rPr>
          <w:rFonts w:ascii="Arial" w:cs="Arial" w:eastAsia="Arial" w:hAnsi="Arial"/>
          <w:sz w:val="16"/>
          <w:szCs w:val="16"/>
          <w:color w:val="auto"/>
        </w:rPr>
      </w:pPr>
    </w:p>
    <w:p>
      <w:pPr>
        <w:ind w:left="780" w:right="20" w:hanging="326"/>
        <w:spacing w:after="0" w:line="246" w:lineRule="auto"/>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$140,000 annual equity retainer in the form of RSUs which will vest after one-year and are subject to 60% retention until the director meets the five-times annual retainer stock ownership guidelines</w:t>
      </w:r>
    </w:p>
    <w:p>
      <w:pPr>
        <w:ind w:left="780" w:hanging="326"/>
        <w:spacing w:after="0" w:line="246" w:lineRule="auto"/>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$20,000 annual retainer paid in quarterly cash payments for Committee Chairs (Audit, Compensation, Finance, Nominating and Governance Committees, and Safety)</w:t>
      </w:r>
    </w:p>
    <w:p>
      <w:pPr>
        <w:ind w:left="780" w:right="20" w:hanging="326"/>
        <w:spacing w:after="0" w:line="260" w:lineRule="auto"/>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$190,000 annual retainer paid in quarterly cash payments and $160,000 annual equity retainer in the form of RSUs which will vest after one-year and are subject to 60% retention as noted above for the non-employee Chairman of the Board</w:t>
      </w:r>
    </w:p>
    <w:p>
      <w:pPr>
        <w:spacing w:after="0" w:line="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annual cash retainers paid to the non-employee directors are made through quarterly cash payments. Through The Williams Companies, Inc. Amended and Restated 2007 Incentive Plan, the annual equity retainer vests after one-year and is subject to 60% retention if the non-employee director has not satisfied the stock ownership guidelines as approved by the Compensation Committee. Paying dividend equivalents on annual non-employee director equity grants was also approved in 2012. Dividend equivalents will be paid in the form of cash after the one-year vesting term. Beginning in 2013, non-employee directors have the option to defer their annual equity grants until retirement. If the director elects not to defer, shares will be distributed at the scheduled vesting date and dividends will be paid in the form of cash. If the director elects to defer vested shares until retirement, the dividends will be reinvested until such date.</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Non-employee directors generally receive their compensation on the date of the annual stockholders meeting. The following table shows how compensation is paid to individuals who become non-employee directors after the annual meeting.</w:t>
      </w:r>
    </w:p>
    <w:p>
      <w:pPr>
        <w:spacing w:after="0" w:line="79" w:lineRule="exact"/>
        <w:rPr>
          <w:sz w:val="20"/>
          <w:szCs w:val="20"/>
          <w:color w:val="auto"/>
        </w:rPr>
      </w:pPr>
    </w:p>
    <w:tbl>
      <w:tblPr>
        <w:tblLayout w:type="fixed"/>
        <w:tblInd w:w="310" w:type="dxa"/>
        <w:tblCellMar>
          <w:top w:w="0" w:type="dxa"/>
          <w:left w:w="0" w:type="dxa"/>
          <w:bottom w:w="0" w:type="dxa"/>
          <w:right w:w="0" w:type="dxa"/>
        </w:tblCellMar>
      </w:tblPr>
      <w:tr>
        <w:trPr>
          <w:trHeight w:val="162"/>
        </w:trPr>
        <w:tc>
          <w:tcPr>
            <w:tcW w:w="274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4"/>
                <w:szCs w:val="14"/>
                <w:b w:val="1"/>
                <w:bCs w:val="1"/>
                <w:color w:val="auto"/>
              </w:rPr>
              <w:t>An individual who became</w:t>
            </w:r>
          </w:p>
        </w:tc>
        <w:tc>
          <w:tcPr>
            <w:tcW w:w="2620" w:type="dxa"/>
            <w:vAlign w:val="bottom"/>
            <w:tcBorders>
              <w:top w:val="single" w:sz="8" w:color="auto"/>
            </w:tcBorders>
          </w:tcPr>
          <w:p>
            <w:pPr>
              <w:spacing w:after="0"/>
              <w:rPr>
                <w:sz w:val="14"/>
                <w:szCs w:val="14"/>
                <w:color w:val="auto"/>
              </w:rPr>
            </w:pPr>
          </w:p>
        </w:tc>
        <w:tc>
          <w:tcPr>
            <w:tcW w:w="2540" w:type="dxa"/>
            <w:vAlign w:val="bottom"/>
            <w:tcBorders>
              <w:top w:val="single" w:sz="8" w:color="auto"/>
            </w:tcBorders>
          </w:tcPr>
          <w:p>
            <w:pPr>
              <w:spacing w:after="0"/>
              <w:rPr>
                <w:sz w:val="14"/>
                <w:szCs w:val="14"/>
                <w:color w:val="auto"/>
              </w:rPr>
            </w:pPr>
          </w:p>
        </w:tc>
        <w:tc>
          <w:tcPr>
            <w:tcW w:w="2960" w:type="dxa"/>
            <w:vAlign w:val="bottom"/>
            <w:tcBorders>
              <w:top w:val="single" w:sz="8" w:color="auto"/>
              <w:right w:val="single" w:sz="8" w:color="auto"/>
            </w:tcBorders>
          </w:tcPr>
          <w:p>
            <w:pPr>
              <w:spacing w:after="0"/>
              <w:rPr>
                <w:sz w:val="14"/>
                <w:szCs w:val="14"/>
                <w:color w:val="auto"/>
              </w:rPr>
            </w:pPr>
          </w:p>
        </w:tc>
      </w:tr>
      <w:tr>
        <w:trPr>
          <w:trHeight w:val="175"/>
        </w:trPr>
        <w:tc>
          <w:tcPr>
            <w:tcW w:w="274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 non-employee director...</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...but before...</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...will receive...</w:t>
            </w:r>
          </w:p>
        </w:tc>
        <w:tc>
          <w:tcPr>
            <w:tcW w:w="296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...as of...</w:t>
            </w:r>
          </w:p>
        </w:tc>
      </w:tr>
      <w:tr>
        <w:trPr>
          <w:trHeight w:val="183"/>
        </w:trPr>
        <w:tc>
          <w:tcPr>
            <w:tcW w:w="2740" w:type="dxa"/>
            <w:vAlign w:val="bottom"/>
            <w:tcBorders>
              <w:left w:val="single" w:sz="8" w:color="auto"/>
            </w:tcBorders>
            <w:shd w:val="clear" w:color="auto" w:fill="DDE6F2"/>
          </w:tcPr>
          <w:p>
            <w:pPr>
              <w:jc w:val="center"/>
              <w:spacing w:after="0" w:line="183" w:lineRule="exact"/>
              <w:rPr>
                <w:sz w:val="20"/>
                <w:szCs w:val="20"/>
                <w:color w:val="auto"/>
              </w:rPr>
            </w:pPr>
            <w:r>
              <w:rPr>
                <w:rFonts w:ascii="Arial" w:cs="Arial" w:eastAsia="Arial" w:hAnsi="Arial"/>
                <w:sz w:val="16"/>
                <w:szCs w:val="16"/>
                <w:color w:val="auto"/>
              </w:rPr>
              <w:t>after the annual meeting</w:t>
            </w:r>
          </w:p>
        </w:tc>
        <w:tc>
          <w:tcPr>
            <w:tcW w:w="2620" w:type="dxa"/>
            <w:vAlign w:val="bottom"/>
            <w:shd w:val="clear" w:color="auto" w:fill="DDE6F2"/>
          </w:tcPr>
          <w:p>
            <w:pPr>
              <w:jc w:val="center"/>
              <w:spacing w:after="0" w:line="183" w:lineRule="exact"/>
              <w:rPr>
                <w:sz w:val="20"/>
                <w:szCs w:val="20"/>
                <w:color w:val="auto"/>
              </w:rPr>
            </w:pPr>
            <w:r>
              <w:rPr>
                <w:rFonts w:ascii="Arial" w:cs="Arial" w:eastAsia="Arial" w:hAnsi="Arial"/>
                <w:sz w:val="16"/>
                <w:szCs w:val="16"/>
                <w:color w:val="auto"/>
              </w:rPr>
              <w:t>August 1</w:t>
            </w:r>
          </w:p>
        </w:tc>
        <w:tc>
          <w:tcPr>
            <w:tcW w:w="2540" w:type="dxa"/>
            <w:vAlign w:val="bottom"/>
            <w:shd w:val="clear" w:color="auto" w:fill="DDE6F2"/>
          </w:tcPr>
          <w:p>
            <w:pPr>
              <w:jc w:val="center"/>
              <w:spacing w:after="0" w:line="183" w:lineRule="exact"/>
              <w:rPr>
                <w:sz w:val="20"/>
                <w:szCs w:val="20"/>
                <w:color w:val="auto"/>
              </w:rPr>
            </w:pPr>
            <w:r>
              <w:rPr>
                <w:rFonts w:ascii="Arial" w:cs="Arial" w:eastAsia="Arial" w:hAnsi="Arial"/>
                <w:sz w:val="16"/>
                <w:szCs w:val="16"/>
                <w:color w:val="auto"/>
              </w:rPr>
              <w:t>full compensation</w:t>
            </w:r>
          </w:p>
        </w:tc>
        <w:tc>
          <w:tcPr>
            <w:tcW w:w="2960" w:type="dxa"/>
            <w:vAlign w:val="bottom"/>
            <w:tcBorders>
              <w:right w:val="single" w:sz="8" w:color="auto"/>
            </w:tcBorders>
            <w:shd w:val="clear" w:color="auto" w:fill="DDE6F2"/>
          </w:tcPr>
          <w:p>
            <w:pPr>
              <w:jc w:val="center"/>
              <w:ind w:right="21"/>
              <w:spacing w:after="0" w:line="183" w:lineRule="exact"/>
              <w:rPr>
                <w:sz w:val="20"/>
                <w:szCs w:val="20"/>
                <w:color w:val="auto"/>
              </w:rPr>
            </w:pPr>
            <w:r>
              <w:rPr>
                <w:rFonts w:ascii="Arial" w:cs="Arial" w:eastAsia="Arial" w:hAnsi="Arial"/>
                <w:sz w:val="16"/>
                <w:szCs w:val="16"/>
                <w:color w:val="auto"/>
              </w:rPr>
              <w:t>December 15</w:t>
            </w:r>
          </w:p>
        </w:tc>
      </w:tr>
      <w:tr>
        <w:trPr>
          <w:trHeight w:val="189"/>
        </w:trPr>
        <w:tc>
          <w:tcPr>
            <w:tcW w:w="2740" w:type="dxa"/>
            <w:vAlign w:val="bottom"/>
            <w:tcBorders>
              <w:left w:val="single" w:sz="8" w:color="auto"/>
            </w:tcBorders>
          </w:tcPr>
          <w:p>
            <w:pPr>
              <w:jc w:val="center"/>
              <w:spacing w:after="0"/>
              <w:rPr>
                <w:sz w:val="20"/>
                <w:szCs w:val="20"/>
                <w:color w:val="auto"/>
              </w:rPr>
            </w:pPr>
            <w:r>
              <w:rPr>
                <w:rFonts w:ascii="Arial" w:cs="Arial" w:eastAsia="Arial" w:hAnsi="Arial"/>
                <w:sz w:val="16"/>
                <w:szCs w:val="16"/>
                <w:color w:val="auto"/>
              </w:rPr>
              <w:t>on or after August 1</w:t>
            </w:r>
          </w:p>
        </w:tc>
        <w:tc>
          <w:tcPr>
            <w:tcW w:w="2620" w:type="dxa"/>
            <w:vAlign w:val="bottom"/>
          </w:tcPr>
          <w:p>
            <w:pPr>
              <w:jc w:val="center"/>
              <w:spacing w:after="0"/>
              <w:rPr>
                <w:sz w:val="20"/>
                <w:szCs w:val="20"/>
                <w:color w:val="auto"/>
              </w:rPr>
            </w:pPr>
            <w:r>
              <w:rPr>
                <w:rFonts w:ascii="Arial" w:cs="Arial" w:eastAsia="Arial" w:hAnsi="Arial"/>
                <w:sz w:val="16"/>
                <w:szCs w:val="16"/>
                <w:color w:val="auto"/>
              </w:rPr>
              <w:t>or on December 15</w:t>
            </w:r>
          </w:p>
        </w:tc>
        <w:tc>
          <w:tcPr>
            <w:tcW w:w="2540" w:type="dxa"/>
            <w:vAlign w:val="bottom"/>
          </w:tcPr>
          <w:p>
            <w:pPr>
              <w:jc w:val="center"/>
              <w:spacing w:after="0"/>
              <w:rPr>
                <w:sz w:val="20"/>
                <w:szCs w:val="20"/>
                <w:color w:val="auto"/>
              </w:rPr>
            </w:pPr>
            <w:r>
              <w:rPr>
                <w:rFonts w:ascii="Arial" w:cs="Arial" w:eastAsia="Arial" w:hAnsi="Arial"/>
                <w:sz w:val="16"/>
                <w:szCs w:val="16"/>
                <w:color w:val="auto"/>
              </w:rPr>
              <w:t>pro-rated compensation</w:t>
            </w:r>
          </w:p>
        </w:tc>
        <w:tc>
          <w:tcPr>
            <w:tcW w:w="2960" w:type="dxa"/>
            <w:vAlign w:val="bottom"/>
            <w:tcBorders>
              <w:right w:val="single" w:sz="8" w:color="auto"/>
            </w:tcBorders>
          </w:tcPr>
          <w:p>
            <w:pPr>
              <w:jc w:val="center"/>
              <w:ind w:right="21"/>
              <w:spacing w:after="0"/>
              <w:rPr>
                <w:sz w:val="20"/>
                <w:szCs w:val="20"/>
                <w:color w:val="auto"/>
              </w:rPr>
            </w:pPr>
            <w:r>
              <w:rPr>
                <w:rFonts w:ascii="Arial" w:cs="Arial" w:eastAsia="Arial" w:hAnsi="Arial"/>
                <w:sz w:val="16"/>
                <w:szCs w:val="16"/>
                <w:color w:val="auto"/>
              </w:rPr>
              <w:t>December 15</w:t>
            </w:r>
          </w:p>
        </w:tc>
      </w:tr>
      <w:tr>
        <w:trPr>
          <w:trHeight w:val="189"/>
        </w:trPr>
        <w:tc>
          <w:tcPr>
            <w:tcW w:w="2740" w:type="dxa"/>
            <w:vAlign w:val="bottom"/>
            <w:tcBorders>
              <w:left w:val="single" w:sz="8" w:color="auto"/>
              <w:bottom w:val="single" w:sz="8" w:color="auto"/>
            </w:tcBorders>
            <w:shd w:val="clear" w:color="auto" w:fill="DDE6F2"/>
          </w:tcPr>
          <w:p>
            <w:pPr>
              <w:jc w:val="center"/>
              <w:spacing w:after="0"/>
              <w:rPr>
                <w:sz w:val="20"/>
                <w:szCs w:val="20"/>
                <w:color w:val="auto"/>
              </w:rPr>
            </w:pPr>
            <w:r>
              <w:rPr>
                <w:rFonts w:ascii="Arial" w:cs="Arial" w:eastAsia="Arial" w:hAnsi="Arial"/>
                <w:sz w:val="16"/>
                <w:szCs w:val="16"/>
                <w:color w:val="auto"/>
              </w:rPr>
              <w:t>on or after December 16</w:t>
            </w:r>
          </w:p>
        </w:tc>
        <w:tc>
          <w:tcPr>
            <w:tcW w:w="2620" w:type="dxa"/>
            <w:vAlign w:val="bottom"/>
            <w:tcBorders>
              <w:bottom w:val="single" w:sz="8" w:color="auto"/>
            </w:tcBorders>
            <w:shd w:val="clear" w:color="auto" w:fill="DDE6F2"/>
          </w:tcPr>
          <w:p>
            <w:pPr>
              <w:jc w:val="center"/>
              <w:spacing w:after="0"/>
              <w:rPr>
                <w:sz w:val="20"/>
                <w:szCs w:val="20"/>
                <w:color w:val="auto"/>
              </w:rPr>
            </w:pPr>
            <w:r>
              <w:rPr>
                <w:rFonts w:ascii="Arial" w:cs="Arial" w:eastAsia="Arial" w:hAnsi="Arial"/>
                <w:sz w:val="16"/>
                <w:szCs w:val="16"/>
                <w:color w:val="auto"/>
              </w:rPr>
              <w:t>the next annual meeting</w:t>
            </w:r>
          </w:p>
        </w:tc>
        <w:tc>
          <w:tcPr>
            <w:tcW w:w="2540" w:type="dxa"/>
            <w:vAlign w:val="bottom"/>
            <w:tcBorders>
              <w:bottom w:val="single" w:sz="8" w:color="auto"/>
            </w:tcBorders>
            <w:shd w:val="clear" w:color="auto" w:fill="DDE6F2"/>
          </w:tcPr>
          <w:p>
            <w:pPr>
              <w:jc w:val="center"/>
              <w:spacing w:after="0"/>
              <w:rPr>
                <w:sz w:val="20"/>
                <w:szCs w:val="20"/>
                <w:color w:val="auto"/>
              </w:rPr>
            </w:pPr>
            <w:r>
              <w:rPr>
                <w:rFonts w:ascii="Arial" w:cs="Arial" w:eastAsia="Arial" w:hAnsi="Arial"/>
                <w:sz w:val="16"/>
                <w:szCs w:val="16"/>
                <w:color w:val="auto"/>
              </w:rPr>
              <w:t>pro-rated compensation</w:t>
            </w:r>
          </w:p>
        </w:tc>
        <w:tc>
          <w:tcPr>
            <w:tcW w:w="2960" w:type="dxa"/>
            <w:vAlign w:val="bottom"/>
            <w:tcBorders>
              <w:bottom w:val="single" w:sz="8" w:color="auto"/>
              <w:right w:val="single" w:sz="8" w:color="auto"/>
            </w:tcBorders>
            <w:shd w:val="clear" w:color="auto" w:fill="DDE6F2"/>
          </w:tcPr>
          <w:p>
            <w:pPr>
              <w:jc w:val="center"/>
              <w:ind w:right="21"/>
              <w:spacing w:after="0"/>
              <w:rPr>
                <w:sz w:val="20"/>
                <w:szCs w:val="20"/>
                <w:color w:val="auto"/>
              </w:rPr>
            </w:pPr>
            <w:r>
              <w:rPr>
                <w:rFonts w:ascii="Arial" w:cs="Arial" w:eastAsia="Arial" w:hAnsi="Arial"/>
                <w:sz w:val="16"/>
                <w:szCs w:val="16"/>
                <w:color w:val="auto"/>
              </w:rPr>
              <w:t>the next annual meeting date</w:t>
            </w:r>
          </w:p>
        </w:tc>
      </w:tr>
    </w:tbl>
    <w:p>
      <w:pPr>
        <w:spacing w:after="0" w:line="21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Non-employee directors are reimbursed for expenses (including costs of travel, food, and lodging) incurred in attending Board, committee, and stockholder meetings. Directors are also reimbursed for reasonable expenses associated with other business activities, including participation in director education programs. In addition, Williams pays premiums on directors’ and officers’ liability insurance policies.</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Like all Williams employees, directors are eligible to participate in the Williams Matching Grant Program for eligible charitable organizations and the United Way Program. The maximum matching contribution in any calendar year is $10,000 for a participant in the Matching Grant Program and $25,000 for a participant in the United Way Program. No match is made to the United Way under the Matching Grant Program unless the giving relates to a natural disaster or is applied to the funding of a capital campaign at a United Way funded agency.</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referenced previously, we entered into an agreement with the Investor Group pursuant to which Mr. Mandelblatt was appointed to our Board in February 2014 and Mr. Meister joined the Board in November 2014. Under the terms of the agreement, Mr. Mandelblatt and Mr. Meister will not receive any form of cash or equity compensation, for their service on our Board.</w:t>
      </w:r>
    </w:p>
    <w:p>
      <w:pPr>
        <w:spacing w:after="0" w:line="12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69</w:t>
            </w: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205740</wp:posOffset>
            </wp:positionV>
            <wp:extent cx="14147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147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Director Compensation for Fiscal Year 2014</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earned by each director for 2014 service is outlined in the following table:</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127"/>
        </w:trPr>
        <w:tc>
          <w:tcPr>
            <w:tcW w:w="2840" w:type="dxa"/>
            <w:vAlign w:val="bottom"/>
            <w:tcBorders>
              <w:top w:val="single" w:sz="8" w:color="auto"/>
              <w:left w:val="single" w:sz="8" w:color="auto"/>
            </w:tcBorders>
          </w:tcPr>
          <w:p>
            <w:pPr>
              <w:spacing w:after="0"/>
              <w:rPr>
                <w:sz w:val="11"/>
                <w:szCs w:val="11"/>
                <w:color w:val="auto"/>
              </w:rPr>
            </w:pPr>
          </w:p>
        </w:tc>
        <w:tc>
          <w:tcPr>
            <w:tcW w:w="17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191"/>
              <w:spacing w:after="0" w:line="127" w:lineRule="exact"/>
              <w:rPr>
                <w:sz w:val="20"/>
                <w:szCs w:val="20"/>
                <w:color w:val="auto"/>
              </w:rPr>
            </w:pPr>
            <w:r>
              <w:rPr>
                <w:rFonts w:ascii="Arial" w:cs="Arial" w:eastAsia="Arial" w:hAnsi="Arial"/>
                <w:sz w:val="13"/>
                <w:szCs w:val="13"/>
                <w:b w:val="1"/>
                <w:bCs w:val="1"/>
                <w:color w:val="auto"/>
              </w:rPr>
              <w:t>Change in</w:t>
            </w:r>
          </w:p>
        </w:tc>
        <w:tc>
          <w:tcPr>
            <w:tcW w:w="1240" w:type="dxa"/>
            <w:vAlign w:val="bottom"/>
            <w:tcBorders>
              <w:top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spacing w:after="0"/>
              <w:rPr>
                <w:sz w:val="11"/>
                <w:szCs w:val="11"/>
                <w:color w:val="auto"/>
              </w:rPr>
            </w:pPr>
          </w:p>
        </w:tc>
      </w:tr>
      <w:tr>
        <w:trPr>
          <w:trHeight w:val="135"/>
        </w:trPr>
        <w:tc>
          <w:tcPr>
            <w:tcW w:w="2840" w:type="dxa"/>
            <w:vAlign w:val="bottom"/>
            <w:tcBorders>
              <w:left w:val="single" w:sz="8" w:color="auto"/>
            </w:tcBorders>
          </w:tcPr>
          <w:p>
            <w:pPr>
              <w:spacing w:after="0"/>
              <w:rPr>
                <w:sz w:val="11"/>
                <w:szCs w:val="11"/>
                <w:color w:val="auto"/>
              </w:rPr>
            </w:pPr>
          </w:p>
        </w:tc>
        <w:tc>
          <w:tcPr>
            <w:tcW w:w="1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jc w:val="right"/>
              <w:ind w:right="191"/>
              <w:spacing w:after="0" w:line="135" w:lineRule="exact"/>
              <w:rPr>
                <w:sz w:val="20"/>
                <w:szCs w:val="20"/>
                <w:color w:val="auto"/>
              </w:rPr>
            </w:pPr>
            <w:r>
              <w:rPr>
                <w:rFonts w:ascii="Arial" w:cs="Arial" w:eastAsia="Arial" w:hAnsi="Arial"/>
                <w:sz w:val="13"/>
                <w:szCs w:val="13"/>
                <w:b w:val="1"/>
                <w:bCs w:val="1"/>
                <w:color w:val="auto"/>
              </w:rPr>
              <w:t>Pension</w:t>
            </w:r>
          </w:p>
        </w:tc>
        <w:tc>
          <w:tcPr>
            <w:tcW w:w="12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r>
      <w:tr>
        <w:trPr>
          <w:trHeight w:val="135"/>
        </w:trPr>
        <w:tc>
          <w:tcPr>
            <w:tcW w:w="2840" w:type="dxa"/>
            <w:vAlign w:val="bottom"/>
            <w:tcBorders>
              <w:left w:val="single" w:sz="8" w:color="auto"/>
            </w:tcBorders>
          </w:tcPr>
          <w:p>
            <w:pPr>
              <w:spacing w:after="0"/>
              <w:rPr>
                <w:sz w:val="11"/>
                <w:szCs w:val="11"/>
                <w:color w:val="auto"/>
              </w:rPr>
            </w:pPr>
          </w:p>
        </w:tc>
        <w:tc>
          <w:tcPr>
            <w:tcW w:w="1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jc w:val="right"/>
              <w:ind w:right="191"/>
              <w:spacing w:after="0" w:line="135" w:lineRule="exact"/>
              <w:rPr>
                <w:sz w:val="20"/>
                <w:szCs w:val="20"/>
                <w:color w:val="auto"/>
              </w:rPr>
            </w:pPr>
            <w:r>
              <w:rPr>
                <w:rFonts w:ascii="Arial" w:cs="Arial" w:eastAsia="Arial" w:hAnsi="Arial"/>
                <w:sz w:val="13"/>
                <w:szCs w:val="13"/>
                <w:b w:val="1"/>
                <w:bCs w:val="1"/>
                <w:color w:val="auto"/>
              </w:rPr>
              <w:t>Value and</w:t>
            </w:r>
          </w:p>
        </w:tc>
        <w:tc>
          <w:tcPr>
            <w:tcW w:w="12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r>
      <w:tr>
        <w:trPr>
          <w:trHeight w:val="135"/>
        </w:trPr>
        <w:tc>
          <w:tcPr>
            <w:tcW w:w="2840" w:type="dxa"/>
            <w:vAlign w:val="bottom"/>
            <w:tcBorders>
              <w:left w:val="single" w:sz="8" w:color="auto"/>
            </w:tcBorders>
          </w:tcPr>
          <w:p>
            <w:pPr>
              <w:spacing w:after="0"/>
              <w:rPr>
                <w:sz w:val="11"/>
                <w:szCs w:val="11"/>
                <w:color w:val="auto"/>
              </w:rPr>
            </w:pPr>
          </w:p>
        </w:tc>
        <w:tc>
          <w:tcPr>
            <w:tcW w:w="1780" w:type="dxa"/>
            <w:vAlign w:val="bottom"/>
          </w:tcPr>
          <w:p>
            <w:pPr>
              <w:jc w:val="right"/>
              <w:ind w:right="150"/>
              <w:spacing w:after="0" w:line="135" w:lineRule="exact"/>
              <w:rPr>
                <w:sz w:val="20"/>
                <w:szCs w:val="20"/>
                <w:color w:val="auto"/>
              </w:rPr>
            </w:pPr>
            <w:r>
              <w:rPr>
                <w:rFonts w:ascii="Arial" w:cs="Arial" w:eastAsia="Arial" w:hAnsi="Arial"/>
                <w:sz w:val="13"/>
                <w:szCs w:val="13"/>
                <w:b w:val="1"/>
                <w:bCs w:val="1"/>
                <w:color w:val="auto"/>
              </w:rPr>
              <w:t>Fees</w:t>
            </w:r>
          </w:p>
        </w:tc>
        <w:tc>
          <w:tcPr>
            <w:tcW w:w="1080" w:type="dxa"/>
            <w:vAlign w:val="bottom"/>
          </w:tcPr>
          <w:p>
            <w:pPr>
              <w:jc w:val="right"/>
              <w:ind w:right="90"/>
              <w:spacing w:after="0" w:line="135" w:lineRule="exact"/>
              <w:rPr>
                <w:sz w:val="20"/>
                <w:szCs w:val="20"/>
                <w:color w:val="auto"/>
              </w:rPr>
            </w:pPr>
            <w:r>
              <w:rPr>
                <w:rFonts w:ascii="Arial" w:cs="Arial" w:eastAsia="Arial" w:hAnsi="Arial"/>
                <w:sz w:val="13"/>
                <w:szCs w:val="13"/>
                <w:b w:val="1"/>
                <w:bCs w:val="1"/>
                <w:color w:val="auto"/>
              </w:rPr>
              <w:t>Fees</w:t>
            </w:r>
          </w:p>
        </w:tc>
        <w:tc>
          <w:tcPr>
            <w:tcW w:w="8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80" w:type="dxa"/>
            <w:vAlign w:val="bottom"/>
          </w:tcPr>
          <w:p>
            <w:pPr>
              <w:jc w:val="right"/>
              <w:ind w:right="191"/>
              <w:spacing w:after="0" w:line="135" w:lineRule="exact"/>
              <w:rPr>
                <w:sz w:val="20"/>
                <w:szCs w:val="20"/>
                <w:color w:val="auto"/>
              </w:rPr>
            </w:pPr>
            <w:r>
              <w:rPr>
                <w:rFonts w:ascii="Arial" w:cs="Arial" w:eastAsia="Arial" w:hAnsi="Arial"/>
                <w:sz w:val="13"/>
                <w:szCs w:val="13"/>
                <w:b w:val="1"/>
                <w:bCs w:val="1"/>
                <w:color w:val="auto"/>
              </w:rPr>
              <w:t>Nonqualified</w:t>
            </w:r>
          </w:p>
        </w:tc>
        <w:tc>
          <w:tcPr>
            <w:tcW w:w="12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r>
      <w:tr>
        <w:trPr>
          <w:trHeight w:val="135"/>
        </w:trPr>
        <w:tc>
          <w:tcPr>
            <w:tcW w:w="2840" w:type="dxa"/>
            <w:vAlign w:val="bottom"/>
            <w:tcBorders>
              <w:left w:val="single" w:sz="8" w:color="auto"/>
            </w:tcBorders>
          </w:tcPr>
          <w:p>
            <w:pPr>
              <w:spacing w:after="0"/>
              <w:rPr>
                <w:sz w:val="11"/>
                <w:szCs w:val="11"/>
                <w:color w:val="auto"/>
              </w:rPr>
            </w:pPr>
          </w:p>
        </w:tc>
        <w:tc>
          <w:tcPr>
            <w:tcW w:w="1780" w:type="dxa"/>
            <w:vAlign w:val="bottom"/>
          </w:tcPr>
          <w:p>
            <w:pPr>
              <w:jc w:val="right"/>
              <w:ind w:right="150"/>
              <w:spacing w:after="0" w:line="135" w:lineRule="exact"/>
              <w:rPr>
                <w:sz w:val="20"/>
                <w:szCs w:val="20"/>
                <w:color w:val="auto"/>
              </w:rPr>
            </w:pPr>
            <w:r>
              <w:rPr>
                <w:rFonts w:ascii="Arial" w:cs="Arial" w:eastAsia="Arial" w:hAnsi="Arial"/>
                <w:sz w:val="13"/>
                <w:szCs w:val="13"/>
                <w:b w:val="1"/>
                <w:bCs w:val="1"/>
                <w:color w:val="auto"/>
              </w:rPr>
              <w:t>Earned</w:t>
            </w:r>
          </w:p>
        </w:tc>
        <w:tc>
          <w:tcPr>
            <w:tcW w:w="1080" w:type="dxa"/>
            <w:vAlign w:val="bottom"/>
          </w:tcPr>
          <w:p>
            <w:pPr>
              <w:jc w:val="right"/>
              <w:ind w:right="90"/>
              <w:spacing w:after="0" w:line="135" w:lineRule="exact"/>
              <w:rPr>
                <w:sz w:val="20"/>
                <w:szCs w:val="20"/>
                <w:color w:val="auto"/>
              </w:rPr>
            </w:pPr>
            <w:r>
              <w:rPr>
                <w:rFonts w:ascii="Arial" w:cs="Arial" w:eastAsia="Arial" w:hAnsi="Arial"/>
                <w:sz w:val="13"/>
                <w:szCs w:val="13"/>
                <w:b w:val="1"/>
                <w:bCs w:val="1"/>
                <w:color w:val="auto"/>
              </w:rPr>
              <w:t>Earned</w:t>
            </w:r>
          </w:p>
        </w:tc>
        <w:tc>
          <w:tcPr>
            <w:tcW w:w="880" w:type="dxa"/>
            <w:vAlign w:val="bottom"/>
          </w:tcPr>
          <w:p>
            <w:pPr>
              <w:spacing w:after="0"/>
              <w:rPr>
                <w:sz w:val="11"/>
                <w:szCs w:val="11"/>
                <w:color w:val="auto"/>
              </w:rPr>
            </w:pPr>
          </w:p>
        </w:tc>
        <w:tc>
          <w:tcPr>
            <w:tcW w:w="1380" w:type="dxa"/>
            <w:vAlign w:val="bottom"/>
          </w:tcPr>
          <w:p>
            <w:pPr>
              <w:jc w:val="right"/>
              <w:ind w:right="190"/>
              <w:spacing w:after="0" w:line="135" w:lineRule="exact"/>
              <w:rPr>
                <w:sz w:val="20"/>
                <w:szCs w:val="20"/>
                <w:color w:val="auto"/>
              </w:rPr>
            </w:pPr>
            <w:r>
              <w:rPr>
                <w:rFonts w:ascii="Arial" w:cs="Arial" w:eastAsia="Arial" w:hAnsi="Arial"/>
                <w:sz w:val="13"/>
                <w:szCs w:val="13"/>
                <w:b w:val="1"/>
                <w:bCs w:val="1"/>
                <w:color w:val="auto"/>
              </w:rPr>
              <w:t>Non-Equity</w:t>
            </w:r>
          </w:p>
        </w:tc>
        <w:tc>
          <w:tcPr>
            <w:tcW w:w="1380" w:type="dxa"/>
            <w:vAlign w:val="bottom"/>
          </w:tcPr>
          <w:p>
            <w:pPr>
              <w:jc w:val="right"/>
              <w:ind w:right="191"/>
              <w:spacing w:after="0" w:line="135" w:lineRule="exact"/>
              <w:rPr>
                <w:sz w:val="20"/>
                <w:szCs w:val="20"/>
                <w:color w:val="auto"/>
              </w:rPr>
            </w:pPr>
            <w:r>
              <w:rPr>
                <w:rFonts w:ascii="Arial" w:cs="Arial" w:eastAsia="Arial" w:hAnsi="Arial"/>
                <w:sz w:val="13"/>
                <w:szCs w:val="13"/>
                <w:b w:val="1"/>
                <w:bCs w:val="1"/>
                <w:color w:val="auto"/>
              </w:rPr>
              <w:t>Deferred</w:t>
            </w:r>
          </w:p>
        </w:tc>
        <w:tc>
          <w:tcPr>
            <w:tcW w:w="1240" w:type="dxa"/>
            <w:vAlign w:val="bottom"/>
          </w:tcPr>
          <w:p>
            <w:pPr>
              <w:jc w:val="right"/>
              <w:ind w:right="30"/>
              <w:spacing w:after="0" w:line="135" w:lineRule="exact"/>
              <w:rPr>
                <w:sz w:val="20"/>
                <w:szCs w:val="20"/>
                <w:color w:val="auto"/>
              </w:rPr>
            </w:pPr>
            <w:r>
              <w:rPr>
                <w:rFonts w:ascii="Arial" w:cs="Arial" w:eastAsia="Arial" w:hAnsi="Arial"/>
                <w:sz w:val="13"/>
                <w:szCs w:val="13"/>
                <w:b w:val="1"/>
                <w:bCs w:val="1"/>
                <w:color w:val="auto"/>
              </w:rPr>
              <w:t>All Other</w:t>
            </w:r>
          </w:p>
        </w:tc>
        <w:tc>
          <w:tcPr>
            <w:tcW w:w="860" w:type="dxa"/>
            <w:vAlign w:val="bottom"/>
            <w:tcBorders>
              <w:right w:val="single" w:sz="8" w:color="auto"/>
            </w:tcBorders>
          </w:tcPr>
          <w:p>
            <w:pPr>
              <w:spacing w:after="0"/>
              <w:rPr>
                <w:sz w:val="11"/>
                <w:szCs w:val="11"/>
                <w:color w:val="auto"/>
              </w:rPr>
            </w:pPr>
          </w:p>
        </w:tc>
      </w:tr>
      <w:tr>
        <w:trPr>
          <w:trHeight w:val="135"/>
        </w:trPr>
        <w:tc>
          <w:tcPr>
            <w:tcW w:w="2840" w:type="dxa"/>
            <w:vAlign w:val="bottom"/>
            <w:tcBorders>
              <w:left w:val="single" w:sz="8" w:color="auto"/>
            </w:tcBorders>
          </w:tcPr>
          <w:p>
            <w:pPr>
              <w:spacing w:after="0"/>
              <w:rPr>
                <w:sz w:val="11"/>
                <w:szCs w:val="11"/>
                <w:color w:val="auto"/>
              </w:rPr>
            </w:pPr>
          </w:p>
        </w:tc>
        <w:tc>
          <w:tcPr>
            <w:tcW w:w="1780" w:type="dxa"/>
            <w:vAlign w:val="bottom"/>
          </w:tcPr>
          <w:p>
            <w:pPr>
              <w:jc w:val="right"/>
              <w:ind w:right="150"/>
              <w:spacing w:after="0" w:line="135" w:lineRule="exact"/>
              <w:rPr>
                <w:sz w:val="20"/>
                <w:szCs w:val="20"/>
                <w:color w:val="auto"/>
              </w:rPr>
            </w:pPr>
            <w:r>
              <w:rPr>
                <w:rFonts w:ascii="Arial" w:cs="Arial" w:eastAsia="Arial" w:hAnsi="Arial"/>
                <w:sz w:val="13"/>
                <w:szCs w:val="13"/>
                <w:b w:val="1"/>
                <w:bCs w:val="1"/>
                <w:color w:val="auto"/>
              </w:rPr>
              <w:t>or Paid</w:t>
            </w:r>
          </w:p>
        </w:tc>
        <w:tc>
          <w:tcPr>
            <w:tcW w:w="1080" w:type="dxa"/>
            <w:vAlign w:val="bottom"/>
          </w:tcPr>
          <w:p>
            <w:pPr>
              <w:jc w:val="right"/>
              <w:ind w:right="90"/>
              <w:spacing w:after="0" w:line="135" w:lineRule="exact"/>
              <w:rPr>
                <w:sz w:val="20"/>
                <w:szCs w:val="20"/>
                <w:color w:val="auto"/>
              </w:rPr>
            </w:pPr>
            <w:r>
              <w:rPr>
                <w:rFonts w:ascii="Arial" w:cs="Arial" w:eastAsia="Arial" w:hAnsi="Arial"/>
                <w:sz w:val="13"/>
                <w:szCs w:val="13"/>
                <w:b w:val="1"/>
                <w:bCs w:val="1"/>
                <w:color w:val="auto"/>
              </w:rPr>
              <w:t>or Paid</w:t>
            </w:r>
          </w:p>
        </w:tc>
        <w:tc>
          <w:tcPr>
            <w:tcW w:w="880" w:type="dxa"/>
            <w:vAlign w:val="bottom"/>
          </w:tcPr>
          <w:p>
            <w:pPr>
              <w:jc w:val="right"/>
              <w:ind w:right="189"/>
              <w:spacing w:after="0" w:line="135" w:lineRule="exact"/>
              <w:rPr>
                <w:sz w:val="20"/>
                <w:szCs w:val="20"/>
                <w:color w:val="auto"/>
              </w:rPr>
            </w:pPr>
            <w:r>
              <w:rPr>
                <w:rFonts w:ascii="Arial" w:cs="Arial" w:eastAsia="Arial" w:hAnsi="Arial"/>
                <w:sz w:val="13"/>
                <w:szCs w:val="13"/>
                <w:b w:val="1"/>
                <w:bCs w:val="1"/>
                <w:color w:val="auto"/>
              </w:rPr>
              <w:t>Option</w:t>
            </w:r>
          </w:p>
        </w:tc>
        <w:tc>
          <w:tcPr>
            <w:tcW w:w="1380" w:type="dxa"/>
            <w:vAlign w:val="bottom"/>
          </w:tcPr>
          <w:p>
            <w:pPr>
              <w:jc w:val="right"/>
              <w:ind w:right="190"/>
              <w:spacing w:after="0" w:line="135" w:lineRule="exact"/>
              <w:rPr>
                <w:sz w:val="20"/>
                <w:szCs w:val="20"/>
                <w:color w:val="auto"/>
              </w:rPr>
            </w:pPr>
            <w:r>
              <w:rPr>
                <w:rFonts w:ascii="Arial" w:cs="Arial" w:eastAsia="Arial" w:hAnsi="Arial"/>
                <w:sz w:val="13"/>
                <w:szCs w:val="13"/>
                <w:b w:val="1"/>
                <w:bCs w:val="1"/>
                <w:color w:val="auto"/>
              </w:rPr>
              <w:t>Incentive Plan</w:t>
            </w:r>
          </w:p>
        </w:tc>
        <w:tc>
          <w:tcPr>
            <w:tcW w:w="1380" w:type="dxa"/>
            <w:vAlign w:val="bottom"/>
          </w:tcPr>
          <w:p>
            <w:pPr>
              <w:jc w:val="right"/>
              <w:ind w:right="191"/>
              <w:spacing w:after="0" w:line="135" w:lineRule="exact"/>
              <w:rPr>
                <w:sz w:val="20"/>
                <w:szCs w:val="20"/>
                <w:color w:val="auto"/>
              </w:rPr>
            </w:pPr>
            <w:r>
              <w:rPr>
                <w:rFonts w:ascii="Arial" w:cs="Arial" w:eastAsia="Arial" w:hAnsi="Arial"/>
                <w:sz w:val="13"/>
                <w:szCs w:val="13"/>
                <w:b w:val="1"/>
                <w:bCs w:val="1"/>
                <w:color w:val="auto"/>
              </w:rPr>
              <w:t>Compensation</w:t>
            </w:r>
          </w:p>
        </w:tc>
        <w:tc>
          <w:tcPr>
            <w:tcW w:w="1240" w:type="dxa"/>
            <w:vAlign w:val="bottom"/>
          </w:tcPr>
          <w:p>
            <w:pPr>
              <w:jc w:val="right"/>
              <w:ind w:right="30"/>
              <w:spacing w:after="0" w:line="135" w:lineRule="exact"/>
              <w:rPr>
                <w:sz w:val="20"/>
                <w:szCs w:val="20"/>
                <w:color w:val="auto"/>
              </w:rPr>
            </w:pPr>
            <w:r>
              <w:rPr>
                <w:rFonts w:ascii="Arial" w:cs="Arial" w:eastAsia="Arial" w:hAnsi="Arial"/>
                <w:sz w:val="13"/>
                <w:szCs w:val="13"/>
                <w:b w:val="1"/>
                <w:bCs w:val="1"/>
                <w:color w:val="auto"/>
              </w:rPr>
              <w:t>Compensation</w:t>
            </w:r>
          </w:p>
        </w:tc>
        <w:tc>
          <w:tcPr>
            <w:tcW w:w="860" w:type="dxa"/>
            <w:vAlign w:val="bottom"/>
            <w:tcBorders>
              <w:right w:val="single" w:sz="8" w:color="auto"/>
            </w:tcBorders>
          </w:tcPr>
          <w:p>
            <w:pPr>
              <w:spacing w:after="0"/>
              <w:rPr>
                <w:sz w:val="11"/>
                <w:szCs w:val="11"/>
                <w:color w:val="auto"/>
              </w:rPr>
            </w:pPr>
          </w:p>
        </w:tc>
      </w:tr>
      <w:tr>
        <w:trPr>
          <w:trHeight w:val="157"/>
        </w:trPr>
        <w:tc>
          <w:tcPr>
            <w:tcW w:w="2840" w:type="dxa"/>
            <w:vAlign w:val="bottom"/>
            <w:tcBorders>
              <w:left w:val="single" w:sz="8" w:color="auto"/>
              <w:bottom w:val="single" w:sz="8" w:color="auto"/>
            </w:tcBorders>
          </w:tcPr>
          <w:p>
            <w:pPr>
              <w:ind w:left="1600"/>
              <w:spacing w:after="0"/>
              <w:rPr>
                <w:sz w:val="20"/>
                <w:szCs w:val="20"/>
                <w:color w:val="auto"/>
              </w:rPr>
            </w:pPr>
            <w:r>
              <w:rPr>
                <w:rFonts w:ascii="Arial" w:cs="Arial" w:eastAsia="Arial" w:hAnsi="Arial"/>
                <w:sz w:val="13"/>
                <w:szCs w:val="13"/>
                <w:b w:val="1"/>
                <w:bCs w:val="1"/>
                <w:color w:val="auto"/>
              </w:rPr>
              <w:t>Name</w:t>
            </w: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in Cash (1)</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in Stock (2)</w:t>
            </w: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Awards</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Compensation</w:t>
            </w:r>
          </w:p>
        </w:tc>
        <w:tc>
          <w:tcPr>
            <w:tcW w:w="138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Earnings</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(3)</w:t>
            </w:r>
          </w:p>
        </w:tc>
        <w:tc>
          <w:tcPr>
            <w:tcW w:w="860" w:type="dxa"/>
            <w:vAlign w:val="bottom"/>
            <w:tcBorders>
              <w:bottom w:val="single" w:sz="8" w:color="auto"/>
              <w:right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Total</w:t>
            </w:r>
          </w:p>
        </w:tc>
      </w:tr>
      <w:tr>
        <w:trPr>
          <w:trHeight w:val="156"/>
        </w:trPr>
        <w:tc>
          <w:tcPr>
            <w:tcW w:w="2840" w:type="dxa"/>
            <w:vAlign w:val="bottom"/>
            <w:tcBorders>
              <w:left w:val="single" w:sz="8" w:color="auto"/>
            </w:tcBorders>
            <w:shd w:val="clear" w:color="auto" w:fill="DDE6F2"/>
          </w:tcPr>
          <w:p>
            <w:pPr>
              <w:ind w:left="160"/>
              <w:spacing w:after="0" w:line="155" w:lineRule="exact"/>
              <w:rPr>
                <w:sz w:val="20"/>
                <w:szCs w:val="20"/>
                <w:color w:val="auto"/>
              </w:rPr>
            </w:pPr>
            <w:r>
              <w:rPr>
                <w:rFonts w:ascii="Arial" w:cs="Arial" w:eastAsia="Arial" w:hAnsi="Arial"/>
                <w:sz w:val="14"/>
                <w:szCs w:val="14"/>
                <w:color w:val="auto"/>
              </w:rPr>
              <w:t>Joseph R. Cleveland</w:t>
            </w:r>
          </w:p>
        </w:tc>
        <w:tc>
          <w:tcPr>
            <w:tcW w:w="1780" w:type="dxa"/>
            <w:vAlign w:val="bottom"/>
            <w:shd w:val="clear" w:color="auto" w:fill="DDE6F2"/>
          </w:tcPr>
          <w:p>
            <w:pPr>
              <w:jc w:val="right"/>
              <w:ind w:right="150"/>
              <w:spacing w:after="0" w:line="155" w:lineRule="exact"/>
              <w:rPr>
                <w:sz w:val="20"/>
                <w:szCs w:val="20"/>
                <w:color w:val="auto"/>
              </w:rPr>
            </w:pPr>
            <w:r>
              <w:rPr>
                <w:rFonts w:ascii="Arial" w:cs="Arial" w:eastAsia="Arial" w:hAnsi="Arial"/>
                <w:sz w:val="14"/>
                <w:szCs w:val="14"/>
                <w:color w:val="auto"/>
              </w:rPr>
              <w:t>$110,000</w:t>
            </w:r>
          </w:p>
        </w:tc>
        <w:tc>
          <w:tcPr>
            <w:tcW w:w="1080" w:type="dxa"/>
            <w:vAlign w:val="bottom"/>
            <w:shd w:val="clear" w:color="auto" w:fill="DDE6F2"/>
          </w:tcPr>
          <w:p>
            <w:pPr>
              <w:jc w:val="right"/>
              <w:ind w:right="90"/>
              <w:spacing w:after="0" w:line="155" w:lineRule="exact"/>
              <w:rPr>
                <w:sz w:val="20"/>
                <w:szCs w:val="20"/>
                <w:color w:val="auto"/>
              </w:rPr>
            </w:pPr>
            <w:r>
              <w:rPr>
                <w:rFonts w:ascii="Arial" w:cs="Arial" w:eastAsia="Arial" w:hAnsi="Arial"/>
                <w:sz w:val="14"/>
                <w:szCs w:val="14"/>
                <w:color w:val="auto"/>
              </w:rPr>
              <w:t>$140,010</w:t>
            </w:r>
          </w:p>
        </w:tc>
        <w:tc>
          <w:tcPr>
            <w:tcW w:w="880" w:type="dxa"/>
            <w:vAlign w:val="bottom"/>
            <w:shd w:val="clear" w:color="auto" w:fill="DDE6F2"/>
          </w:tcPr>
          <w:p>
            <w:pPr>
              <w:jc w:val="right"/>
              <w:ind w:right="189"/>
              <w:spacing w:after="0" w:line="155" w:lineRule="exact"/>
              <w:rPr>
                <w:sz w:val="20"/>
                <w:szCs w:val="20"/>
                <w:color w:val="auto"/>
              </w:rPr>
            </w:pPr>
            <w:r>
              <w:rPr>
                <w:rFonts w:ascii="Arial" w:cs="Arial" w:eastAsia="Arial" w:hAnsi="Arial"/>
                <w:sz w:val="14"/>
                <w:szCs w:val="14"/>
                <w:color w:val="auto"/>
              </w:rPr>
              <w:t>$-</w:t>
            </w:r>
          </w:p>
        </w:tc>
        <w:tc>
          <w:tcPr>
            <w:tcW w:w="1380" w:type="dxa"/>
            <w:vAlign w:val="bottom"/>
            <w:shd w:val="clear" w:color="auto" w:fill="DDE6F2"/>
          </w:tcPr>
          <w:p>
            <w:pPr>
              <w:jc w:val="right"/>
              <w:ind w:right="190"/>
              <w:spacing w:after="0" w:line="155" w:lineRule="exact"/>
              <w:rPr>
                <w:sz w:val="20"/>
                <w:szCs w:val="20"/>
                <w:color w:val="auto"/>
              </w:rPr>
            </w:pPr>
            <w:r>
              <w:rPr>
                <w:rFonts w:ascii="Arial" w:cs="Arial" w:eastAsia="Arial" w:hAnsi="Arial"/>
                <w:sz w:val="14"/>
                <w:szCs w:val="14"/>
                <w:color w:val="auto"/>
              </w:rPr>
              <w:t>$-</w:t>
            </w:r>
          </w:p>
        </w:tc>
        <w:tc>
          <w:tcPr>
            <w:tcW w:w="1380" w:type="dxa"/>
            <w:vAlign w:val="bottom"/>
            <w:shd w:val="clear" w:color="auto" w:fill="DDE6F2"/>
          </w:tcPr>
          <w:p>
            <w:pPr>
              <w:jc w:val="right"/>
              <w:ind w:right="191"/>
              <w:spacing w:after="0" w:line="155" w:lineRule="exact"/>
              <w:rPr>
                <w:sz w:val="20"/>
                <w:szCs w:val="20"/>
                <w:color w:val="auto"/>
              </w:rPr>
            </w:pPr>
            <w:r>
              <w:rPr>
                <w:rFonts w:ascii="Arial" w:cs="Arial" w:eastAsia="Arial" w:hAnsi="Arial"/>
                <w:sz w:val="14"/>
                <w:szCs w:val="14"/>
                <w:color w:val="auto"/>
              </w:rPr>
              <w:t>$-</w:t>
            </w:r>
          </w:p>
        </w:tc>
        <w:tc>
          <w:tcPr>
            <w:tcW w:w="1240" w:type="dxa"/>
            <w:vAlign w:val="bottom"/>
            <w:shd w:val="clear" w:color="auto" w:fill="DDE6F2"/>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DDE6F2"/>
          </w:tcPr>
          <w:p>
            <w:pPr>
              <w:jc w:val="right"/>
              <w:ind w:right="89"/>
              <w:spacing w:after="0" w:line="155" w:lineRule="exact"/>
              <w:rPr>
                <w:sz w:val="20"/>
                <w:szCs w:val="20"/>
                <w:color w:val="auto"/>
              </w:rPr>
            </w:pPr>
            <w:r>
              <w:rPr>
                <w:rFonts w:ascii="Arial" w:cs="Arial" w:eastAsia="Arial" w:hAnsi="Arial"/>
                <w:sz w:val="14"/>
                <w:szCs w:val="14"/>
                <w:color w:val="auto"/>
              </w:rPr>
              <w:t>$250,010</w:t>
            </w:r>
          </w:p>
        </w:tc>
      </w:tr>
      <w:tr>
        <w:trPr>
          <w:trHeight w:val="162"/>
        </w:trPr>
        <w:tc>
          <w:tcPr>
            <w:tcW w:w="284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Kathleen B. Cooper</w:t>
            </w:r>
          </w:p>
        </w:tc>
        <w:tc>
          <w:tcPr>
            <w:tcW w:w="1780" w:type="dxa"/>
            <w:vAlign w:val="bottom"/>
          </w:tcPr>
          <w:p>
            <w:pPr>
              <w:jc w:val="right"/>
              <w:ind w:right="150"/>
              <w:spacing w:after="0"/>
              <w:rPr>
                <w:sz w:val="20"/>
                <w:szCs w:val="20"/>
                <w:color w:val="auto"/>
              </w:rPr>
            </w:pPr>
            <w:r>
              <w:rPr>
                <w:rFonts w:ascii="Arial" w:cs="Arial" w:eastAsia="Arial" w:hAnsi="Arial"/>
                <w:sz w:val="14"/>
                <w:szCs w:val="14"/>
                <w:color w:val="auto"/>
              </w:rPr>
              <w:t>130,000</w:t>
            </w: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140,010</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18,218</w:t>
            </w:r>
          </w:p>
        </w:tc>
        <w:tc>
          <w:tcPr>
            <w:tcW w:w="860" w:type="dxa"/>
            <w:vAlign w:val="bottom"/>
            <w:tcBorders>
              <w:right w:val="single" w:sz="8" w:color="auto"/>
            </w:tcBorders>
          </w:tcPr>
          <w:p>
            <w:pPr>
              <w:jc w:val="right"/>
              <w:ind w:right="89"/>
              <w:spacing w:after="0"/>
              <w:rPr>
                <w:sz w:val="20"/>
                <w:szCs w:val="20"/>
                <w:color w:val="auto"/>
              </w:rPr>
            </w:pPr>
            <w:r>
              <w:rPr>
                <w:rFonts w:ascii="Arial" w:cs="Arial" w:eastAsia="Arial" w:hAnsi="Arial"/>
                <w:sz w:val="14"/>
                <w:szCs w:val="14"/>
                <w:color w:val="auto"/>
              </w:rPr>
              <w:t>288,228</w:t>
            </w:r>
          </w:p>
        </w:tc>
      </w:tr>
      <w:tr>
        <w:trPr>
          <w:trHeight w:val="162"/>
        </w:trPr>
        <w:tc>
          <w:tcPr>
            <w:tcW w:w="284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4"/>
                <w:szCs w:val="14"/>
                <w:color w:val="auto"/>
              </w:rPr>
              <w:t>John A. Hagg</w:t>
            </w:r>
          </w:p>
        </w:tc>
        <w:tc>
          <w:tcPr>
            <w:tcW w:w="1780" w:type="dxa"/>
            <w:vAlign w:val="bottom"/>
            <w:shd w:val="clear" w:color="auto" w:fill="DDE6F2"/>
          </w:tcPr>
          <w:p>
            <w:pPr>
              <w:jc w:val="right"/>
              <w:ind w:right="150"/>
              <w:spacing w:after="0"/>
              <w:rPr>
                <w:sz w:val="20"/>
                <w:szCs w:val="20"/>
                <w:color w:val="auto"/>
              </w:rPr>
            </w:pPr>
            <w:r>
              <w:rPr>
                <w:rFonts w:ascii="Arial" w:cs="Arial" w:eastAsia="Arial" w:hAnsi="Arial"/>
                <w:sz w:val="14"/>
                <w:szCs w:val="14"/>
                <w:color w:val="auto"/>
              </w:rPr>
              <w:t>110,000</w:t>
            </w:r>
          </w:p>
        </w:tc>
        <w:tc>
          <w:tcPr>
            <w:tcW w:w="1080" w:type="dxa"/>
            <w:vAlign w:val="bottom"/>
            <w:shd w:val="clear" w:color="auto" w:fill="DDE6F2"/>
          </w:tcPr>
          <w:p>
            <w:pPr>
              <w:jc w:val="right"/>
              <w:ind w:right="90"/>
              <w:spacing w:after="0"/>
              <w:rPr>
                <w:sz w:val="20"/>
                <w:szCs w:val="20"/>
                <w:color w:val="auto"/>
              </w:rPr>
            </w:pPr>
            <w:r>
              <w:rPr>
                <w:rFonts w:ascii="Arial" w:cs="Arial" w:eastAsia="Arial" w:hAnsi="Arial"/>
                <w:sz w:val="14"/>
                <w:szCs w:val="14"/>
                <w:color w:val="auto"/>
              </w:rPr>
              <w:t>140,010</w:t>
            </w:r>
          </w:p>
        </w:tc>
        <w:tc>
          <w:tcPr>
            <w:tcW w:w="880" w:type="dxa"/>
            <w:vAlign w:val="bottom"/>
            <w:shd w:val="clear" w:color="auto" w:fill="DDE6F2"/>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shd w:val="clear" w:color="auto" w:fill="DDE6F2"/>
          </w:tcPr>
          <w:p>
            <w:pPr>
              <w:jc w:val="right"/>
              <w:ind w:right="190"/>
              <w:spacing w:after="0"/>
              <w:rPr>
                <w:sz w:val="20"/>
                <w:szCs w:val="20"/>
                <w:color w:val="auto"/>
              </w:rPr>
            </w:pPr>
            <w:r>
              <w:rPr>
                <w:rFonts w:ascii="Arial" w:cs="Arial" w:eastAsia="Arial" w:hAnsi="Arial"/>
                <w:sz w:val="14"/>
                <w:szCs w:val="14"/>
                <w:color w:val="auto"/>
              </w:rPr>
              <w:t>-</w:t>
            </w:r>
          </w:p>
        </w:tc>
        <w:tc>
          <w:tcPr>
            <w:tcW w:w="1380" w:type="dxa"/>
            <w:vAlign w:val="bottom"/>
            <w:shd w:val="clear" w:color="auto" w:fill="DDE6F2"/>
          </w:tcPr>
          <w:p>
            <w:pPr>
              <w:jc w:val="right"/>
              <w:ind w:right="191"/>
              <w:spacing w:after="0"/>
              <w:rPr>
                <w:sz w:val="20"/>
                <w:szCs w:val="20"/>
                <w:color w:val="auto"/>
              </w:rPr>
            </w:pPr>
            <w:r>
              <w:rPr>
                <w:rFonts w:ascii="Arial" w:cs="Arial" w:eastAsia="Arial" w:hAnsi="Arial"/>
                <w:sz w:val="14"/>
                <w:szCs w:val="14"/>
                <w:color w:val="auto"/>
              </w:rPr>
              <w:t>-</w:t>
            </w:r>
          </w:p>
        </w:tc>
        <w:tc>
          <w:tcPr>
            <w:tcW w:w="1240" w:type="dxa"/>
            <w:vAlign w:val="bottom"/>
            <w:shd w:val="clear" w:color="auto" w:fill="DDE6F2"/>
          </w:tcPr>
          <w:p>
            <w:pPr>
              <w:jc w:val="right"/>
              <w:ind w:right="30"/>
              <w:spacing w:after="0"/>
              <w:rPr>
                <w:sz w:val="20"/>
                <w:szCs w:val="20"/>
                <w:color w:val="auto"/>
              </w:rPr>
            </w:pPr>
            <w:r>
              <w:rPr>
                <w:rFonts w:ascii="Arial" w:cs="Arial" w:eastAsia="Arial" w:hAnsi="Arial"/>
                <w:sz w:val="14"/>
                <w:szCs w:val="14"/>
                <w:color w:val="auto"/>
              </w:rPr>
              <w:t>5,000</w:t>
            </w:r>
          </w:p>
        </w:tc>
        <w:tc>
          <w:tcPr>
            <w:tcW w:w="860" w:type="dxa"/>
            <w:vAlign w:val="bottom"/>
            <w:tcBorders>
              <w:right w:val="single" w:sz="8" w:color="auto"/>
            </w:tcBorders>
            <w:shd w:val="clear" w:color="auto" w:fill="DDE6F2"/>
          </w:tcPr>
          <w:p>
            <w:pPr>
              <w:jc w:val="right"/>
              <w:ind w:right="89"/>
              <w:spacing w:after="0"/>
              <w:rPr>
                <w:sz w:val="20"/>
                <w:szCs w:val="20"/>
                <w:color w:val="auto"/>
              </w:rPr>
            </w:pPr>
            <w:r>
              <w:rPr>
                <w:rFonts w:ascii="Arial" w:cs="Arial" w:eastAsia="Arial" w:hAnsi="Arial"/>
                <w:sz w:val="14"/>
                <w:szCs w:val="14"/>
                <w:color w:val="auto"/>
              </w:rPr>
              <w:t>255,010</w:t>
            </w:r>
          </w:p>
        </w:tc>
      </w:tr>
      <w:tr>
        <w:trPr>
          <w:trHeight w:val="162"/>
        </w:trPr>
        <w:tc>
          <w:tcPr>
            <w:tcW w:w="284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Juanita H. Hinshaw</w:t>
            </w:r>
          </w:p>
        </w:tc>
        <w:tc>
          <w:tcPr>
            <w:tcW w:w="1780" w:type="dxa"/>
            <w:vAlign w:val="bottom"/>
          </w:tcPr>
          <w:p>
            <w:pPr>
              <w:jc w:val="right"/>
              <w:ind w:right="150"/>
              <w:spacing w:after="0"/>
              <w:rPr>
                <w:sz w:val="20"/>
                <w:szCs w:val="20"/>
                <w:color w:val="auto"/>
              </w:rPr>
            </w:pPr>
            <w:r>
              <w:rPr>
                <w:rFonts w:ascii="Arial" w:cs="Arial" w:eastAsia="Arial" w:hAnsi="Arial"/>
                <w:sz w:val="14"/>
                <w:szCs w:val="14"/>
                <w:color w:val="auto"/>
              </w:rPr>
              <w:t>130,000</w:t>
            </w: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140,010</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22,718</w:t>
            </w:r>
          </w:p>
        </w:tc>
        <w:tc>
          <w:tcPr>
            <w:tcW w:w="860" w:type="dxa"/>
            <w:vAlign w:val="bottom"/>
            <w:tcBorders>
              <w:right w:val="single" w:sz="8" w:color="auto"/>
            </w:tcBorders>
          </w:tcPr>
          <w:p>
            <w:pPr>
              <w:jc w:val="right"/>
              <w:ind w:right="89"/>
              <w:spacing w:after="0"/>
              <w:rPr>
                <w:sz w:val="20"/>
                <w:szCs w:val="20"/>
                <w:color w:val="auto"/>
              </w:rPr>
            </w:pPr>
            <w:r>
              <w:rPr>
                <w:rFonts w:ascii="Arial" w:cs="Arial" w:eastAsia="Arial" w:hAnsi="Arial"/>
                <w:sz w:val="14"/>
                <w:szCs w:val="14"/>
                <w:color w:val="auto"/>
              </w:rPr>
              <w:t>292,728</w:t>
            </w:r>
          </w:p>
        </w:tc>
      </w:tr>
      <w:tr>
        <w:trPr>
          <w:trHeight w:val="162"/>
        </w:trPr>
        <w:tc>
          <w:tcPr>
            <w:tcW w:w="284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4"/>
                <w:szCs w:val="14"/>
                <w:color w:val="auto"/>
              </w:rPr>
              <w:t>Ralph Izzo</w:t>
            </w:r>
          </w:p>
        </w:tc>
        <w:tc>
          <w:tcPr>
            <w:tcW w:w="1780" w:type="dxa"/>
            <w:vAlign w:val="bottom"/>
            <w:shd w:val="clear" w:color="auto" w:fill="DDE6F2"/>
          </w:tcPr>
          <w:p>
            <w:pPr>
              <w:jc w:val="right"/>
              <w:ind w:right="150"/>
              <w:spacing w:after="0"/>
              <w:rPr>
                <w:sz w:val="20"/>
                <w:szCs w:val="20"/>
                <w:color w:val="auto"/>
              </w:rPr>
            </w:pPr>
            <w:r>
              <w:rPr>
                <w:rFonts w:ascii="Arial" w:cs="Arial" w:eastAsia="Arial" w:hAnsi="Arial"/>
                <w:sz w:val="14"/>
                <w:szCs w:val="14"/>
                <w:color w:val="auto"/>
              </w:rPr>
              <w:t>110,000</w:t>
            </w:r>
          </w:p>
        </w:tc>
        <w:tc>
          <w:tcPr>
            <w:tcW w:w="1080" w:type="dxa"/>
            <w:vAlign w:val="bottom"/>
            <w:shd w:val="clear" w:color="auto" w:fill="DDE6F2"/>
          </w:tcPr>
          <w:p>
            <w:pPr>
              <w:jc w:val="right"/>
              <w:ind w:right="90"/>
              <w:spacing w:after="0"/>
              <w:rPr>
                <w:sz w:val="20"/>
                <w:szCs w:val="20"/>
                <w:color w:val="auto"/>
              </w:rPr>
            </w:pPr>
            <w:r>
              <w:rPr>
                <w:rFonts w:ascii="Arial" w:cs="Arial" w:eastAsia="Arial" w:hAnsi="Arial"/>
                <w:sz w:val="14"/>
                <w:szCs w:val="14"/>
                <w:color w:val="auto"/>
              </w:rPr>
              <w:t>140,010</w:t>
            </w:r>
          </w:p>
        </w:tc>
        <w:tc>
          <w:tcPr>
            <w:tcW w:w="880" w:type="dxa"/>
            <w:vAlign w:val="bottom"/>
            <w:shd w:val="clear" w:color="auto" w:fill="DDE6F2"/>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shd w:val="clear" w:color="auto" w:fill="DDE6F2"/>
          </w:tcPr>
          <w:p>
            <w:pPr>
              <w:jc w:val="right"/>
              <w:ind w:right="190"/>
              <w:spacing w:after="0"/>
              <w:rPr>
                <w:sz w:val="20"/>
                <w:szCs w:val="20"/>
                <w:color w:val="auto"/>
              </w:rPr>
            </w:pPr>
            <w:r>
              <w:rPr>
                <w:rFonts w:ascii="Arial" w:cs="Arial" w:eastAsia="Arial" w:hAnsi="Arial"/>
                <w:sz w:val="14"/>
                <w:szCs w:val="14"/>
                <w:color w:val="auto"/>
              </w:rPr>
              <w:t>-</w:t>
            </w:r>
          </w:p>
        </w:tc>
        <w:tc>
          <w:tcPr>
            <w:tcW w:w="1380" w:type="dxa"/>
            <w:vAlign w:val="bottom"/>
            <w:shd w:val="clear" w:color="auto" w:fill="DDE6F2"/>
          </w:tcPr>
          <w:p>
            <w:pPr>
              <w:jc w:val="right"/>
              <w:ind w:right="191"/>
              <w:spacing w:after="0"/>
              <w:rPr>
                <w:sz w:val="20"/>
                <w:szCs w:val="20"/>
                <w:color w:val="auto"/>
              </w:rPr>
            </w:pPr>
            <w:r>
              <w:rPr>
                <w:rFonts w:ascii="Arial" w:cs="Arial" w:eastAsia="Arial" w:hAnsi="Arial"/>
                <w:sz w:val="14"/>
                <w:szCs w:val="14"/>
                <w:color w:val="auto"/>
              </w:rPr>
              <w:t>-</w:t>
            </w:r>
          </w:p>
        </w:tc>
        <w:tc>
          <w:tcPr>
            <w:tcW w:w="1240" w:type="dxa"/>
            <w:vAlign w:val="bottom"/>
            <w:shd w:val="clear" w:color="auto" w:fill="DDE6F2"/>
          </w:tcPr>
          <w:p>
            <w:pPr>
              <w:jc w:val="right"/>
              <w:ind w:right="30"/>
              <w:spacing w:after="0"/>
              <w:rPr>
                <w:sz w:val="20"/>
                <w:szCs w:val="20"/>
                <w:color w:val="auto"/>
              </w:rPr>
            </w:pPr>
            <w:r>
              <w:rPr>
                <w:rFonts w:ascii="Arial" w:cs="Arial" w:eastAsia="Arial" w:hAnsi="Arial"/>
                <w:sz w:val="14"/>
                <w:szCs w:val="14"/>
                <w:color w:val="auto"/>
              </w:rPr>
              <w:t>6,000</w:t>
            </w:r>
          </w:p>
        </w:tc>
        <w:tc>
          <w:tcPr>
            <w:tcW w:w="860" w:type="dxa"/>
            <w:vAlign w:val="bottom"/>
            <w:tcBorders>
              <w:right w:val="single" w:sz="8" w:color="auto"/>
            </w:tcBorders>
            <w:shd w:val="clear" w:color="auto" w:fill="DDE6F2"/>
          </w:tcPr>
          <w:p>
            <w:pPr>
              <w:jc w:val="right"/>
              <w:ind w:right="89"/>
              <w:spacing w:after="0"/>
              <w:rPr>
                <w:sz w:val="20"/>
                <w:szCs w:val="20"/>
                <w:color w:val="auto"/>
              </w:rPr>
            </w:pPr>
            <w:r>
              <w:rPr>
                <w:rFonts w:ascii="Arial" w:cs="Arial" w:eastAsia="Arial" w:hAnsi="Arial"/>
                <w:sz w:val="14"/>
                <w:szCs w:val="14"/>
                <w:color w:val="auto"/>
              </w:rPr>
              <w:t>256,010</w:t>
            </w:r>
          </w:p>
        </w:tc>
      </w:tr>
      <w:tr>
        <w:trPr>
          <w:trHeight w:val="162"/>
        </w:trPr>
        <w:tc>
          <w:tcPr>
            <w:tcW w:w="284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Frank T. MacInnis</w:t>
            </w:r>
          </w:p>
        </w:tc>
        <w:tc>
          <w:tcPr>
            <w:tcW w:w="1780" w:type="dxa"/>
            <w:vAlign w:val="bottom"/>
          </w:tcPr>
          <w:p>
            <w:pPr>
              <w:jc w:val="right"/>
              <w:ind w:right="150"/>
              <w:spacing w:after="0"/>
              <w:rPr>
                <w:sz w:val="20"/>
                <w:szCs w:val="20"/>
                <w:color w:val="auto"/>
              </w:rPr>
            </w:pPr>
            <w:r>
              <w:rPr>
                <w:rFonts w:ascii="Arial" w:cs="Arial" w:eastAsia="Arial" w:hAnsi="Arial"/>
                <w:sz w:val="14"/>
                <w:szCs w:val="14"/>
                <w:color w:val="auto"/>
              </w:rPr>
              <w:t>320,000</w:t>
            </w: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300,041</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20,000</w:t>
            </w:r>
          </w:p>
        </w:tc>
        <w:tc>
          <w:tcPr>
            <w:tcW w:w="860" w:type="dxa"/>
            <w:vAlign w:val="bottom"/>
            <w:tcBorders>
              <w:right w:val="single" w:sz="8" w:color="auto"/>
            </w:tcBorders>
          </w:tcPr>
          <w:p>
            <w:pPr>
              <w:jc w:val="right"/>
              <w:ind w:right="89"/>
              <w:spacing w:after="0"/>
              <w:rPr>
                <w:sz w:val="20"/>
                <w:szCs w:val="20"/>
                <w:color w:val="auto"/>
              </w:rPr>
            </w:pPr>
            <w:r>
              <w:rPr>
                <w:rFonts w:ascii="Arial" w:cs="Arial" w:eastAsia="Arial" w:hAnsi="Arial"/>
                <w:sz w:val="14"/>
                <w:szCs w:val="14"/>
                <w:color w:val="auto"/>
              </w:rPr>
              <w:t>640,041</w:t>
            </w:r>
          </w:p>
        </w:tc>
      </w:tr>
      <w:tr>
        <w:trPr>
          <w:trHeight w:val="162"/>
        </w:trPr>
        <w:tc>
          <w:tcPr>
            <w:tcW w:w="284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4"/>
                <w:szCs w:val="14"/>
                <w:color w:val="auto"/>
              </w:rPr>
              <w:t>Eric W. Mandelblatt (4)</w:t>
            </w:r>
          </w:p>
        </w:tc>
        <w:tc>
          <w:tcPr>
            <w:tcW w:w="1780" w:type="dxa"/>
            <w:vAlign w:val="bottom"/>
            <w:shd w:val="clear" w:color="auto" w:fill="DDE6F2"/>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shd w:val="clear" w:color="auto" w:fill="DDE6F2"/>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shd w:val="clear" w:color="auto" w:fill="DDE6F2"/>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shd w:val="clear" w:color="auto" w:fill="DDE6F2"/>
          </w:tcPr>
          <w:p>
            <w:pPr>
              <w:jc w:val="right"/>
              <w:ind w:right="190"/>
              <w:spacing w:after="0"/>
              <w:rPr>
                <w:sz w:val="20"/>
                <w:szCs w:val="20"/>
                <w:color w:val="auto"/>
              </w:rPr>
            </w:pPr>
            <w:r>
              <w:rPr>
                <w:rFonts w:ascii="Arial" w:cs="Arial" w:eastAsia="Arial" w:hAnsi="Arial"/>
                <w:sz w:val="14"/>
                <w:szCs w:val="14"/>
                <w:color w:val="auto"/>
              </w:rPr>
              <w:t>-</w:t>
            </w:r>
          </w:p>
        </w:tc>
        <w:tc>
          <w:tcPr>
            <w:tcW w:w="1380" w:type="dxa"/>
            <w:vAlign w:val="bottom"/>
            <w:shd w:val="clear" w:color="auto" w:fill="DDE6F2"/>
          </w:tcPr>
          <w:p>
            <w:pPr>
              <w:jc w:val="right"/>
              <w:ind w:right="191"/>
              <w:spacing w:after="0"/>
              <w:rPr>
                <w:sz w:val="20"/>
                <w:szCs w:val="20"/>
                <w:color w:val="auto"/>
              </w:rPr>
            </w:pPr>
            <w:r>
              <w:rPr>
                <w:rFonts w:ascii="Arial" w:cs="Arial" w:eastAsia="Arial" w:hAnsi="Arial"/>
                <w:sz w:val="14"/>
                <w:szCs w:val="14"/>
                <w:color w:val="auto"/>
              </w:rPr>
              <w:t>-</w:t>
            </w:r>
          </w:p>
        </w:tc>
        <w:tc>
          <w:tcPr>
            <w:tcW w:w="1240" w:type="dxa"/>
            <w:vAlign w:val="bottom"/>
            <w:shd w:val="clear" w:color="auto" w:fill="DDE6F2"/>
          </w:tcPr>
          <w:p>
            <w:pPr>
              <w:jc w:val="right"/>
              <w:ind w:right="30"/>
              <w:spacing w:after="0"/>
              <w:rPr>
                <w:sz w:val="20"/>
                <w:szCs w:val="20"/>
                <w:color w:val="auto"/>
              </w:rPr>
            </w:pPr>
            <w:r>
              <w:rPr>
                <w:rFonts w:ascii="Arial" w:cs="Arial" w:eastAsia="Arial" w:hAnsi="Arial"/>
                <w:sz w:val="14"/>
                <w:szCs w:val="14"/>
                <w:color w:val="auto"/>
              </w:rPr>
              <w:t>10,000</w:t>
            </w:r>
          </w:p>
        </w:tc>
        <w:tc>
          <w:tcPr>
            <w:tcW w:w="860" w:type="dxa"/>
            <w:vAlign w:val="bottom"/>
            <w:tcBorders>
              <w:right w:val="single" w:sz="8" w:color="auto"/>
            </w:tcBorders>
            <w:shd w:val="clear" w:color="auto" w:fill="DDE6F2"/>
          </w:tcPr>
          <w:p>
            <w:pPr>
              <w:jc w:val="right"/>
              <w:ind w:right="89"/>
              <w:spacing w:after="0"/>
              <w:rPr>
                <w:sz w:val="20"/>
                <w:szCs w:val="20"/>
                <w:color w:val="auto"/>
              </w:rPr>
            </w:pPr>
            <w:r>
              <w:rPr>
                <w:rFonts w:ascii="Arial" w:cs="Arial" w:eastAsia="Arial" w:hAnsi="Arial"/>
                <w:sz w:val="14"/>
                <w:szCs w:val="14"/>
                <w:color w:val="auto"/>
              </w:rPr>
              <w:t>10,000</w:t>
            </w:r>
          </w:p>
        </w:tc>
      </w:tr>
      <w:tr>
        <w:trPr>
          <w:trHeight w:val="162"/>
        </w:trPr>
        <w:tc>
          <w:tcPr>
            <w:tcW w:w="284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Keith A. Meister (4)</w:t>
            </w:r>
          </w:p>
        </w:tc>
        <w:tc>
          <w:tcPr>
            <w:tcW w:w="17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0</w:t>
            </w:r>
          </w:p>
        </w:tc>
        <w:tc>
          <w:tcPr>
            <w:tcW w:w="860" w:type="dxa"/>
            <w:vAlign w:val="bottom"/>
            <w:tcBorders>
              <w:right w:val="single" w:sz="8" w:color="auto"/>
            </w:tcBorders>
          </w:tcPr>
          <w:p>
            <w:pPr>
              <w:jc w:val="right"/>
              <w:ind w:right="89"/>
              <w:spacing w:after="0"/>
              <w:rPr>
                <w:sz w:val="20"/>
                <w:szCs w:val="20"/>
                <w:color w:val="auto"/>
              </w:rPr>
            </w:pPr>
            <w:r>
              <w:rPr>
                <w:rFonts w:ascii="Arial" w:cs="Arial" w:eastAsia="Arial" w:hAnsi="Arial"/>
                <w:sz w:val="14"/>
                <w:szCs w:val="14"/>
                <w:color w:val="auto"/>
              </w:rPr>
              <w:t>0</w:t>
            </w:r>
          </w:p>
        </w:tc>
      </w:tr>
      <w:tr>
        <w:trPr>
          <w:trHeight w:val="162"/>
        </w:trPr>
        <w:tc>
          <w:tcPr>
            <w:tcW w:w="284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4"/>
                <w:szCs w:val="14"/>
                <w:color w:val="auto"/>
              </w:rPr>
              <w:t>Steven W. Nance (5)</w:t>
            </w:r>
          </w:p>
        </w:tc>
        <w:tc>
          <w:tcPr>
            <w:tcW w:w="1780" w:type="dxa"/>
            <w:vAlign w:val="bottom"/>
            <w:shd w:val="clear" w:color="auto" w:fill="DDE6F2"/>
          </w:tcPr>
          <w:p>
            <w:pPr>
              <w:jc w:val="right"/>
              <w:ind w:right="150"/>
              <w:spacing w:after="0"/>
              <w:rPr>
                <w:sz w:val="20"/>
                <w:szCs w:val="20"/>
                <w:color w:val="auto"/>
              </w:rPr>
            </w:pPr>
            <w:r>
              <w:rPr>
                <w:rFonts w:ascii="Arial" w:cs="Arial" w:eastAsia="Arial" w:hAnsi="Arial"/>
                <w:sz w:val="14"/>
                <w:szCs w:val="14"/>
                <w:color w:val="auto"/>
              </w:rPr>
              <w:t>125,000</w:t>
            </w:r>
          </w:p>
        </w:tc>
        <w:tc>
          <w:tcPr>
            <w:tcW w:w="1080" w:type="dxa"/>
            <w:vAlign w:val="bottom"/>
            <w:shd w:val="clear" w:color="auto" w:fill="DDE6F2"/>
          </w:tcPr>
          <w:p>
            <w:pPr>
              <w:jc w:val="right"/>
              <w:ind w:right="90"/>
              <w:spacing w:after="0"/>
              <w:rPr>
                <w:sz w:val="20"/>
                <w:szCs w:val="20"/>
                <w:color w:val="auto"/>
              </w:rPr>
            </w:pPr>
            <w:r>
              <w:rPr>
                <w:rFonts w:ascii="Arial" w:cs="Arial" w:eastAsia="Arial" w:hAnsi="Arial"/>
                <w:sz w:val="14"/>
                <w:szCs w:val="14"/>
                <w:color w:val="auto"/>
              </w:rPr>
              <w:t>140,010</w:t>
            </w:r>
          </w:p>
        </w:tc>
        <w:tc>
          <w:tcPr>
            <w:tcW w:w="880" w:type="dxa"/>
            <w:vAlign w:val="bottom"/>
            <w:shd w:val="clear" w:color="auto" w:fill="DDE6F2"/>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shd w:val="clear" w:color="auto" w:fill="DDE6F2"/>
          </w:tcPr>
          <w:p>
            <w:pPr>
              <w:jc w:val="right"/>
              <w:ind w:right="190"/>
              <w:spacing w:after="0"/>
              <w:rPr>
                <w:sz w:val="20"/>
                <w:szCs w:val="20"/>
                <w:color w:val="auto"/>
              </w:rPr>
            </w:pPr>
            <w:r>
              <w:rPr>
                <w:rFonts w:ascii="Arial" w:cs="Arial" w:eastAsia="Arial" w:hAnsi="Arial"/>
                <w:sz w:val="14"/>
                <w:szCs w:val="14"/>
                <w:color w:val="auto"/>
              </w:rPr>
              <w:t>-</w:t>
            </w:r>
          </w:p>
        </w:tc>
        <w:tc>
          <w:tcPr>
            <w:tcW w:w="1380" w:type="dxa"/>
            <w:vAlign w:val="bottom"/>
            <w:shd w:val="clear" w:color="auto" w:fill="DDE6F2"/>
          </w:tcPr>
          <w:p>
            <w:pPr>
              <w:jc w:val="right"/>
              <w:ind w:right="191"/>
              <w:spacing w:after="0"/>
              <w:rPr>
                <w:sz w:val="20"/>
                <w:szCs w:val="20"/>
                <w:color w:val="auto"/>
              </w:rPr>
            </w:pPr>
            <w:r>
              <w:rPr>
                <w:rFonts w:ascii="Arial" w:cs="Arial" w:eastAsia="Arial" w:hAnsi="Arial"/>
                <w:sz w:val="14"/>
                <w:szCs w:val="14"/>
                <w:color w:val="auto"/>
              </w:rPr>
              <w:t>-</w:t>
            </w:r>
          </w:p>
        </w:tc>
        <w:tc>
          <w:tcPr>
            <w:tcW w:w="1240" w:type="dxa"/>
            <w:vAlign w:val="bottom"/>
            <w:shd w:val="clear" w:color="auto" w:fill="DDE6F2"/>
          </w:tcPr>
          <w:p>
            <w:pPr>
              <w:jc w:val="right"/>
              <w:ind w:right="30"/>
              <w:spacing w:after="0"/>
              <w:rPr>
                <w:sz w:val="20"/>
                <w:szCs w:val="20"/>
                <w:color w:val="auto"/>
              </w:rPr>
            </w:pPr>
            <w:r>
              <w:rPr>
                <w:rFonts w:ascii="Arial" w:cs="Arial" w:eastAsia="Arial" w:hAnsi="Arial"/>
                <w:sz w:val="14"/>
                <w:szCs w:val="14"/>
                <w:color w:val="auto"/>
              </w:rPr>
              <w:t>2,750</w:t>
            </w:r>
          </w:p>
        </w:tc>
        <w:tc>
          <w:tcPr>
            <w:tcW w:w="860" w:type="dxa"/>
            <w:vAlign w:val="bottom"/>
            <w:tcBorders>
              <w:right w:val="single" w:sz="8" w:color="auto"/>
            </w:tcBorders>
            <w:shd w:val="clear" w:color="auto" w:fill="DDE6F2"/>
          </w:tcPr>
          <w:p>
            <w:pPr>
              <w:jc w:val="right"/>
              <w:ind w:right="89"/>
              <w:spacing w:after="0"/>
              <w:rPr>
                <w:sz w:val="20"/>
                <w:szCs w:val="20"/>
                <w:color w:val="auto"/>
              </w:rPr>
            </w:pPr>
            <w:r>
              <w:rPr>
                <w:rFonts w:ascii="Arial" w:cs="Arial" w:eastAsia="Arial" w:hAnsi="Arial"/>
                <w:sz w:val="14"/>
                <w:szCs w:val="14"/>
                <w:color w:val="auto"/>
              </w:rPr>
              <w:t>267,760</w:t>
            </w:r>
          </w:p>
        </w:tc>
      </w:tr>
      <w:tr>
        <w:trPr>
          <w:trHeight w:val="162"/>
        </w:trPr>
        <w:tc>
          <w:tcPr>
            <w:tcW w:w="284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Murray D. Smith</w:t>
            </w:r>
          </w:p>
        </w:tc>
        <w:tc>
          <w:tcPr>
            <w:tcW w:w="1780" w:type="dxa"/>
            <w:vAlign w:val="bottom"/>
          </w:tcPr>
          <w:p>
            <w:pPr>
              <w:jc w:val="right"/>
              <w:ind w:right="150"/>
              <w:spacing w:after="0"/>
              <w:rPr>
                <w:sz w:val="20"/>
                <w:szCs w:val="20"/>
                <w:color w:val="auto"/>
              </w:rPr>
            </w:pPr>
            <w:r>
              <w:rPr>
                <w:rFonts w:ascii="Arial" w:cs="Arial" w:eastAsia="Arial" w:hAnsi="Arial"/>
                <w:sz w:val="14"/>
                <w:szCs w:val="14"/>
                <w:color w:val="auto"/>
              </w:rPr>
              <w:t>110,000</w:t>
            </w: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140,010</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2,025</w:t>
            </w:r>
          </w:p>
        </w:tc>
        <w:tc>
          <w:tcPr>
            <w:tcW w:w="860" w:type="dxa"/>
            <w:vAlign w:val="bottom"/>
            <w:tcBorders>
              <w:right w:val="single" w:sz="8" w:color="auto"/>
            </w:tcBorders>
          </w:tcPr>
          <w:p>
            <w:pPr>
              <w:jc w:val="right"/>
              <w:ind w:right="89"/>
              <w:spacing w:after="0"/>
              <w:rPr>
                <w:sz w:val="20"/>
                <w:szCs w:val="20"/>
                <w:color w:val="auto"/>
              </w:rPr>
            </w:pPr>
            <w:r>
              <w:rPr>
                <w:rFonts w:ascii="Arial" w:cs="Arial" w:eastAsia="Arial" w:hAnsi="Arial"/>
                <w:sz w:val="14"/>
                <w:szCs w:val="14"/>
                <w:color w:val="auto"/>
              </w:rPr>
              <w:t>252,035</w:t>
            </w:r>
          </w:p>
        </w:tc>
      </w:tr>
      <w:tr>
        <w:trPr>
          <w:trHeight w:val="162"/>
        </w:trPr>
        <w:tc>
          <w:tcPr>
            <w:tcW w:w="284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4"/>
                <w:szCs w:val="14"/>
                <w:color w:val="auto"/>
              </w:rPr>
              <w:t>Janice D. Stoney</w:t>
            </w:r>
          </w:p>
        </w:tc>
        <w:tc>
          <w:tcPr>
            <w:tcW w:w="1780" w:type="dxa"/>
            <w:vAlign w:val="bottom"/>
            <w:shd w:val="clear" w:color="auto" w:fill="DDE6F2"/>
          </w:tcPr>
          <w:p>
            <w:pPr>
              <w:jc w:val="right"/>
              <w:ind w:right="150"/>
              <w:spacing w:after="0"/>
              <w:rPr>
                <w:sz w:val="20"/>
                <w:szCs w:val="20"/>
                <w:color w:val="auto"/>
              </w:rPr>
            </w:pPr>
            <w:r>
              <w:rPr>
                <w:rFonts w:ascii="Arial" w:cs="Arial" w:eastAsia="Arial" w:hAnsi="Arial"/>
                <w:sz w:val="14"/>
                <w:szCs w:val="14"/>
                <w:color w:val="auto"/>
              </w:rPr>
              <w:t>130,000</w:t>
            </w:r>
          </w:p>
        </w:tc>
        <w:tc>
          <w:tcPr>
            <w:tcW w:w="1080" w:type="dxa"/>
            <w:vAlign w:val="bottom"/>
            <w:shd w:val="clear" w:color="auto" w:fill="DDE6F2"/>
          </w:tcPr>
          <w:p>
            <w:pPr>
              <w:jc w:val="right"/>
              <w:ind w:right="90"/>
              <w:spacing w:after="0"/>
              <w:rPr>
                <w:sz w:val="20"/>
                <w:szCs w:val="20"/>
                <w:color w:val="auto"/>
              </w:rPr>
            </w:pPr>
            <w:r>
              <w:rPr>
                <w:rFonts w:ascii="Arial" w:cs="Arial" w:eastAsia="Arial" w:hAnsi="Arial"/>
                <w:sz w:val="14"/>
                <w:szCs w:val="14"/>
                <w:color w:val="auto"/>
              </w:rPr>
              <w:t>140,010</w:t>
            </w:r>
          </w:p>
        </w:tc>
        <w:tc>
          <w:tcPr>
            <w:tcW w:w="880" w:type="dxa"/>
            <w:vAlign w:val="bottom"/>
            <w:shd w:val="clear" w:color="auto" w:fill="DDE6F2"/>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shd w:val="clear" w:color="auto" w:fill="DDE6F2"/>
          </w:tcPr>
          <w:p>
            <w:pPr>
              <w:jc w:val="right"/>
              <w:ind w:right="190"/>
              <w:spacing w:after="0"/>
              <w:rPr>
                <w:sz w:val="20"/>
                <w:szCs w:val="20"/>
                <w:color w:val="auto"/>
              </w:rPr>
            </w:pPr>
            <w:r>
              <w:rPr>
                <w:rFonts w:ascii="Arial" w:cs="Arial" w:eastAsia="Arial" w:hAnsi="Arial"/>
                <w:sz w:val="14"/>
                <w:szCs w:val="14"/>
                <w:color w:val="auto"/>
              </w:rPr>
              <w:t>-</w:t>
            </w:r>
          </w:p>
        </w:tc>
        <w:tc>
          <w:tcPr>
            <w:tcW w:w="1380" w:type="dxa"/>
            <w:vAlign w:val="bottom"/>
            <w:shd w:val="clear" w:color="auto" w:fill="DDE6F2"/>
          </w:tcPr>
          <w:p>
            <w:pPr>
              <w:jc w:val="right"/>
              <w:ind w:right="191"/>
              <w:spacing w:after="0"/>
              <w:rPr>
                <w:sz w:val="20"/>
                <w:szCs w:val="20"/>
                <w:color w:val="auto"/>
              </w:rPr>
            </w:pPr>
            <w:r>
              <w:rPr>
                <w:rFonts w:ascii="Arial" w:cs="Arial" w:eastAsia="Arial" w:hAnsi="Arial"/>
                <w:sz w:val="14"/>
                <w:szCs w:val="14"/>
                <w:color w:val="auto"/>
              </w:rPr>
              <w:t>-</w:t>
            </w:r>
          </w:p>
        </w:tc>
        <w:tc>
          <w:tcPr>
            <w:tcW w:w="1240" w:type="dxa"/>
            <w:vAlign w:val="bottom"/>
            <w:shd w:val="clear" w:color="auto" w:fill="DDE6F2"/>
          </w:tcPr>
          <w:p>
            <w:pPr>
              <w:jc w:val="right"/>
              <w:ind w:right="30"/>
              <w:spacing w:after="0"/>
              <w:rPr>
                <w:sz w:val="20"/>
                <w:szCs w:val="20"/>
                <w:color w:val="auto"/>
              </w:rPr>
            </w:pPr>
            <w:r>
              <w:rPr>
                <w:rFonts w:ascii="Arial" w:cs="Arial" w:eastAsia="Arial" w:hAnsi="Arial"/>
                <w:sz w:val="14"/>
                <w:szCs w:val="14"/>
                <w:color w:val="auto"/>
              </w:rPr>
              <w:t>25,000</w:t>
            </w:r>
          </w:p>
        </w:tc>
        <w:tc>
          <w:tcPr>
            <w:tcW w:w="860" w:type="dxa"/>
            <w:vAlign w:val="bottom"/>
            <w:tcBorders>
              <w:right w:val="single" w:sz="8" w:color="auto"/>
            </w:tcBorders>
            <w:shd w:val="clear" w:color="auto" w:fill="DDE6F2"/>
          </w:tcPr>
          <w:p>
            <w:pPr>
              <w:jc w:val="right"/>
              <w:ind w:right="89"/>
              <w:spacing w:after="0"/>
              <w:rPr>
                <w:sz w:val="20"/>
                <w:szCs w:val="20"/>
                <w:color w:val="auto"/>
              </w:rPr>
            </w:pPr>
            <w:r>
              <w:rPr>
                <w:rFonts w:ascii="Arial" w:cs="Arial" w:eastAsia="Arial" w:hAnsi="Arial"/>
                <w:sz w:val="14"/>
                <w:szCs w:val="14"/>
                <w:color w:val="auto"/>
              </w:rPr>
              <w:t>295,010</w:t>
            </w:r>
          </w:p>
        </w:tc>
      </w:tr>
      <w:tr>
        <w:trPr>
          <w:trHeight w:val="162"/>
        </w:trPr>
        <w:tc>
          <w:tcPr>
            <w:tcW w:w="284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Laura A. Sugg</w:t>
            </w: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110,000</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140,010</w:t>
            </w: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auto"/>
              <w:right w:val="single" w:sz="8" w:color="auto"/>
            </w:tcBorders>
          </w:tcPr>
          <w:p>
            <w:pPr>
              <w:jc w:val="right"/>
              <w:ind w:right="89"/>
              <w:spacing w:after="0"/>
              <w:rPr>
                <w:sz w:val="20"/>
                <w:szCs w:val="20"/>
                <w:color w:val="auto"/>
              </w:rPr>
            </w:pPr>
            <w:r>
              <w:rPr>
                <w:rFonts w:ascii="Arial" w:cs="Arial" w:eastAsia="Arial" w:hAnsi="Arial"/>
                <w:sz w:val="14"/>
                <w:szCs w:val="14"/>
                <w:color w:val="auto"/>
              </w:rPr>
              <w:t>250,010</w:t>
            </w:r>
          </w:p>
        </w:tc>
      </w:tr>
    </w:tbl>
    <w:p>
      <w:pPr>
        <w:spacing w:after="0" w:line="248"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fees paid in cash are itemized in the following chart.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980" w:type="dxa"/>
            <w:vAlign w:val="bottom"/>
            <w:tcBorders>
              <w:top w:val="single" w:sz="8" w:color="auto"/>
              <w:left w:val="single" w:sz="8" w:color="auto"/>
              <w:bottom w:val="single" w:sz="8" w:color="auto"/>
              <w:right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Cash Retainers</w:t>
            </w:r>
          </w:p>
        </w:tc>
        <w:tc>
          <w:tcPr>
            <w:tcW w:w="8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980" w:type="dxa"/>
            <w:vAlign w:val="bottom"/>
            <w:tcBorders>
              <w:left w:val="single" w:sz="8" w:color="auto"/>
            </w:tcBorders>
          </w:tcPr>
          <w:p>
            <w:pPr>
              <w:spacing w:after="0"/>
              <w:rPr>
                <w:sz w:val="9"/>
                <w:szCs w:val="9"/>
                <w:color w:val="auto"/>
              </w:rPr>
            </w:pPr>
          </w:p>
        </w:tc>
        <w:tc>
          <w:tcPr>
            <w:tcW w:w="1300" w:type="dxa"/>
            <w:vAlign w:val="bottom"/>
          </w:tcPr>
          <w:p>
            <w:pPr>
              <w:jc w:val="right"/>
              <w:ind w:right="117"/>
              <w:spacing w:after="0" w:line="107" w:lineRule="exact"/>
              <w:rPr>
                <w:sz w:val="20"/>
                <w:szCs w:val="20"/>
                <w:color w:val="auto"/>
              </w:rPr>
            </w:pPr>
            <w:r>
              <w:rPr>
                <w:rFonts w:ascii="Arial" w:cs="Arial" w:eastAsia="Arial" w:hAnsi="Arial"/>
                <w:sz w:val="12"/>
                <w:szCs w:val="12"/>
                <w:b w:val="1"/>
                <w:bCs w:val="1"/>
                <w:color w:val="auto"/>
              </w:rPr>
              <w:t>Annual Cash</w:t>
            </w: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80" w:type="dxa"/>
            <w:vAlign w:val="bottom"/>
          </w:tcPr>
          <w:p>
            <w:pPr>
              <w:jc w:val="right"/>
              <w:ind w:right="257"/>
              <w:spacing w:after="0" w:line="107" w:lineRule="exact"/>
              <w:rPr>
                <w:sz w:val="20"/>
                <w:szCs w:val="20"/>
                <w:color w:val="auto"/>
              </w:rPr>
            </w:pPr>
            <w:r>
              <w:rPr>
                <w:rFonts w:ascii="Arial" w:cs="Arial" w:eastAsia="Arial" w:hAnsi="Arial"/>
                <w:sz w:val="12"/>
                <w:szCs w:val="12"/>
                <w:b w:val="1"/>
                <w:bCs w:val="1"/>
                <w:color w:val="auto"/>
              </w:rPr>
              <w:t>Nominating</w:t>
            </w:r>
          </w:p>
        </w:tc>
        <w:tc>
          <w:tcPr>
            <w:tcW w:w="8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Non-</w:t>
            </w:r>
          </w:p>
        </w:tc>
        <w:tc>
          <w:tcPr>
            <w:tcW w:w="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980" w:type="dxa"/>
            <w:vAlign w:val="bottom"/>
            <w:tcBorders>
              <w:left w:val="single" w:sz="8" w:color="auto"/>
            </w:tcBorders>
          </w:tcPr>
          <w:p>
            <w:pPr>
              <w:spacing w:after="0"/>
              <w:rPr>
                <w:sz w:val="11"/>
                <w:szCs w:val="11"/>
                <w:color w:val="auto"/>
              </w:rPr>
            </w:pPr>
          </w:p>
        </w:tc>
        <w:tc>
          <w:tcPr>
            <w:tcW w:w="1300" w:type="dxa"/>
            <w:vAlign w:val="bottom"/>
          </w:tcPr>
          <w:p>
            <w:pPr>
              <w:jc w:val="right"/>
              <w:ind w:right="117"/>
              <w:spacing w:after="0" w:line="130" w:lineRule="exact"/>
              <w:rPr>
                <w:sz w:val="20"/>
                <w:szCs w:val="20"/>
                <w:color w:val="auto"/>
              </w:rPr>
            </w:pPr>
            <w:r>
              <w:rPr>
                <w:rFonts w:ascii="Arial" w:cs="Arial" w:eastAsia="Arial" w:hAnsi="Arial"/>
                <w:sz w:val="13"/>
                <w:szCs w:val="13"/>
                <w:b w:val="1"/>
                <w:bCs w:val="1"/>
                <w:color w:val="auto"/>
              </w:rPr>
              <w:t>Retainer</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80" w:type="dxa"/>
            <w:vAlign w:val="bottom"/>
          </w:tcPr>
          <w:p>
            <w:pPr>
              <w:jc w:val="right"/>
              <w:ind w:right="257"/>
              <w:spacing w:after="0" w:line="130" w:lineRule="exact"/>
              <w:rPr>
                <w:sz w:val="20"/>
                <w:szCs w:val="20"/>
                <w:color w:val="auto"/>
              </w:rPr>
            </w:pPr>
            <w:r>
              <w:rPr>
                <w:rFonts w:ascii="Arial" w:cs="Arial" w:eastAsia="Arial" w:hAnsi="Arial"/>
                <w:sz w:val="13"/>
                <w:szCs w:val="13"/>
                <w:b w:val="1"/>
                <w:bCs w:val="1"/>
                <w:color w:val="auto"/>
              </w:rPr>
              <w:t>&amp;</w:t>
            </w: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tcBorders>
          </w:tcPr>
          <w:p>
            <w:pPr>
              <w:spacing w:after="0"/>
              <w:rPr>
                <w:sz w:val="11"/>
                <w:szCs w:val="11"/>
                <w:color w:val="auto"/>
              </w:rPr>
            </w:pPr>
          </w:p>
        </w:tc>
        <w:tc>
          <w:tcPr>
            <w:tcW w:w="13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Including</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Audit</w:t>
            </w:r>
          </w:p>
        </w:tc>
        <w:tc>
          <w:tcPr>
            <w:tcW w:w="12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Compensation</w:t>
            </w:r>
          </w:p>
        </w:tc>
        <w:tc>
          <w:tcPr>
            <w:tcW w:w="118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Governance</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Finance</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Safety</w:t>
            </w: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employee</w:t>
            </w: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tcBorders>
          </w:tcPr>
          <w:p>
            <w:pPr>
              <w:spacing w:after="0"/>
              <w:rPr>
                <w:sz w:val="11"/>
                <w:szCs w:val="11"/>
                <w:color w:val="auto"/>
              </w:rPr>
            </w:pPr>
          </w:p>
        </w:tc>
        <w:tc>
          <w:tcPr>
            <w:tcW w:w="13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Service on</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Committee</w:t>
            </w:r>
          </w:p>
        </w:tc>
        <w:tc>
          <w:tcPr>
            <w:tcW w:w="12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Committee</w:t>
            </w:r>
          </w:p>
        </w:tc>
        <w:tc>
          <w:tcPr>
            <w:tcW w:w="118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Committee</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Committee</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Committee</w:t>
            </w: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Chairman of</w:t>
            </w: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tcBorders>
          </w:tcPr>
          <w:p>
            <w:pPr>
              <w:spacing w:after="0"/>
              <w:rPr>
                <w:sz w:val="11"/>
                <w:szCs w:val="11"/>
                <w:color w:val="auto"/>
              </w:rPr>
            </w:pPr>
          </w:p>
        </w:tc>
        <w:tc>
          <w:tcPr>
            <w:tcW w:w="13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Two</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Chair</w:t>
            </w:r>
          </w:p>
        </w:tc>
        <w:tc>
          <w:tcPr>
            <w:tcW w:w="12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Chair</w:t>
            </w:r>
          </w:p>
        </w:tc>
        <w:tc>
          <w:tcPr>
            <w:tcW w:w="118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Chair</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Chair</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Chair</w:t>
            </w: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the Board</w:t>
            </w: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bottom w:val="single" w:sz="8" w:color="auto"/>
            </w:tcBorders>
          </w:tcPr>
          <w:p>
            <w:pPr>
              <w:ind w:left="1400"/>
              <w:spacing w:after="0"/>
              <w:rPr>
                <w:sz w:val="20"/>
                <w:szCs w:val="20"/>
                <w:color w:val="auto"/>
              </w:rPr>
            </w:pPr>
            <w:r>
              <w:rPr>
                <w:rFonts w:ascii="Arial" w:cs="Arial" w:eastAsia="Arial" w:hAnsi="Arial"/>
                <w:sz w:val="13"/>
                <w:szCs w:val="13"/>
                <w:b w:val="1"/>
                <w:bCs w:val="1"/>
                <w:color w:val="auto"/>
              </w:rPr>
              <w:t>Name</w:t>
            </w:r>
          </w:p>
        </w:tc>
        <w:tc>
          <w:tcPr>
            <w:tcW w:w="13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Committees</w:t>
            </w:r>
          </w:p>
        </w:tc>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Retainer</w:t>
            </w:r>
          </w:p>
        </w:tc>
        <w:tc>
          <w:tcPr>
            <w:tcW w:w="12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Retainer</w:t>
            </w:r>
          </w:p>
        </w:tc>
        <w:tc>
          <w:tcPr>
            <w:tcW w:w="11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Retainer</w:t>
            </w: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Retainer</w:t>
            </w: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Retainer</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Retainer</w:t>
            </w:r>
          </w:p>
        </w:tc>
        <w:tc>
          <w:tcPr>
            <w:tcW w:w="80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980" w:type="dxa"/>
            <w:vAlign w:val="bottom"/>
            <w:tcBorders>
              <w:left w:val="single" w:sz="8" w:color="auto"/>
              <w:right w:val="single" w:sz="8" w:color="DDE6F2"/>
            </w:tcBorders>
            <w:shd w:val="clear" w:color="auto" w:fill="DDE6F2"/>
          </w:tcPr>
          <w:p>
            <w:pPr>
              <w:ind w:left="160"/>
              <w:spacing w:after="0" w:line="129" w:lineRule="exact"/>
              <w:rPr>
                <w:sz w:val="20"/>
                <w:szCs w:val="20"/>
                <w:color w:val="auto"/>
              </w:rPr>
            </w:pPr>
            <w:r>
              <w:rPr>
                <w:rFonts w:ascii="Arial" w:cs="Arial" w:eastAsia="Arial" w:hAnsi="Arial"/>
                <w:sz w:val="13"/>
                <w:szCs w:val="13"/>
                <w:color w:val="auto"/>
              </w:rPr>
              <w:t>Cleveland</w:t>
            </w:r>
          </w:p>
        </w:tc>
        <w:tc>
          <w:tcPr>
            <w:tcW w:w="1300" w:type="dxa"/>
            <w:vAlign w:val="bottom"/>
            <w:shd w:val="clear" w:color="auto" w:fill="DDE6F2"/>
          </w:tcPr>
          <w:p>
            <w:pPr>
              <w:jc w:val="right"/>
              <w:ind w:right="117"/>
              <w:spacing w:after="0" w:line="129" w:lineRule="exact"/>
              <w:rPr>
                <w:sz w:val="20"/>
                <w:szCs w:val="20"/>
                <w:color w:val="auto"/>
              </w:rPr>
            </w:pPr>
            <w:r>
              <w:rPr>
                <w:rFonts w:ascii="Arial" w:cs="Arial" w:eastAsia="Arial" w:hAnsi="Arial"/>
                <w:sz w:val="13"/>
                <w:szCs w:val="13"/>
                <w:color w:val="auto"/>
              </w:rPr>
              <w:t>$110,000</w:t>
            </w:r>
          </w:p>
        </w:tc>
        <w:tc>
          <w:tcPr>
            <w:tcW w:w="1020" w:type="dxa"/>
            <w:vAlign w:val="bottom"/>
            <w:shd w:val="clear" w:color="auto" w:fill="DDE6F2"/>
          </w:tcPr>
          <w:p>
            <w:pPr>
              <w:jc w:val="right"/>
              <w:ind w:right="117"/>
              <w:spacing w:after="0" w:line="129" w:lineRule="exact"/>
              <w:rPr>
                <w:sz w:val="20"/>
                <w:szCs w:val="20"/>
                <w:color w:val="auto"/>
              </w:rPr>
            </w:pPr>
            <w:r>
              <w:rPr>
                <w:rFonts w:ascii="Arial" w:cs="Arial" w:eastAsia="Arial" w:hAnsi="Arial"/>
                <w:sz w:val="13"/>
                <w:szCs w:val="13"/>
                <w:color w:val="auto"/>
              </w:rPr>
              <w:t>-</w:t>
            </w:r>
          </w:p>
        </w:tc>
        <w:tc>
          <w:tcPr>
            <w:tcW w:w="1200" w:type="dxa"/>
            <w:vAlign w:val="bottom"/>
            <w:shd w:val="clear" w:color="auto" w:fill="DDE6F2"/>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1180" w:type="dxa"/>
            <w:vAlign w:val="bottom"/>
            <w:shd w:val="clear" w:color="auto" w:fill="DDE6F2"/>
          </w:tcPr>
          <w:p>
            <w:pPr>
              <w:jc w:val="right"/>
              <w:ind w:right="257"/>
              <w:spacing w:after="0" w:line="129" w:lineRule="exact"/>
              <w:rPr>
                <w:sz w:val="20"/>
                <w:szCs w:val="20"/>
                <w:color w:val="auto"/>
              </w:rPr>
            </w:pPr>
            <w:r>
              <w:rPr>
                <w:rFonts w:ascii="Arial" w:cs="Arial" w:eastAsia="Arial" w:hAnsi="Arial"/>
                <w:sz w:val="13"/>
                <w:szCs w:val="13"/>
                <w:color w:val="auto"/>
              </w:rPr>
              <w:t>-</w:t>
            </w:r>
          </w:p>
        </w:tc>
        <w:tc>
          <w:tcPr>
            <w:tcW w:w="880" w:type="dxa"/>
            <w:vAlign w:val="bottom"/>
            <w:shd w:val="clear" w:color="auto" w:fill="DDE6F2"/>
          </w:tcPr>
          <w:p>
            <w:pPr>
              <w:jc w:val="right"/>
              <w:ind w:right="117"/>
              <w:spacing w:after="0" w:line="129" w:lineRule="exact"/>
              <w:rPr>
                <w:sz w:val="20"/>
                <w:szCs w:val="20"/>
                <w:color w:val="auto"/>
              </w:rPr>
            </w:pPr>
            <w:r>
              <w:rPr>
                <w:rFonts w:ascii="Arial" w:cs="Arial" w:eastAsia="Arial" w:hAnsi="Arial"/>
                <w:sz w:val="13"/>
                <w:szCs w:val="13"/>
                <w:color w:val="auto"/>
              </w:rPr>
              <w:t>-</w:t>
            </w:r>
          </w:p>
        </w:tc>
        <w:tc>
          <w:tcPr>
            <w:tcW w:w="1040" w:type="dxa"/>
            <w:vAlign w:val="bottom"/>
            <w:shd w:val="clear" w:color="auto" w:fill="DDE6F2"/>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1040" w:type="dxa"/>
            <w:vAlign w:val="bottom"/>
            <w:shd w:val="clear" w:color="auto" w:fill="DDE6F2"/>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DE6F2"/>
          </w:tcPr>
          <w:p>
            <w:pPr>
              <w:jc w:val="right"/>
              <w:ind w:right="97"/>
              <w:spacing w:after="0" w:line="129" w:lineRule="exact"/>
              <w:rPr>
                <w:sz w:val="20"/>
                <w:szCs w:val="20"/>
                <w:color w:val="auto"/>
              </w:rPr>
            </w:pPr>
            <w:r>
              <w:rPr>
                <w:rFonts w:ascii="Arial" w:cs="Arial" w:eastAsia="Arial" w:hAnsi="Arial"/>
                <w:sz w:val="13"/>
                <w:szCs w:val="13"/>
                <w:color w:val="auto"/>
              </w:rPr>
              <w:t>$110,000</w:t>
            </w: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tcBorders>
          </w:tcPr>
          <w:p>
            <w:pPr>
              <w:ind w:left="160"/>
              <w:spacing w:after="0" w:line="135" w:lineRule="exact"/>
              <w:rPr>
                <w:sz w:val="20"/>
                <w:szCs w:val="20"/>
                <w:color w:val="auto"/>
              </w:rPr>
            </w:pPr>
            <w:r>
              <w:rPr>
                <w:rFonts w:ascii="Arial" w:cs="Arial" w:eastAsia="Arial" w:hAnsi="Arial"/>
                <w:sz w:val="13"/>
                <w:szCs w:val="13"/>
                <w:color w:val="auto"/>
              </w:rPr>
              <w:t>Cooper</w:t>
            </w:r>
          </w:p>
        </w:tc>
        <w:tc>
          <w:tcPr>
            <w:tcW w:w="13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110,000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$20,000</w:t>
            </w:r>
          </w:p>
        </w:tc>
        <w:tc>
          <w:tcPr>
            <w:tcW w:w="12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130,000</w:t>
            </w: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right w:val="single" w:sz="8" w:color="DDE6F2"/>
            </w:tcBorders>
            <w:shd w:val="clear" w:color="auto" w:fill="DDE6F2"/>
          </w:tcPr>
          <w:p>
            <w:pPr>
              <w:ind w:left="160"/>
              <w:spacing w:after="0" w:line="135" w:lineRule="exact"/>
              <w:rPr>
                <w:sz w:val="20"/>
                <w:szCs w:val="20"/>
                <w:color w:val="auto"/>
              </w:rPr>
            </w:pPr>
            <w:r>
              <w:rPr>
                <w:rFonts w:ascii="Arial" w:cs="Arial" w:eastAsia="Arial" w:hAnsi="Arial"/>
                <w:sz w:val="13"/>
                <w:szCs w:val="13"/>
                <w:color w:val="auto"/>
              </w:rPr>
              <w:t>Hagg</w:t>
            </w:r>
          </w:p>
        </w:tc>
        <w:tc>
          <w:tcPr>
            <w:tcW w:w="130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110,000</w:t>
            </w:r>
          </w:p>
        </w:tc>
        <w:tc>
          <w:tcPr>
            <w:tcW w:w="102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DDE6F2"/>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DDE6F2"/>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DDE6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DDE6F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DE6F2"/>
          </w:tcPr>
          <w:p>
            <w:pPr>
              <w:jc w:val="right"/>
              <w:ind w:right="97"/>
              <w:spacing w:after="0" w:line="135" w:lineRule="exact"/>
              <w:rPr>
                <w:sz w:val="20"/>
                <w:szCs w:val="20"/>
                <w:color w:val="auto"/>
              </w:rPr>
            </w:pPr>
            <w:r>
              <w:rPr>
                <w:rFonts w:ascii="Arial" w:cs="Arial" w:eastAsia="Arial" w:hAnsi="Arial"/>
                <w:sz w:val="13"/>
                <w:szCs w:val="13"/>
                <w:color w:val="auto"/>
              </w:rPr>
              <w:t>110,000</w:t>
            </w: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tcBorders>
          </w:tcPr>
          <w:p>
            <w:pPr>
              <w:ind w:left="160"/>
              <w:spacing w:after="0" w:line="135" w:lineRule="exact"/>
              <w:rPr>
                <w:sz w:val="20"/>
                <w:szCs w:val="20"/>
                <w:color w:val="auto"/>
              </w:rPr>
            </w:pPr>
            <w:r>
              <w:rPr>
                <w:rFonts w:ascii="Arial" w:cs="Arial" w:eastAsia="Arial" w:hAnsi="Arial"/>
                <w:sz w:val="13"/>
                <w:szCs w:val="13"/>
                <w:color w:val="auto"/>
              </w:rPr>
              <w:t>Hinshaw</w:t>
            </w:r>
          </w:p>
        </w:tc>
        <w:tc>
          <w:tcPr>
            <w:tcW w:w="13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110,000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$20,000</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130,000</w:t>
            </w: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right w:val="single" w:sz="8" w:color="DDE6F2"/>
            </w:tcBorders>
            <w:shd w:val="clear" w:color="auto" w:fill="DDE6F2"/>
          </w:tcPr>
          <w:p>
            <w:pPr>
              <w:ind w:left="160"/>
              <w:spacing w:after="0" w:line="135" w:lineRule="exact"/>
              <w:rPr>
                <w:sz w:val="20"/>
                <w:szCs w:val="20"/>
                <w:color w:val="auto"/>
              </w:rPr>
            </w:pPr>
            <w:r>
              <w:rPr>
                <w:rFonts w:ascii="Arial" w:cs="Arial" w:eastAsia="Arial" w:hAnsi="Arial"/>
                <w:sz w:val="13"/>
                <w:szCs w:val="13"/>
                <w:color w:val="auto"/>
              </w:rPr>
              <w:t>Izzo</w:t>
            </w:r>
          </w:p>
        </w:tc>
        <w:tc>
          <w:tcPr>
            <w:tcW w:w="130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110,000</w:t>
            </w:r>
          </w:p>
        </w:tc>
        <w:tc>
          <w:tcPr>
            <w:tcW w:w="102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DDE6F2"/>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DDE6F2"/>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DDE6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DDE6F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DE6F2"/>
          </w:tcPr>
          <w:p>
            <w:pPr>
              <w:jc w:val="right"/>
              <w:ind w:right="97"/>
              <w:spacing w:after="0" w:line="135" w:lineRule="exact"/>
              <w:rPr>
                <w:sz w:val="20"/>
                <w:szCs w:val="20"/>
                <w:color w:val="auto"/>
              </w:rPr>
            </w:pPr>
            <w:r>
              <w:rPr>
                <w:rFonts w:ascii="Arial" w:cs="Arial" w:eastAsia="Arial" w:hAnsi="Arial"/>
                <w:sz w:val="13"/>
                <w:szCs w:val="13"/>
                <w:color w:val="auto"/>
              </w:rPr>
              <w:t>110,000</w:t>
            </w: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tcBorders>
          </w:tcPr>
          <w:p>
            <w:pPr>
              <w:ind w:left="160"/>
              <w:spacing w:after="0" w:line="135" w:lineRule="exact"/>
              <w:rPr>
                <w:sz w:val="20"/>
                <w:szCs w:val="20"/>
                <w:color w:val="auto"/>
              </w:rPr>
            </w:pPr>
            <w:r>
              <w:rPr>
                <w:rFonts w:ascii="Arial" w:cs="Arial" w:eastAsia="Arial" w:hAnsi="Arial"/>
                <w:sz w:val="13"/>
                <w:szCs w:val="13"/>
                <w:color w:val="auto"/>
              </w:rPr>
              <w:t>MacInnis</w:t>
            </w:r>
          </w:p>
        </w:tc>
        <w:tc>
          <w:tcPr>
            <w:tcW w:w="13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110,000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$20,000</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$190,000</w:t>
            </w:r>
          </w:p>
        </w:tc>
        <w:tc>
          <w:tcPr>
            <w:tcW w:w="80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320,000</w:t>
            </w: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right w:val="single" w:sz="8" w:color="DDE6F2"/>
            </w:tcBorders>
            <w:shd w:val="clear" w:color="auto" w:fill="DDE6F2"/>
          </w:tcPr>
          <w:p>
            <w:pPr>
              <w:ind w:left="160"/>
              <w:spacing w:after="0" w:line="135" w:lineRule="exact"/>
              <w:rPr>
                <w:sz w:val="20"/>
                <w:szCs w:val="20"/>
                <w:color w:val="auto"/>
              </w:rPr>
            </w:pPr>
            <w:r>
              <w:rPr>
                <w:rFonts w:ascii="Arial" w:cs="Arial" w:eastAsia="Arial" w:hAnsi="Arial"/>
                <w:sz w:val="13"/>
                <w:szCs w:val="13"/>
                <w:color w:val="auto"/>
              </w:rPr>
              <w:t>Mandelblatt (4)</w:t>
            </w:r>
          </w:p>
        </w:tc>
        <w:tc>
          <w:tcPr>
            <w:tcW w:w="130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DDE6F2"/>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DDE6F2"/>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DDE6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DDE6F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DE6F2"/>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tcBorders>
          </w:tcPr>
          <w:p>
            <w:pPr>
              <w:ind w:left="160"/>
              <w:spacing w:after="0" w:line="135" w:lineRule="exact"/>
              <w:rPr>
                <w:sz w:val="20"/>
                <w:szCs w:val="20"/>
                <w:color w:val="auto"/>
              </w:rPr>
            </w:pPr>
            <w:r>
              <w:rPr>
                <w:rFonts w:ascii="Arial" w:cs="Arial" w:eastAsia="Arial" w:hAnsi="Arial"/>
                <w:sz w:val="13"/>
                <w:szCs w:val="13"/>
                <w:color w:val="auto"/>
              </w:rPr>
              <w:t>Meister (4)</w:t>
            </w:r>
          </w:p>
        </w:tc>
        <w:tc>
          <w:tcPr>
            <w:tcW w:w="13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right w:val="single" w:sz="8" w:color="DDE6F2"/>
            </w:tcBorders>
            <w:shd w:val="clear" w:color="auto" w:fill="DDE6F2"/>
          </w:tcPr>
          <w:p>
            <w:pPr>
              <w:ind w:left="160"/>
              <w:spacing w:after="0" w:line="135" w:lineRule="exact"/>
              <w:rPr>
                <w:sz w:val="20"/>
                <w:szCs w:val="20"/>
                <w:color w:val="auto"/>
              </w:rPr>
            </w:pPr>
            <w:r>
              <w:rPr>
                <w:rFonts w:ascii="Arial" w:cs="Arial" w:eastAsia="Arial" w:hAnsi="Arial"/>
                <w:sz w:val="13"/>
                <w:szCs w:val="13"/>
                <w:color w:val="auto"/>
              </w:rPr>
              <w:t>Nance (5)</w:t>
            </w:r>
          </w:p>
        </w:tc>
        <w:tc>
          <w:tcPr>
            <w:tcW w:w="130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110,000</w:t>
            </w:r>
          </w:p>
        </w:tc>
        <w:tc>
          <w:tcPr>
            <w:tcW w:w="102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DDE6F2"/>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DDE6F2"/>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DDE6F2"/>
          </w:tcPr>
          <w:p>
            <w:pPr>
              <w:jc w:val="right"/>
              <w:ind w:right="137"/>
              <w:spacing w:after="0" w:line="135" w:lineRule="exact"/>
              <w:rPr>
                <w:sz w:val="20"/>
                <w:szCs w:val="20"/>
                <w:color w:val="auto"/>
              </w:rPr>
            </w:pPr>
            <w:r>
              <w:rPr>
                <w:rFonts w:ascii="Arial" w:cs="Arial" w:eastAsia="Arial" w:hAnsi="Arial"/>
                <w:sz w:val="13"/>
                <w:szCs w:val="13"/>
                <w:color w:val="auto"/>
              </w:rPr>
              <w:t>$15,000</w:t>
            </w:r>
          </w:p>
        </w:tc>
        <w:tc>
          <w:tcPr>
            <w:tcW w:w="1040" w:type="dxa"/>
            <w:vAlign w:val="bottom"/>
            <w:shd w:val="clear" w:color="auto" w:fill="DDE6F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DE6F2"/>
          </w:tcPr>
          <w:p>
            <w:pPr>
              <w:jc w:val="right"/>
              <w:ind w:right="97"/>
              <w:spacing w:after="0" w:line="135" w:lineRule="exact"/>
              <w:rPr>
                <w:sz w:val="20"/>
                <w:szCs w:val="20"/>
                <w:color w:val="auto"/>
              </w:rPr>
            </w:pPr>
            <w:r>
              <w:rPr>
                <w:rFonts w:ascii="Arial" w:cs="Arial" w:eastAsia="Arial" w:hAnsi="Arial"/>
                <w:sz w:val="13"/>
                <w:szCs w:val="13"/>
                <w:color w:val="auto"/>
              </w:rPr>
              <w:t>125,000</w:t>
            </w: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tcBorders>
          </w:tcPr>
          <w:p>
            <w:pPr>
              <w:ind w:left="160"/>
              <w:spacing w:after="0" w:line="135" w:lineRule="exact"/>
              <w:rPr>
                <w:sz w:val="20"/>
                <w:szCs w:val="20"/>
                <w:color w:val="auto"/>
              </w:rPr>
            </w:pPr>
            <w:r>
              <w:rPr>
                <w:rFonts w:ascii="Arial" w:cs="Arial" w:eastAsia="Arial" w:hAnsi="Arial"/>
                <w:sz w:val="13"/>
                <w:szCs w:val="13"/>
                <w:color w:val="auto"/>
              </w:rPr>
              <w:t>Smith</w:t>
            </w:r>
          </w:p>
        </w:tc>
        <w:tc>
          <w:tcPr>
            <w:tcW w:w="13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110,000</w:t>
            </w:r>
          </w:p>
        </w:tc>
        <w:tc>
          <w:tcPr>
            <w:tcW w:w="102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110,000</w:t>
            </w: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right w:val="single" w:sz="8" w:color="DDE6F2"/>
            </w:tcBorders>
            <w:shd w:val="clear" w:color="auto" w:fill="DDE6F2"/>
          </w:tcPr>
          <w:p>
            <w:pPr>
              <w:ind w:left="160"/>
              <w:spacing w:after="0" w:line="135" w:lineRule="exact"/>
              <w:rPr>
                <w:sz w:val="20"/>
                <w:szCs w:val="20"/>
                <w:color w:val="auto"/>
              </w:rPr>
            </w:pPr>
            <w:r>
              <w:rPr>
                <w:rFonts w:ascii="Arial" w:cs="Arial" w:eastAsia="Arial" w:hAnsi="Arial"/>
                <w:sz w:val="13"/>
                <w:szCs w:val="13"/>
                <w:color w:val="auto"/>
              </w:rPr>
              <w:t>Stoney</w:t>
            </w:r>
          </w:p>
        </w:tc>
        <w:tc>
          <w:tcPr>
            <w:tcW w:w="130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110,000</w:t>
            </w:r>
          </w:p>
        </w:tc>
        <w:tc>
          <w:tcPr>
            <w:tcW w:w="102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DDE6F2"/>
          </w:tcPr>
          <w:p>
            <w:pPr>
              <w:jc w:val="right"/>
              <w:ind w:right="77"/>
              <w:spacing w:after="0" w:line="135" w:lineRule="exact"/>
              <w:rPr>
                <w:sz w:val="20"/>
                <w:szCs w:val="20"/>
                <w:color w:val="auto"/>
              </w:rPr>
            </w:pPr>
            <w:r>
              <w:rPr>
                <w:rFonts w:ascii="Arial" w:cs="Arial" w:eastAsia="Arial" w:hAnsi="Arial"/>
                <w:sz w:val="13"/>
                <w:szCs w:val="13"/>
                <w:color w:val="auto"/>
              </w:rPr>
              <w:t>$20,000</w:t>
            </w:r>
          </w:p>
        </w:tc>
        <w:tc>
          <w:tcPr>
            <w:tcW w:w="1180" w:type="dxa"/>
            <w:vAlign w:val="bottom"/>
            <w:shd w:val="clear" w:color="auto" w:fill="DDE6F2"/>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DDE6F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DDE6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DDE6F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DE6F2"/>
          </w:tcPr>
          <w:p>
            <w:pPr>
              <w:jc w:val="right"/>
              <w:ind w:right="97"/>
              <w:spacing w:after="0" w:line="135" w:lineRule="exact"/>
              <w:rPr>
                <w:sz w:val="20"/>
                <w:szCs w:val="20"/>
                <w:color w:val="auto"/>
              </w:rPr>
            </w:pPr>
            <w:r>
              <w:rPr>
                <w:rFonts w:ascii="Arial" w:cs="Arial" w:eastAsia="Arial" w:hAnsi="Arial"/>
                <w:sz w:val="13"/>
                <w:szCs w:val="13"/>
                <w:color w:val="auto"/>
              </w:rPr>
              <w:t>130,000</w:t>
            </w:r>
          </w:p>
        </w:tc>
        <w:tc>
          <w:tcPr>
            <w:tcW w:w="0" w:type="dxa"/>
            <w:vAlign w:val="bottom"/>
          </w:tcPr>
          <w:p>
            <w:pPr>
              <w:spacing w:after="0"/>
              <w:rPr>
                <w:sz w:val="1"/>
                <w:szCs w:val="1"/>
                <w:color w:val="auto"/>
              </w:rPr>
            </w:pPr>
          </w:p>
        </w:tc>
      </w:tr>
      <w:tr>
        <w:trPr>
          <w:trHeight w:val="135"/>
        </w:trPr>
        <w:tc>
          <w:tcPr>
            <w:tcW w:w="2980" w:type="dxa"/>
            <w:vAlign w:val="bottom"/>
            <w:tcBorders>
              <w:left w:val="single" w:sz="8" w:color="auto"/>
              <w:bottom w:val="single" w:sz="8" w:color="auto"/>
            </w:tcBorders>
          </w:tcPr>
          <w:p>
            <w:pPr>
              <w:ind w:left="160"/>
              <w:spacing w:after="0" w:line="135" w:lineRule="exact"/>
              <w:rPr>
                <w:sz w:val="20"/>
                <w:szCs w:val="20"/>
                <w:color w:val="auto"/>
              </w:rPr>
            </w:pPr>
            <w:r>
              <w:rPr>
                <w:rFonts w:ascii="Arial" w:cs="Arial" w:eastAsia="Arial" w:hAnsi="Arial"/>
                <w:sz w:val="13"/>
                <w:szCs w:val="13"/>
                <w:color w:val="auto"/>
              </w:rPr>
              <w:t>Sugg</w:t>
            </w:r>
          </w:p>
        </w:tc>
        <w:tc>
          <w:tcPr>
            <w:tcW w:w="130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color w:val="auto"/>
              </w:rPr>
              <w:t>110,000</w:t>
            </w:r>
          </w:p>
        </w:tc>
        <w:tc>
          <w:tcPr>
            <w:tcW w:w="102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110,000</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left="900" w:right="20" w:hanging="446"/>
        <w:spacing w:after="0" w:line="241" w:lineRule="auto"/>
        <w:tabs>
          <w:tab w:leader="none" w:pos="9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Awards were granted under the terms of the 2007 Incentive Plan and represent time-based RSUs. Amounts shown are the grant date fair value of awards computed in accordance with FASB ASC Topic 718. The assumptions used to value the stock awards can be found in our Annual Report on Form 10-K for the year-ended December 31, 2014.</w:t>
      </w:r>
    </w:p>
    <w:p>
      <w:pPr>
        <w:spacing w:after="0" w:line="1" w:lineRule="exact"/>
        <w:rPr>
          <w:rFonts w:ascii="Arial" w:cs="Arial" w:eastAsia="Arial" w:hAnsi="Arial"/>
          <w:sz w:val="14"/>
          <w:szCs w:val="14"/>
          <w:color w:val="auto"/>
        </w:rPr>
      </w:pPr>
    </w:p>
    <w:p>
      <w:pPr>
        <w:jc w:val="both"/>
        <w:ind w:left="900" w:right="20" w:hanging="446"/>
        <w:spacing w:after="0" w:line="245" w:lineRule="auto"/>
        <w:tabs>
          <w:tab w:leader="none" w:pos="9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All other compensation includes paid dividend equivalents from the May 2013 RSU awards that vested and distributed in May of 2014, matching contributions paid in 2014 made on behalf of the Board to charitable organizations through the Matching Grants Program or the United Way Program, and tax gross-ups on the imputed income related to spousal travel for business purposes. It is possible for Directors to make contributions at the end of the year that are not matched by the Company until the following year. Dr. Cooper, Mr. Izzo, Mr. MacInnis, Mr. Nance, and Ms. Sugg made 2014 contributions through the Matching Grants Program or the United Way Program at the end of the year that will be matched by the Company in early 2015.</w:t>
      </w:r>
    </w:p>
    <w:p>
      <w:pPr>
        <w:spacing w:after="0" w:line="129"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70</w:t>
            </w:r>
          </w:p>
        </w:tc>
      </w:tr>
    </w:tbl>
    <w:p>
      <w:pPr>
        <w:sectPr>
          <w:pgSz w:w="11900" w:h="16838" w:orient="portrait"/>
          <w:cols w:equalWidth="0" w:num="1">
            <w:col w:w="11440"/>
          </w:cols>
          <w:pgMar w:left="240" w:top="459" w:right="2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205740</wp:posOffset>
            </wp:positionV>
            <wp:extent cx="14147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147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00" w:hanging="446"/>
        <w:spacing w:after="0" w:line="241" w:lineRule="auto"/>
        <w:tabs>
          <w:tab w:leader="none" w:pos="9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Under the terms of their agreements, Mr. Mandelblatt and Mr. Meister will not receive any form of cash or equity compensation, for their service on our Board. They are eligible to participate in the Matching Grants Program or the United Way Program as previously described.</w:t>
      </w:r>
    </w:p>
    <w:p>
      <w:pPr>
        <w:ind w:left="900" w:hanging="446"/>
        <w:spacing w:after="0"/>
        <w:tabs>
          <w:tab w:leader="none" w:pos="9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Nance’s committee chair retainer reflects a partial year because the Safety Committee did not form until May 2014.</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Awards as of Fiscal Year End 2014</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aggregate number of stock options and stock awards held by directors outstanding at December 31, 2014 is as follows:</w:t>
      </w: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160" w:type="dxa"/>
            <w:vAlign w:val="bottom"/>
            <w:tcBorders>
              <w:top w:val="single" w:sz="8" w:color="auto"/>
              <w:left w:val="single" w:sz="8" w:color="auto"/>
            </w:tcBorders>
          </w:tcPr>
          <w:p>
            <w:pPr>
              <w:spacing w:after="0"/>
              <w:rPr>
                <w:sz w:val="14"/>
                <w:szCs w:val="14"/>
                <w:color w:val="auto"/>
              </w:rPr>
            </w:pPr>
          </w:p>
        </w:tc>
        <w:tc>
          <w:tcPr>
            <w:tcW w:w="2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Number of Shares or</w:t>
            </w:r>
          </w:p>
        </w:tc>
        <w:tc>
          <w:tcPr>
            <w:tcW w:w="1940" w:type="dxa"/>
            <w:vAlign w:val="bottom"/>
            <w:tcBorders>
              <w:top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2160" w:type="dxa"/>
            <w:vAlign w:val="bottom"/>
            <w:tcBorders>
              <w:left w:val="single" w:sz="8" w:color="auto"/>
            </w:tcBorders>
          </w:tcPr>
          <w:p>
            <w:pPr>
              <w:spacing w:after="0"/>
              <w:rPr>
                <w:sz w:val="14"/>
                <w:szCs w:val="14"/>
                <w:color w:val="auto"/>
              </w:rPr>
            </w:pPr>
          </w:p>
        </w:tc>
        <w:tc>
          <w:tcPr>
            <w:tcW w:w="2200" w:type="dxa"/>
            <w:vAlign w:val="bottom"/>
          </w:tcPr>
          <w:p>
            <w:pPr>
              <w:jc w:val="right"/>
              <w:ind w:right="48"/>
              <w:spacing w:after="0"/>
              <w:rPr>
                <w:sz w:val="20"/>
                <w:szCs w:val="20"/>
                <w:color w:val="auto"/>
              </w:rPr>
            </w:pPr>
            <w:r>
              <w:rPr>
                <w:rFonts w:ascii="Arial" w:cs="Arial" w:eastAsia="Arial" w:hAnsi="Arial"/>
                <w:sz w:val="14"/>
                <w:szCs w:val="14"/>
                <w:b w:val="1"/>
                <w:bCs w:val="1"/>
                <w:color w:val="auto"/>
              </w:rPr>
              <w:t>Units of Stock</w:t>
            </w:r>
          </w:p>
        </w:tc>
        <w:tc>
          <w:tcPr>
            <w:tcW w:w="19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Underlying Unexercised</w:t>
            </w:r>
          </w:p>
        </w:tc>
      </w:tr>
      <w:tr>
        <w:trPr>
          <w:trHeight w:val="175"/>
        </w:trPr>
        <w:tc>
          <w:tcPr>
            <w:tcW w:w="2160" w:type="dxa"/>
            <w:vAlign w:val="bottom"/>
            <w:tcBorders>
              <w:left w:val="single" w:sz="8" w:color="auto"/>
              <w:bottom w:val="single" w:sz="8" w:color="auto"/>
            </w:tcBorders>
          </w:tcPr>
          <w:p>
            <w:pPr>
              <w:ind w:left="1040"/>
              <w:spacing w:after="0"/>
              <w:rPr>
                <w:sz w:val="20"/>
                <w:szCs w:val="20"/>
                <w:color w:val="auto"/>
              </w:rPr>
            </w:pPr>
            <w:r>
              <w:rPr>
                <w:rFonts w:ascii="Arial" w:cs="Arial" w:eastAsia="Arial" w:hAnsi="Arial"/>
                <w:sz w:val="14"/>
                <w:szCs w:val="14"/>
                <w:b w:val="1"/>
                <w:bCs w:val="1"/>
                <w:color w:val="auto"/>
              </w:rPr>
              <w:t>Name</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Outstanding</w:t>
            </w:r>
          </w:p>
        </w:tc>
        <w:tc>
          <w:tcPr>
            <w:tcW w:w="194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Options Exercisable</w:t>
            </w:r>
          </w:p>
        </w:tc>
      </w:tr>
      <w:tr>
        <w:trPr>
          <w:trHeight w:val="156"/>
        </w:trPr>
        <w:tc>
          <w:tcPr>
            <w:tcW w:w="2160" w:type="dxa"/>
            <w:vAlign w:val="bottom"/>
            <w:tcBorders>
              <w:left w:val="single" w:sz="8" w:color="auto"/>
            </w:tcBorders>
            <w:shd w:val="clear" w:color="auto" w:fill="DDE6F2"/>
          </w:tcPr>
          <w:p>
            <w:pPr>
              <w:ind w:left="160"/>
              <w:spacing w:after="0" w:line="155" w:lineRule="exact"/>
              <w:rPr>
                <w:sz w:val="20"/>
                <w:szCs w:val="20"/>
                <w:color w:val="auto"/>
              </w:rPr>
            </w:pPr>
            <w:r>
              <w:rPr>
                <w:rFonts w:ascii="Arial" w:cs="Arial" w:eastAsia="Arial" w:hAnsi="Arial"/>
                <w:sz w:val="14"/>
                <w:szCs w:val="14"/>
                <w:color w:val="auto"/>
              </w:rPr>
              <w:t>Joseph R. Cleveland</w:t>
            </w:r>
          </w:p>
        </w:tc>
        <w:tc>
          <w:tcPr>
            <w:tcW w:w="2200" w:type="dxa"/>
            <w:vAlign w:val="bottom"/>
            <w:shd w:val="clear" w:color="auto" w:fill="DDE6F2"/>
          </w:tcPr>
          <w:p>
            <w:pPr>
              <w:jc w:val="right"/>
              <w:ind w:right="48"/>
              <w:spacing w:after="0" w:line="155" w:lineRule="exact"/>
              <w:rPr>
                <w:sz w:val="20"/>
                <w:szCs w:val="20"/>
                <w:color w:val="auto"/>
              </w:rPr>
            </w:pPr>
            <w:r>
              <w:rPr>
                <w:rFonts w:ascii="Arial" w:cs="Arial" w:eastAsia="Arial" w:hAnsi="Arial"/>
                <w:sz w:val="14"/>
                <w:szCs w:val="14"/>
                <w:color w:val="auto"/>
              </w:rPr>
              <w:t>7,053</w:t>
            </w:r>
          </w:p>
        </w:tc>
        <w:tc>
          <w:tcPr>
            <w:tcW w:w="1940" w:type="dxa"/>
            <w:vAlign w:val="bottom"/>
            <w:tcBorders>
              <w:right w:val="single" w:sz="8" w:color="auto"/>
            </w:tcBorders>
            <w:shd w:val="clear" w:color="auto" w:fill="DDE6F2"/>
          </w:tcPr>
          <w:p>
            <w:pPr>
              <w:jc w:val="right"/>
              <w:ind w:right="88"/>
              <w:spacing w:after="0" w:line="155" w:lineRule="exact"/>
              <w:rPr>
                <w:sz w:val="20"/>
                <w:szCs w:val="20"/>
                <w:color w:val="auto"/>
              </w:rPr>
            </w:pPr>
            <w:r>
              <w:rPr>
                <w:rFonts w:ascii="Arial" w:cs="Arial" w:eastAsia="Arial" w:hAnsi="Arial"/>
                <w:sz w:val="14"/>
                <w:szCs w:val="14"/>
                <w:color w:val="auto"/>
              </w:rPr>
              <w:t>-</w:t>
            </w:r>
          </w:p>
        </w:tc>
      </w:tr>
      <w:tr>
        <w:trPr>
          <w:trHeight w:val="162"/>
        </w:trPr>
        <w:tc>
          <w:tcPr>
            <w:tcW w:w="216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Kathleen B. Cooper</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19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5,527</w:t>
            </w:r>
          </w:p>
        </w:tc>
      </w:tr>
      <w:tr>
        <w:trPr>
          <w:trHeight w:val="162"/>
        </w:trPr>
        <w:tc>
          <w:tcPr>
            <w:tcW w:w="216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4"/>
                <w:szCs w:val="14"/>
                <w:color w:val="auto"/>
              </w:rPr>
              <w:t>John A. Hagg</w:t>
            </w:r>
          </w:p>
        </w:tc>
        <w:tc>
          <w:tcPr>
            <w:tcW w:w="22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8,662</w:t>
            </w:r>
          </w:p>
        </w:tc>
        <w:tc>
          <w:tcPr>
            <w:tcW w:w="1940" w:type="dxa"/>
            <w:vAlign w:val="bottom"/>
            <w:tcBorders>
              <w:right w:val="single" w:sz="8" w:color="auto"/>
            </w:tcBorders>
            <w:shd w:val="clear" w:color="auto" w:fill="DDE6F2"/>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16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Juanita H. Hinshaw</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19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13,379</w:t>
            </w:r>
          </w:p>
        </w:tc>
      </w:tr>
      <w:tr>
        <w:trPr>
          <w:trHeight w:val="162"/>
        </w:trPr>
        <w:tc>
          <w:tcPr>
            <w:tcW w:w="216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4"/>
                <w:szCs w:val="14"/>
                <w:color w:val="auto"/>
              </w:rPr>
              <w:t>Ralph Izzo</w:t>
            </w:r>
          </w:p>
        </w:tc>
        <w:tc>
          <w:tcPr>
            <w:tcW w:w="22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8,067</w:t>
            </w:r>
          </w:p>
        </w:tc>
        <w:tc>
          <w:tcPr>
            <w:tcW w:w="1940" w:type="dxa"/>
            <w:vAlign w:val="bottom"/>
            <w:tcBorders>
              <w:right w:val="single" w:sz="8" w:color="auto"/>
            </w:tcBorders>
            <w:shd w:val="clear" w:color="auto" w:fill="DDE6F2"/>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16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Frank T. MacInnis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15,113</w:t>
            </w:r>
          </w:p>
        </w:tc>
        <w:tc>
          <w:tcPr>
            <w:tcW w:w="19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13,379</w:t>
            </w:r>
          </w:p>
        </w:tc>
      </w:tr>
      <w:tr>
        <w:trPr>
          <w:trHeight w:val="162"/>
        </w:trPr>
        <w:tc>
          <w:tcPr>
            <w:tcW w:w="216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4"/>
                <w:szCs w:val="14"/>
                <w:color w:val="auto"/>
              </w:rPr>
              <w:t>Eric W. Mandelblatt</w:t>
            </w:r>
          </w:p>
        </w:tc>
        <w:tc>
          <w:tcPr>
            <w:tcW w:w="22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shd w:val="clear" w:color="auto" w:fill="DDE6F2"/>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16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Keith A. Meister</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16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4"/>
                <w:szCs w:val="14"/>
                <w:color w:val="auto"/>
              </w:rPr>
              <w:t>Steven W. Nance</w:t>
            </w:r>
          </w:p>
        </w:tc>
        <w:tc>
          <w:tcPr>
            <w:tcW w:w="22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8,662</w:t>
            </w:r>
          </w:p>
        </w:tc>
        <w:tc>
          <w:tcPr>
            <w:tcW w:w="1940" w:type="dxa"/>
            <w:vAlign w:val="bottom"/>
            <w:tcBorders>
              <w:right w:val="single" w:sz="8" w:color="auto"/>
            </w:tcBorders>
            <w:shd w:val="clear" w:color="auto" w:fill="DDE6F2"/>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16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Murray D. Smith</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8,662</w:t>
            </w:r>
          </w:p>
        </w:tc>
        <w:tc>
          <w:tcPr>
            <w:tcW w:w="19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160" w:type="dxa"/>
            <w:vAlign w:val="bottom"/>
            <w:tcBorders>
              <w:left w:val="single" w:sz="8" w:color="auto"/>
            </w:tcBorders>
            <w:shd w:val="clear" w:color="auto" w:fill="DDE6F2"/>
          </w:tcPr>
          <w:p>
            <w:pPr>
              <w:ind w:left="160"/>
              <w:spacing w:after="0"/>
              <w:rPr>
                <w:sz w:val="20"/>
                <w:szCs w:val="20"/>
                <w:color w:val="auto"/>
              </w:rPr>
            </w:pPr>
            <w:r>
              <w:rPr>
                <w:rFonts w:ascii="Arial" w:cs="Arial" w:eastAsia="Arial" w:hAnsi="Arial"/>
                <w:sz w:val="14"/>
                <w:szCs w:val="14"/>
                <w:color w:val="auto"/>
              </w:rPr>
              <w:t>Janice D. Stoney</w:t>
            </w:r>
          </w:p>
        </w:tc>
        <w:tc>
          <w:tcPr>
            <w:tcW w:w="2200" w:type="dxa"/>
            <w:vAlign w:val="bottom"/>
            <w:shd w:val="clear" w:color="auto" w:fill="DDE6F2"/>
          </w:tcPr>
          <w:p>
            <w:pPr>
              <w:jc w:val="right"/>
              <w:ind w:right="48"/>
              <w:spacing w:after="0"/>
              <w:rPr>
                <w:sz w:val="20"/>
                <w:szCs w:val="20"/>
                <w:color w:val="auto"/>
              </w:rPr>
            </w:pPr>
            <w:r>
              <w:rPr>
                <w:rFonts w:ascii="Arial" w:cs="Arial" w:eastAsia="Arial" w:hAnsi="Arial"/>
                <w:sz w:val="14"/>
                <w:szCs w:val="14"/>
                <w:color w:val="auto"/>
              </w:rPr>
              <w:t>30,384</w:t>
            </w:r>
          </w:p>
        </w:tc>
        <w:tc>
          <w:tcPr>
            <w:tcW w:w="1940" w:type="dxa"/>
            <w:vAlign w:val="bottom"/>
            <w:tcBorders>
              <w:right w:val="single" w:sz="8" w:color="auto"/>
            </w:tcBorders>
            <w:shd w:val="clear" w:color="auto" w:fill="DDE6F2"/>
          </w:tcPr>
          <w:p>
            <w:pPr>
              <w:jc w:val="right"/>
              <w:ind w:right="88"/>
              <w:spacing w:after="0"/>
              <w:rPr>
                <w:sz w:val="20"/>
                <w:szCs w:val="20"/>
                <w:color w:val="auto"/>
              </w:rPr>
            </w:pPr>
            <w:r>
              <w:rPr>
                <w:rFonts w:ascii="Arial" w:cs="Arial" w:eastAsia="Arial" w:hAnsi="Arial"/>
                <w:sz w:val="14"/>
                <w:szCs w:val="14"/>
                <w:color w:val="auto"/>
              </w:rPr>
              <w:t>-</w:t>
            </w:r>
          </w:p>
        </w:tc>
      </w:tr>
      <w:tr>
        <w:trPr>
          <w:trHeight w:val="162"/>
        </w:trPr>
        <w:tc>
          <w:tcPr>
            <w:tcW w:w="21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Laura A. Sugg</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7,053</w:t>
            </w:r>
          </w:p>
        </w:tc>
        <w:tc>
          <w:tcPr>
            <w:tcW w:w="194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Note: Ms. Hinshaw and Mr. MacInnis have outstanding WPX stock options as a result of the equity conversion on December 31, 2011 in conjunction with the WPX spinoff. Ms. Hinshaw’s and Mr. MacInnis’ outstanding WPX stock options from 2005 are each in the amount of 2,003. These awards have expiration dates in 2015.</w:t>
      </w:r>
    </w:p>
    <w:p>
      <w:pPr>
        <w:spacing w:after="0" w:line="12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71</w:t>
            </w: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205740</wp:posOffset>
            </wp:positionV>
            <wp:extent cx="1715135"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Equity Compensation Stock Plans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225CAB"/>
        </w:rPr>
        <w:t>Securities authorized for issuance under equity compensation plans</w:t>
      </w:r>
    </w:p>
    <w:p>
      <w:pPr>
        <w:spacing w:after="0" w:line="23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following table provides information concerning Williams common stock that may be issued upon the exercise of options, warrants and rights under all of our existing equity compensation plans as of December 31, 2014, including The Williams Companies, Inc. 2007 Incentive Plan, The Williams Companies, Inc. 2002 Incentive Plan, The Williams Companies, Inc. 1996 Stock Plan, The Williams Companies, Inc. 1996 Stock Plan for Non-Employee Directors, and 2007 Employee Stock Purchase Plan.</w:t>
      </w: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780" w:type="dxa"/>
            <w:vAlign w:val="bottom"/>
            <w:tcBorders>
              <w:top w:val="single" w:sz="8" w:color="auto"/>
              <w:left w:val="single" w:sz="8" w:color="auto"/>
            </w:tcBorders>
          </w:tcPr>
          <w:p>
            <w:pPr>
              <w:spacing w:after="0"/>
              <w:rPr>
                <w:sz w:val="14"/>
                <w:szCs w:val="14"/>
                <w:color w:val="auto"/>
              </w:rPr>
            </w:pPr>
          </w:p>
        </w:tc>
        <w:tc>
          <w:tcPr>
            <w:tcW w:w="2680" w:type="dxa"/>
            <w:vAlign w:val="bottom"/>
            <w:tcBorders>
              <w:top w:val="single" w:sz="8" w:color="auto"/>
            </w:tcBorders>
          </w:tcPr>
          <w:p>
            <w:pPr>
              <w:spacing w:after="0"/>
              <w:rPr>
                <w:sz w:val="14"/>
                <w:szCs w:val="14"/>
                <w:color w:val="auto"/>
              </w:rPr>
            </w:pPr>
          </w:p>
        </w:tc>
        <w:tc>
          <w:tcPr>
            <w:tcW w:w="2600" w:type="dxa"/>
            <w:vAlign w:val="bottom"/>
            <w:tcBorders>
              <w:top w:val="single" w:sz="8" w:color="auto"/>
            </w:tcBorders>
          </w:tcPr>
          <w:p>
            <w:pPr>
              <w:spacing w:after="0"/>
              <w:rPr>
                <w:sz w:val="14"/>
                <w:szCs w:val="14"/>
                <w:color w:val="auto"/>
              </w:rPr>
            </w:pPr>
          </w:p>
        </w:tc>
        <w:tc>
          <w:tcPr>
            <w:tcW w:w="2380" w:type="dxa"/>
            <w:vAlign w:val="bottom"/>
            <w:tcBorders>
              <w:top w:val="single" w:sz="8" w:color="auto"/>
              <w:right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3780" w:type="dxa"/>
            <w:vAlign w:val="bottom"/>
            <w:tcBorders>
              <w:left w:val="single" w:sz="8" w:color="auto"/>
            </w:tcBorders>
          </w:tcPr>
          <w:p>
            <w:pPr>
              <w:spacing w:after="0"/>
              <w:rPr>
                <w:sz w:val="14"/>
                <w:szCs w:val="14"/>
                <w:color w:val="auto"/>
              </w:rPr>
            </w:pPr>
          </w:p>
        </w:tc>
        <w:tc>
          <w:tcPr>
            <w:tcW w:w="26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80" w:type="dxa"/>
            <w:vAlign w:val="bottom"/>
            <w:tcBorders>
              <w:right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3780" w:type="dxa"/>
            <w:vAlign w:val="bottom"/>
            <w:tcBorders>
              <w:left w:val="single" w:sz="8" w:color="auto"/>
            </w:tcBorders>
          </w:tcPr>
          <w:p>
            <w:pPr>
              <w:spacing w:after="0"/>
              <w:rPr>
                <w:sz w:val="14"/>
                <w:szCs w:val="14"/>
                <w:color w:val="auto"/>
              </w:rPr>
            </w:pPr>
          </w:p>
        </w:tc>
        <w:tc>
          <w:tcPr>
            <w:tcW w:w="26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80" w:type="dxa"/>
            <w:vAlign w:val="bottom"/>
            <w:tcBorders>
              <w:right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Future Issuance Under</w:t>
            </w:r>
          </w:p>
        </w:tc>
      </w:tr>
      <w:tr>
        <w:trPr>
          <w:trHeight w:val="162"/>
        </w:trPr>
        <w:tc>
          <w:tcPr>
            <w:tcW w:w="3780" w:type="dxa"/>
            <w:vAlign w:val="bottom"/>
            <w:tcBorders>
              <w:left w:val="single" w:sz="8" w:color="auto"/>
            </w:tcBorders>
          </w:tcPr>
          <w:p>
            <w:pPr>
              <w:spacing w:after="0"/>
              <w:rPr>
                <w:sz w:val="14"/>
                <w:szCs w:val="14"/>
                <w:color w:val="auto"/>
              </w:rPr>
            </w:pPr>
          </w:p>
        </w:tc>
        <w:tc>
          <w:tcPr>
            <w:tcW w:w="2680" w:type="dxa"/>
            <w:vAlign w:val="bottom"/>
          </w:tcPr>
          <w:p>
            <w:pPr>
              <w:jc w:val="right"/>
              <w:ind w:right="344"/>
              <w:spacing w:after="0"/>
              <w:rPr>
                <w:sz w:val="20"/>
                <w:szCs w:val="20"/>
                <w:color w:val="auto"/>
              </w:rPr>
            </w:pPr>
            <w:r>
              <w:rPr>
                <w:rFonts w:ascii="Arial" w:cs="Arial" w:eastAsia="Arial" w:hAnsi="Arial"/>
                <w:sz w:val="14"/>
                <w:szCs w:val="14"/>
                <w:b w:val="1"/>
                <w:bCs w:val="1"/>
                <w:color w:val="auto"/>
              </w:rPr>
              <w:t>Number of Securities to be</w:t>
            </w:r>
          </w:p>
        </w:tc>
        <w:tc>
          <w:tcPr>
            <w:tcW w:w="2600" w:type="dxa"/>
            <w:vAlign w:val="bottom"/>
          </w:tcPr>
          <w:p>
            <w:pPr>
              <w:jc w:val="right"/>
              <w:ind w:right="224"/>
              <w:spacing w:after="0"/>
              <w:rPr>
                <w:sz w:val="20"/>
                <w:szCs w:val="20"/>
                <w:color w:val="auto"/>
              </w:rPr>
            </w:pPr>
            <w:r>
              <w:rPr>
                <w:rFonts w:ascii="Arial" w:cs="Arial" w:eastAsia="Arial" w:hAnsi="Arial"/>
                <w:sz w:val="14"/>
                <w:szCs w:val="14"/>
                <w:b w:val="1"/>
                <w:bCs w:val="1"/>
                <w:color w:val="auto"/>
              </w:rPr>
              <w:t>Weighted-Average Exercise</w:t>
            </w:r>
          </w:p>
        </w:tc>
        <w:tc>
          <w:tcPr>
            <w:tcW w:w="2380" w:type="dxa"/>
            <w:vAlign w:val="bottom"/>
            <w:tcBorders>
              <w:right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Equity Compensation Plans</w:t>
            </w:r>
          </w:p>
        </w:tc>
      </w:tr>
      <w:tr>
        <w:trPr>
          <w:trHeight w:val="162"/>
        </w:trPr>
        <w:tc>
          <w:tcPr>
            <w:tcW w:w="3780" w:type="dxa"/>
            <w:vAlign w:val="bottom"/>
            <w:tcBorders>
              <w:left w:val="single" w:sz="8" w:color="auto"/>
            </w:tcBorders>
          </w:tcPr>
          <w:p>
            <w:pPr>
              <w:spacing w:after="0"/>
              <w:rPr>
                <w:sz w:val="14"/>
                <w:szCs w:val="14"/>
                <w:color w:val="auto"/>
              </w:rPr>
            </w:pPr>
          </w:p>
        </w:tc>
        <w:tc>
          <w:tcPr>
            <w:tcW w:w="2680" w:type="dxa"/>
            <w:vAlign w:val="bottom"/>
          </w:tcPr>
          <w:p>
            <w:pPr>
              <w:jc w:val="right"/>
              <w:ind w:right="344"/>
              <w:spacing w:after="0"/>
              <w:rPr>
                <w:sz w:val="20"/>
                <w:szCs w:val="20"/>
                <w:color w:val="auto"/>
              </w:rPr>
            </w:pPr>
            <w:r>
              <w:rPr>
                <w:rFonts w:ascii="Arial" w:cs="Arial" w:eastAsia="Arial" w:hAnsi="Arial"/>
                <w:sz w:val="14"/>
                <w:szCs w:val="14"/>
                <w:b w:val="1"/>
                <w:bCs w:val="1"/>
                <w:color w:val="auto"/>
              </w:rPr>
              <w:t>Issued upon Exercise of</w:t>
            </w:r>
          </w:p>
        </w:tc>
        <w:tc>
          <w:tcPr>
            <w:tcW w:w="2600" w:type="dxa"/>
            <w:vAlign w:val="bottom"/>
          </w:tcPr>
          <w:p>
            <w:pPr>
              <w:jc w:val="right"/>
              <w:ind w:right="224"/>
              <w:spacing w:after="0"/>
              <w:rPr>
                <w:sz w:val="20"/>
                <w:szCs w:val="20"/>
                <w:color w:val="auto"/>
              </w:rPr>
            </w:pPr>
            <w:r>
              <w:rPr>
                <w:rFonts w:ascii="Arial" w:cs="Arial" w:eastAsia="Arial" w:hAnsi="Arial"/>
                <w:sz w:val="14"/>
                <w:szCs w:val="14"/>
                <w:b w:val="1"/>
                <w:bCs w:val="1"/>
                <w:color w:val="auto"/>
              </w:rPr>
              <w:t>Price of Outstanding</w:t>
            </w:r>
          </w:p>
        </w:tc>
        <w:tc>
          <w:tcPr>
            <w:tcW w:w="2380" w:type="dxa"/>
            <w:vAlign w:val="bottom"/>
            <w:tcBorders>
              <w:right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(Excluding Securities</w:t>
            </w:r>
          </w:p>
        </w:tc>
      </w:tr>
      <w:tr>
        <w:trPr>
          <w:trHeight w:val="162"/>
        </w:trPr>
        <w:tc>
          <w:tcPr>
            <w:tcW w:w="3780" w:type="dxa"/>
            <w:vAlign w:val="bottom"/>
            <w:tcBorders>
              <w:left w:val="single" w:sz="8" w:color="auto"/>
            </w:tcBorders>
          </w:tcPr>
          <w:p>
            <w:pPr>
              <w:spacing w:after="0"/>
              <w:rPr>
                <w:sz w:val="14"/>
                <w:szCs w:val="14"/>
                <w:color w:val="auto"/>
              </w:rPr>
            </w:pPr>
          </w:p>
        </w:tc>
        <w:tc>
          <w:tcPr>
            <w:tcW w:w="2680" w:type="dxa"/>
            <w:vAlign w:val="bottom"/>
          </w:tcPr>
          <w:p>
            <w:pPr>
              <w:jc w:val="right"/>
              <w:ind w:right="344"/>
              <w:spacing w:after="0"/>
              <w:rPr>
                <w:sz w:val="20"/>
                <w:szCs w:val="20"/>
                <w:color w:val="auto"/>
              </w:rPr>
            </w:pPr>
            <w:r>
              <w:rPr>
                <w:rFonts w:ascii="Arial" w:cs="Arial" w:eastAsia="Arial" w:hAnsi="Arial"/>
                <w:sz w:val="14"/>
                <w:szCs w:val="14"/>
                <w:b w:val="1"/>
                <w:bCs w:val="1"/>
                <w:color w:val="auto"/>
              </w:rPr>
              <w:t>Outstanding Options,</w:t>
            </w:r>
          </w:p>
        </w:tc>
        <w:tc>
          <w:tcPr>
            <w:tcW w:w="2600" w:type="dxa"/>
            <w:vAlign w:val="bottom"/>
          </w:tcPr>
          <w:p>
            <w:pPr>
              <w:jc w:val="right"/>
              <w:ind w:right="224"/>
              <w:spacing w:after="0"/>
              <w:rPr>
                <w:sz w:val="20"/>
                <w:szCs w:val="20"/>
                <w:color w:val="auto"/>
              </w:rPr>
            </w:pPr>
            <w:r>
              <w:rPr>
                <w:rFonts w:ascii="Arial" w:cs="Arial" w:eastAsia="Arial" w:hAnsi="Arial"/>
                <w:sz w:val="14"/>
                <w:szCs w:val="14"/>
                <w:b w:val="1"/>
                <w:bCs w:val="1"/>
                <w:color w:val="auto"/>
              </w:rPr>
              <w:t>Options, Warrants and</w:t>
            </w:r>
          </w:p>
        </w:tc>
        <w:tc>
          <w:tcPr>
            <w:tcW w:w="2380" w:type="dxa"/>
            <w:vAlign w:val="bottom"/>
            <w:tcBorders>
              <w:right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Reflected in the First</w:t>
            </w:r>
          </w:p>
        </w:tc>
      </w:tr>
      <w:tr>
        <w:trPr>
          <w:trHeight w:val="175"/>
        </w:trPr>
        <w:tc>
          <w:tcPr>
            <w:tcW w:w="37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Plan Category</w:t>
            </w:r>
          </w:p>
        </w:tc>
        <w:tc>
          <w:tcPr>
            <w:tcW w:w="26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Warrants and Rights (1)</w:t>
            </w:r>
          </w:p>
        </w:tc>
        <w:tc>
          <w:tcPr>
            <w:tcW w:w="26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Rights (2)</w:t>
            </w:r>
          </w:p>
        </w:tc>
        <w:tc>
          <w:tcPr>
            <w:tcW w:w="2380" w:type="dxa"/>
            <w:vAlign w:val="bottom"/>
            <w:tcBorders>
              <w:bottom w:val="single" w:sz="8" w:color="auto"/>
              <w:right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Column of This Table) (3)</w:t>
            </w:r>
          </w:p>
        </w:tc>
      </w:tr>
      <w:tr>
        <w:trPr>
          <w:trHeight w:val="184"/>
        </w:trPr>
        <w:tc>
          <w:tcPr>
            <w:tcW w:w="378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Equity Compensation plans approved by</w:t>
            </w:r>
          </w:p>
        </w:tc>
        <w:tc>
          <w:tcPr>
            <w:tcW w:w="268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2380" w:type="dxa"/>
            <w:vAlign w:val="bottom"/>
            <w:tcBorders>
              <w:right w:val="single" w:sz="8" w:color="auto"/>
            </w:tcBorders>
            <w:shd w:val="clear" w:color="auto" w:fill="CCEEFF"/>
          </w:tcPr>
          <w:p>
            <w:pPr>
              <w:spacing w:after="0"/>
              <w:rPr>
                <w:sz w:val="16"/>
                <w:szCs w:val="16"/>
                <w:color w:val="auto"/>
              </w:rPr>
            </w:pPr>
          </w:p>
        </w:tc>
      </w:tr>
      <w:tr>
        <w:trPr>
          <w:trHeight w:val="187"/>
        </w:trPr>
        <w:tc>
          <w:tcPr>
            <w:tcW w:w="378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security holders</w:t>
            </w:r>
          </w:p>
        </w:tc>
        <w:tc>
          <w:tcPr>
            <w:tcW w:w="2680" w:type="dxa"/>
            <w:vAlign w:val="bottom"/>
            <w:shd w:val="clear" w:color="auto" w:fill="CCEEFF"/>
          </w:tcPr>
          <w:p>
            <w:pPr>
              <w:jc w:val="right"/>
              <w:ind w:right="344"/>
              <w:spacing w:after="0"/>
              <w:rPr>
                <w:sz w:val="20"/>
                <w:szCs w:val="20"/>
                <w:color w:val="auto"/>
              </w:rPr>
            </w:pPr>
            <w:r>
              <w:rPr>
                <w:rFonts w:ascii="Arial" w:cs="Arial" w:eastAsia="Arial" w:hAnsi="Arial"/>
                <w:sz w:val="16"/>
                <w:szCs w:val="16"/>
                <w:color w:val="auto"/>
              </w:rPr>
              <w:t>9,608,660</w:t>
            </w:r>
          </w:p>
        </w:tc>
        <w:tc>
          <w:tcPr>
            <w:tcW w:w="2600" w:type="dxa"/>
            <w:vAlign w:val="bottom"/>
            <w:shd w:val="clear" w:color="auto" w:fill="CCEEFF"/>
          </w:tcPr>
          <w:p>
            <w:pPr>
              <w:jc w:val="right"/>
              <w:ind w:right="224"/>
              <w:spacing w:after="0"/>
              <w:rPr>
                <w:sz w:val="20"/>
                <w:szCs w:val="20"/>
                <w:color w:val="auto"/>
              </w:rPr>
            </w:pPr>
            <w:r>
              <w:rPr>
                <w:rFonts w:ascii="Arial" w:cs="Arial" w:eastAsia="Arial" w:hAnsi="Arial"/>
                <w:sz w:val="16"/>
                <w:szCs w:val="16"/>
                <w:color w:val="auto"/>
              </w:rPr>
              <w:t>$25.51</w:t>
            </w:r>
          </w:p>
        </w:tc>
        <w:tc>
          <w:tcPr>
            <w:tcW w:w="2380" w:type="dxa"/>
            <w:vAlign w:val="bottom"/>
            <w:tcBorders>
              <w:right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23,890,344</w:t>
            </w:r>
          </w:p>
        </w:tc>
      </w:tr>
      <w:tr>
        <w:trPr>
          <w:trHeight w:val="191"/>
        </w:trPr>
        <w:tc>
          <w:tcPr>
            <w:tcW w:w="378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Equity Compensation plans not approved by</w:t>
            </w:r>
          </w:p>
        </w:tc>
        <w:tc>
          <w:tcPr>
            <w:tcW w:w="26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r>
      <w:tr>
        <w:trPr>
          <w:trHeight w:val="195"/>
        </w:trPr>
        <w:tc>
          <w:tcPr>
            <w:tcW w:w="378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security holders(4)</w:t>
            </w:r>
          </w:p>
        </w:tc>
        <w:tc>
          <w:tcPr>
            <w:tcW w:w="2680" w:type="dxa"/>
            <w:vAlign w:val="bottom"/>
          </w:tcPr>
          <w:p>
            <w:pPr>
              <w:jc w:val="right"/>
              <w:ind w:right="344"/>
              <w:spacing w:after="0"/>
              <w:rPr>
                <w:sz w:val="20"/>
                <w:szCs w:val="20"/>
                <w:color w:val="auto"/>
              </w:rPr>
            </w:pPr>
            <w:r>
              <w:rPr>
                <w:rFonts w:ascii="Arial" w:cs="Arial" w:eastAsia="Arial" w:hAnsi="Arial"/>
                <w:sz w:val="16"/>
                <w:szCs w:val="16"/>
                <w:color w:val="auto"/>
              </w:rPr>
              <w:t>-</w:t>
            </w:r>
          </w:p>
        </w:tc>
        <w:tc>
          <w:tcPr>
            <w:tcW w:w="2600" w:type="dxa"/>
            <w:vAlign w:val="bottom"/>
          </w:tcPr>
          <w:p>
            <w:pPr>
              <w:jc w:val="right"/>
              <w:ind w:right="224"/>
              <w:spacing w:after="0"/>
              <w:rPr>
                <w:sz w:val="20"/>
                <w:szCs w:val="20"/>
                <w:color w:val="auto"/>
              </w:rPr>
            </w:pPr>
            <w:r>
              <w:rPr>
                <w:rFonts w:ascii="Arial" w:cs="Arial" w:eastAsia="Arial" w:hAnsi="Arial"/>
                <w:sz w:val="16"/>
                <w:szCs w:val="16"/>
                <w:color w:val="auto"/>
              </w:rPr>
              <w:t>-</w:t>
            </w:r>
          </w:p>
        </w:tc>
        <w:tc>
          <w:tcPr>
            <w:tcW w:w="2380" w:type="dxa"/>
            <w:vAlign w:val="bottom"/>
            <w:tcBorders>
              <w:right w:val="single" w:sz="8" w:color="auto"/>
            </w:tcBorders>
          </w:tcPr>
          <w:p>
            <w:pPr>
              <w:jc w:val="right"/>
              <w:ind w:right="85"/>
              <w:spacing w:after="0"/>
              <w:rPr>
                <w:sz w:val="20"/>
                <w:szCs w:val="20"/>
                <w:color w:val="auto"/>
              </w:rPr>
            </w:pPr>
            <w:r>
              <w:rPr>
                <w:rFonts w:ascii="Arial" w:cs="Arial" w:eastAsia="Arial" w:hAnsi="Arial"/>
                <w:sz w:val="16"/>
                <w:szCs w:val="16"/>
                <w:color w:val="auto"/>
              </w:rPr>
              <w:t>-</w:t>
            </w:r>
          </w:p>
        </w:tc>
      </w:tr>
      <w:tr>
        <w:trPr>
          <w:trHeight w:val="60"/>
        </w:trPr>
        <w:tc>
          <w:tcPr>
            <w:tcW w:w="3780" w:type="dxa"/>
            <w:vAlign w:val="bottom"/>
            <w:tcBorders>
              <w:left w:val="single" w:sz="8" w:color="auto"/>
            </w:tcBorders>
          </w:tcPr>
          <w:p>
            <w:pPr>
              <w:spacing w:after="0"/>
              <w:rPr>
                <w:sz w:val="5"/>
                <w:szCs w:val="5"/>
                <w:color w:val="auto"/>
              </w:rPr>
            </w:pPr>
          </w:p>
        </w:tc>
        <w:tc>
          <w:tcPr>
            <w:tcW w:w="26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380" w:type="dxa"/>
            <w:vAlign w:val="bottom"/>
            <w:tcBorders>
              <w:right w:val="single" w:sz="8" w:color="auto"/>
            </w:tcBorders>
          </w:tcPr>
          <w:p>
            <w:pPr>
              <w:spacing w:after="0"/>
              <w:rPr>
                <w:sz w:val="5"/>
                <w:szCs w:val="5"/>
                <w:color w:val="auto"/>
              </w:rPr>
            </w:pPr>
          </w:p>
        </w:tc>
      </w:tr>
      <w:tr>
        <w:trPr>
          <w:trHeight w:val="189"/>
        </w:trPr>
        <w:tc>
          <w:tcPr>
            <w:tcW w:w="3780" w:type="dxa"/>
            <w:vAlign w:val="bottom"/>
            <w:tcBorders>
              <w:left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268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6"/>
                <w:szCs w:val="16"/>
                <w:color w:val="auto"/>
              </w:rPr>
              <w:t>9,608,660</w:t>
            </w:r>
          </w:p>
        </w:tc>
        <w:tc>
          <w:tcPr>
            <w:tcW w:w="26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6"/>
                <w:szCs w:val="16"/>
                <w:color w:val="auto"/>
              </w:rPr>
              <w:t>$25.51</w:t>
            </w:r>
          </w:p>
        </w:tc>
        <w:tc>
          <w:tcPr>
            <w:tcW w:w="2380" w:type="dxa"/>
            <w:vAlign w:val="bottom"/>
            <w:tcBorders>
              <w:bottom w:val="single" w:sz="8" w:color="auto"/>
              <w:right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23,890,344</w:t>
            </w:r>
          </w:p>
        </w:tc>
      </w:tr>
    </w:tbl>
    <w:p>
      <w:pPr>
        <w:spacing w:after="0" w:line="248" w:lineRule="exact"/>
        <w:rPr>
          <w:sz w:val="20"/>
          <w:szCs w:val="20"/>
          <w:color w:val="auto"/>
        </w:rPr>
      </w:pPr>
    </w:p>
    <w:p>
      <w:pPr>
        <w:ind w:left="560" w:hanging="444"/>
        <w:spacing w:after="0"/>
        <w:tabs>
          <w:tab w:leader="none" w:pos="5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3,704,588 shares of RSUs, all of which were approved by security holders.</w:t>
      </w:r>
    </w:p>
    <w:p>
      <w:pPr>
        <w:spacing w:after="0" w:line="1" w:lineRule="exact"/>
        <w:rPr>
          <w:rFonts w:ascii="Arial" w:cs="Arial" w:eastAsia="Arial" w:hAnsi="Arial"/>
          <w:sz w:val="14"/>
          <w:szCs w:val="14"/>
          <w:color w:val="auto"/>
        </w:rPr>
      </w:pPr>
    </w:p>
    <w:p>
      <w:pPr>
        <w:ind w:left="560" w:hanging="444"/>
        <w:spacing w:after="0"/>
        <w:tabs>
          <w:tab w:leader="none" w:pos="5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Excludes the shares issuable upon the vesting of RSUs included in the first column of this table for which there is no weighted-average price.</w:t>
      </w:r>
    </w:p>
    <w:p>
      <w:pPr>
        <w:spacing w:after="0" w:line="1" w:lineRule="exact"/>
        <w:rPr>
          <w:rFonts w:ascii="Arial" w:cs="Arial" w:eastAsia="Arial" w:hAnsi="Arial"/>
          <w:sz w:val="14"/>
          <w:szCs w:val="14"/>
          <w:color w:val="auto"/>
        </w:rPr>
      </w:pPr>
    </w:p>
    <w:p>
      <w:pPr>
        <w:ind w:left="560" w:hanging="444"/>
        <w:spacing w:after="0"/>
        <w:tabs>
          <w:tab w:leader="none" w:pos="5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2,022,999 shares remaining to be issued out of the 2007 Employee Stock Purchase Plan.</w:t>
      </w:r>
    </w:p>
    <w:p>
      <w:pPr>
        <w:spacing w:after="0" w:line="1" w:lineRule="exact"/>
        <w:rPr>
          <w:rFonts w:ascii="Arial" w:cs="Arial" w:eastAsia="Arial" w:hAnsi="Arial"/>
          <w:sz w:val="14"/>
          <w:szCs w:val="14"/>
          <w:color w:val="auto"/>
        </w:rPr>
      </w:pPr>
    </w:p>
    <w:p>
      <w:pPr>
        <w:ind w:left="560" w:hanging="444"/>
        <w:spacing w:after="0"/>
        <w:tabs>
          <w:tab w:leader="none" w:pos="5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These plans were terminated upon stockholder approval of the 2007 Incentive Plan. There are no stock options outstanding under these plans.</w:t>
      </w:r>
    </w:p>
    <w:p>
      <w:pPr>
        <w:spacing w:after="0" w:line="141"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72</w:t>
            </w:r>
          </w:p>
        </w:tc>
      </w:tr>
    </w:tbl>
    <w:p>
      <w:pPr>
        <w:sectPr>
          <w:pgSz w:w="11900" w:h="16838" w:orient="portrait"/>
          <w:cols w:equalWidth="0" w:num="1">
            <w:col w:w="11440"/>
          </w:cols>
          <w:pgMar w:left="240" w:top="459" w:right="2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205740</wp:posOffset>
            </wp:positionV>
            <wp:extent cx="1569085"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6908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the Audit Committee</w:t>
      </w:r>
    </w:p>
    <w:p>
      <w:pPr>
        <w:spacing w:after="0" w:line="26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Audit Committee oversees Williams’ financial reporting process on behalf of the Board. Management has the primary responsibility for the financial statements and the reporting process, including the systems of internal controls. The Audit Committee meets separately with management, the internal auditors, the independent auditors, and the general counsel. The Audit Committee operates under a written charter approved by the Board, a copy of which is available on our website at www.williams.com. The charter, among other things, provides that the Audit Committee has full authority to appoint, oversee, compensate, evaluate, and terminate when appropriate, the independent auditor. In this context, the Audit Committee:</w:t>
      </w:r>
    </w:p>
    <w:p>
      <w:pPr>
        <w:spacing w:after="0" w:line="109" w:lineRule="exact"/>
        <w:rPr>
          <w:sz w:val="20"/>
          <w:szCs w:val="20"/>
          <w:color w:val="auto"/>
        </w:rPr>
      </w:pPr>
    </w:p>
    <w:p>
      <w:pPr>
        <w:jc w:val="both"/>
        <w:ind w:left="780" w:hanging="326"/>
        <w:spacing w:after="0" w:line="246"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in Williams’ annual report on Form 10-K with management, including a discussion of the quality – not just the acceptability – of the accounting principles, the reasonableness of significant judgments, and the clarity of disclosures in the financial statements;</w:t>
      </w:r>
    </w:p>
    <w:p>
      <w:pPr>
        <w:spacing w:after="0" w:line="1" w:lineRule="exact"/>
        <w:rPr>
          <w:rFonts w:ascii="Arial" w:cs="Arial" w:eastAsia="Arial" w:hAnsi="Arial"/>
          <w:sz w:val="16"/>
          <w:szCs w:val="16"/>
          <w:color w:val="auto"/>
        </w:rPr>
      </w:pPr>
    </w:p>
    <w:p>
      <w:pPr>
        <w:jc w:val="both"/>
        <w:ind w:left="780" w:hanging="326"/>
        <w:spacing w:after="0" w:line="246"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reviewed with Ernst &amp; Young LLP, Williams’ independent auditors, who are responsible for expressing an opinion on the conformity of those audited financial statements with generally accepted accounting principles, their judgments as to the quality and acceptability of Williams’ accounting principles and such other matters as are required to be discussed with the Audit Committee under generally accepted auditing standards;</w:t>
      </w:r>
    </w:p>
    <w:p>
      <w:pPr>
        <w:spacing w:after="0" w:line="1" w:lineRule="exact"/>
        <w:rPr>
          <w:rFonts w:ascii="Arial" w:cs="Arial" w:eastAsia="Arial" w:hAnsi="Arial"/>
          <w:sz w:val="16"/>
          <w:szCs w:val="16"/>
          <w:color w:val="auto"/>
        </w:rPr>
      </w:pPr>
    </w:p>
    <w:p>
      <w:pPr>
        <w:ind w:left="780" w:hanging="326"/>
        <w:spacing w:after="0" w:line="246"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Ernst &amp; Young LLP required by applicable requirements of the Public Company Accounting Oversight Board regarding Ernst &amp; Young LLP’s communications with the Audit Committee concerning independence;</w:t>
      </w:r>
    </w:p>
    <w:p>
      <w:pPr>
        <w:ind w:left="780" w:right="20" w:hanging="326"/>
        <w:spacing w:after="0" w:line="246"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discussed with Ernst &amp; Young LLP its independence from management and Williams and considered whether Ernst &amp; Young LLP could also provide non-audit services without compromising the firm’s independence;</w:t>
      </w:r>
    </w:p>
    <w:p>
      <w:pPr>
        <w:ind w:left="780" w:hanging="326"/>
        <w:spacing w:after="0" w:line="246"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discussed with Ernst &amp; Young LLP the matters required to be discussed by Auditing Standard No. 16, “Communications with Audit Committees” issued by the Public Company Accounting Oversight Board;</w:t>
      </w:r>
    </w:p>
    <w:p>
      <w:pPr>
        <w:jc w:val="both"/>
        <w:ind w:left="780" w:hanging="326"/>
        <w:spacing w:after="0" w:line="246"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discussed with Williams’ internal auditors and Ernst &amp; Young LLP the overall scope and plans for their respective audits, and then met with the internal auditors and Ernst &amp; Young LLP, with and without management present, to discuss the results of their examinations, their evaluations of Williams’ internal controls and the overall quality of Williams’ financial reporting;</w:t>
      </w:r>
    </w:p>
    <w:p>
      <w:pPr>
        <w:spacing w:after="0" w:line="1" w:lineRule="exact"/>
        <w:rPr>
          <w:rFonts w:ascii="Arial" w:cs="Arial" w:eastAsia="Arial" w:hAnsi="Arial"/>
          <w:sz w:val="16"/>
          <w:szCs w:val="16"/>
          <w:color w:val="auto"/>
        </w:rPr>
      </w:pPr>
    </w:p>
    <w:p>
      <w:pPr>
        <w:ind w:left="780" w:right="20" w:hanging="326"/>
        <w:spacing w:after="0" w:line="246"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the foregoing reviews and discussions, recommended to the Board of Directors that the audited financial statements be included in the annual report on Form 10-K for the year ended December 31, 2014, for filing with the SEC; and</w:t>
      </w:r>
    </w:p>
    <w:p>
      <w:pPr>
        <w:ind w:left="780" w:hanging="326"/>
        <w:spacing w:after="0" w:line="260"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appointed Ernst &amp; Young LLP to serve as Williams’ independent auditors for 2015, subject to ratification by the Board and the Company’s stockholders.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This report has been furnished by the members of the Audit Committee of the Board of Directors:</w:t>
      </w:r>
    </w:p>
    <w:p>
      <w:pPr>
        <w:spacing w:after="0" w:line="127" w:lineRule="exact"/>
        <w:rPr>
          <w:sz w:val="20"/>
          <w:szCs w:val="20"/>
          <w:color w:val="auto"/>
        </w:rPr>
      </w:pPr>
    </w:p>
    <w:p>
      <w:pPr>
        <w:ind w:left="780" w:hanging="326"/>
        <w:spacing w:after="0"/>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Kathleen B. Cooper, Chair</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Juanita H. Hinshaw</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Ralph Izzo</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Keith A. Meister</w:t>
      </w:r>
    </w:p>
    <w:p>
      <w:pPr>
        <w:spacing w:after="0" w:line="14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73</w:t>
            </w: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6634480</wp:posOffset>
            </wp:positionH>
            <wp:positionV relativeFrom="paragraph">
              <wp:posOffset>205740</wp:posOffset>
            </wp:positionV>
            <wp:extent cx="617220"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540" w:right="2000" w:hanging="3537"/>
        <w:spacing w:after="0" w:line="248" w:lineRule="auto"/>
        <w:tabs>
          <w:tab w:leader="none" w:pos="3520" w:val="left"/>
        </w:tabs>
        <w:rPr>
          <w:sz w:val="20"/>
          <w:szCs w:val="20"/>
          <w:color w:val="auto"/>
        </w:rPr>
      </w:pPr>
      <w:r>
        <w:rPr>
          <w:rFonts w:ascii="Arial" w:cs="Arial" w:eastAsia="Arial" w:hAnsi="Arial"/>
          <w:sz w:val="40"/>
          <w:szCs w:val="40"/>
          <w:color w:val="225CAB"/>
        </w:rPr>
        <w:t>PROPOSAL 2</w:t>
      </w:r>
      <w:r>
        <w:rPr>
          <w:sz w:val="20"/>
          <w:szCs w:val="20"/>
          <w:color w:val="auto"/>
        </w:rPr>
        <w:tab/>
      </w:r>
      <w:r>
        <w:rPr>
          <w:rFonts w:ascii="Arial" w:cs="Arial" w:eastAsia="Arial" w:hAnsi="Arial"/>
          <w:sz w:val="36"/>
          <w:szCs w:val="36"/>
          <w:color w:val="auto"/>
        </w:rPr>
        <w:t>RATIFICATION OF THE APPOINTMENT OF INDEPENDENT AUDITORS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225CAB"/>
        </w:rPr>
        <w:t>The Board of Directors recommends a vote “FOR” the ratification of Ernst &amp; Young LLP as our independent auditors for 2015.</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Audit Committee is responsible for selecting Williams’ independent, registered public accounting firm. At a meeting held on March 4, 2015, the Audit Committee appointed the firm of Ernst &amp; Young LLP (“EY”) as the independent auditors to audit our financial statements for calendar year 2015. The Audit Committee considered a number of factors in determining to appoint EY as our independent auditors, including the firm’s professional qualifications and resources, past performance, expertise in our industry, tenure, and capability in handling the breadth and complexity of our business. In selecting the independent auditors, the Audit Committee considered the firm’s independence, and when rotation is required also is involved in the selection of the firm’s lead engagement partner. The Audit Committee believes that the appointment of EY as our independent auditors is in the best interests of our stockholders.</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representative of EY will attend the annual meeting and will be available to respond to appropriate questions. Although the audit firm has indicated that no statement will be made, an opportunity for a statement will be provided. Stockholder approval of the appointment of EY is not required, but the Audit Committee and the Board are submitting the selection of EY for ratification to obtain our stockholders’ views. If a majority of the stockholders do not ratify the appointment of EY as the independent auditors to audit our financial statements for calendar year 2015, the Audit Committee and the Board will consider the voting results and evaluate whether to select a different independent auditor.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Accounting Fees and Services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Fees for professional services provided by our independent auditors for each of the last two fiscal years were as follows:</w:t>
      </w:r>
    </w:p>
    <w:p>
      <w:pPr>
        <w:spacing w:after="0" w:line="226" w:lineRule="exact"/>
        <w:rPr>
          <w:sz w:val="20"/>
          <w:szCs w:val="20"/>
          <w:color w:val="auto"/>
        </w:rPr>
      </w:pPr>
    </w:p>
    <w:tbl>
      <w:tblPr>
        <w:tblLayout w:type="fixed"/>
        <w:tblInd w:w="2890"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tcBorders>
          </w:tcPr>
          <w:p>
            <w:pPr>
              <w:spacing w:after="0"/>
              <w:rPr>
                <w:sz w:val="14"/>
                <w:szCs w:val="14"/>
                <w:color w:val="auto"/>
              </w:rPr>
            </w:pPr>
          </w:p>
        </w:tc>
        <w:tc>
          <w:tcPr>
            <w:tcW w:w="1420" w:type="dxa"/>
            <w:vAlign w:val="bottom"/>
            <w:tcBorders>
              <w:top w:val="single" w:sz="8" w:color="auto"/>
            </w:tcBorders>
          </w:tcPr>
          <w:p>
            <w:pPr>
              <w:jc w:val="right"/>
              <w:ind w:right="142"/>
              <w:spacing w:after="0" w:line="162" w:lineRule="exact"/>
              <w:rPr>
                <w:sz w:val="20"/>
                <w:szCs w:val="20"/>
                <w:color w:val="auto"/>
              </w:rPr>
            </w:pPr>
            <w:r>
              <w:rPr>
                <w:rFonts w:ascii="Arial" w:cs="Arial" w:eastAsia="Arial" w:hAnsi="Arial"/>
                <w:sz w:val="16"/>
                <w:szCs w:val="16"/>
                <w:b w:val="1"/>
                <w:bCs w:val="1"/>
                <w:color w:val="auto"/>
              </w:rPr>
              <w:t>2014</w:t>
            </w:r>
          </w:p>
        </w:tc>
        <w:tc>
          <w:tcPr>
            <w:tcW w:w="940" w:type="dxa"/>
            <w:vAlign w:val="bottom"/>
            <w:tcBorders>
              <w:top w:val="single" w:sz="8" w:color="auto"/>
              <w:right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2013</w:t>
            </w:r>
          </w:p>
        </w:tc>
      </w:tr>
      <w:tr>
        <w:trPr>
          <w:trHeight w:val="189"/>
        </w:trPr>
        <w:tc>
          <w:tcPr>
            <w:tcW w:w="3360" w:type="dxa"/>
            <w:vAlign w:val="bottom"/>
            <w:tcBorders>
              <w:left w:val="single" w:sz="8" w:color="auto"/>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(millions)</w:t>
            </w:r>
          </w:p>
        </w:tc>
        <w:tc>
          <w:tcPr>
            <w:tcW w:w="940" w:type="dxa"/>
            <w:vAlign w:val="bottom"/>
            <w:tcBorders>
              <w:bottom w:val="single" w:sz="8" w:color="auto"/>
              <w:right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(millions)</w:t>
            </w:r>
          </w:p>
        </w:tc>
      </w:tr>
      <w:tr>
        <w:trPr>
          <w:trHeight w:val="183"/>
        </w:trPr>
        <w:tc>
          <w:tcPr>
            <w:tcW w:w="3360" w:type="dxa"/>
            <w:vAlign w:val="bottom"/>
            <w:tcBorders>
              <w:left w:val="single" w:sz="8" w:color="auto"/>
            </w:tcBorders>
            <w:shd w:val="clear" w:color="auto" w:fill="CCEEFF"/>
          </w:tcPr>
          <w:p>
            <w:pPr>
              <w:jc w:val="center"/>
              <w:ind w:left="499"/>
              <w:spacing w:after="0" w:line="183" w:lineRule="exact"/>
              <w:rPr>
                <w:sz w:val="20"/>
                <w:szCs w:val="20"/>
                <w:color w:val="auto"/>
              </w:rPr>
            </w:pPr>
            <w:r>
              <w:rPr>
                <w:rFonts w:ascii="Arial" w:cs="Arial" w:eastAsia="Arial" w:hAnsi="Arial"/>
                <w:sz w:val="16"/>
                <w:szCs w:val="16"/>
                <w:color w:val="auto"/>
              </w:rPr>
              <w:t>Audit Fees</w:t>
            </w:r>
          </w:p>
        </w:tc>
        <w:tc>
          <w:tcPr>
            <w:tcW w:w="1420" w:type="dxa"/>
            <w:vAlign w:val="bottom"/>
            <w:shd w:val="clear" w:color="auto" w:fill="CCEEFF"/>
          </w:tcPr>
          <w:p>
            <w:pPr>
              <w:jc w:val="right"/>
              <w:ind w:right="2"/>
              <w:spacing w:after="0" w:line="183" w:lineRule="exact"/>
              <w:rPr>
                <w:sz w:val="20"/>
                <w:szCs w:val="20"/>
                <w:color w:val="auto"/>
              </w:rPr>
            </w:pPr>
            <w:r>
              <w:rPr>
                <w:rFonts w:ascii="Arial" w:cs="Arial" w:eastAsia="Arial" w:hAnsi="Arial"/>
                <w:sz w:val="16"/>
                <w:szCs w:val="16"/>
                <w:color w:val="auto"/>
              </w:rPr>
              <w:t>$9.7</w:t>
            </w:r>
          </w:p>
        </w:tc>
        <w:tc>
          <w:tcPr>
            <w:tcW w:w="940" w:type="dxa"/>
            <w:vAlign w:val="bottom"/>
            <w:tcBorders>
              <w:right w:val="single" w:sz="8" w:color="auto"/>
            </w:tcBorders>
            <w:shd w:val="clear" w:color="auto" w:fill="CCEEFF"/>
          </w:tcPr>
          <w:p>
            <w:pPr>
              <w:jc w:val="right"/>
              <w:ind w:right="102"/>
              <w:spacing w:after="0" w:line="183" w:lineRule="exact"/>
              <w:rPr>
                <w:sz w:val="20"/>
                <w:szCs w:val="20"/>
                <w:color w:val="auto"/>
              </w:rPr>
            </w:pPr>
            <w:r>
              <w:rPr>
                <w:rFonts w:ascii="Arial" w:cs="Arial" w:eastAsia="Arial" w:hAnsi="Arial"/>
                <w:sz w:val="16"/>
                <w:szCs w:val="16"/>
                <w:color w:val="auto"/>
              </w:rPr>
              <w:t>$8.4</w:t>
            </w:r>
          </w:p>
        </w:tc>
      </w:tr>
      <w:tr>
        <w:trPr>
          <w:trHeight w:val="189"/>
        </w:trPr>
        <w:tc>
          <w:tcPr>
            <w:tcW w:w="3360" w:type="dxa"/>
            <w:vAlign w:val="bottom"/>
            <w:tcBorders>
              <w:left w:val="single" w:sz="8" w:color="auto"/>
            </w:tcBorders>
          </w:tcPr>
          <w:p>
            <w:pPr>
              <w:jc w:val="center"/>
              <w:ind w:left="479"/>
              <w:spacing w:after="0"/>
              <w:rPr>
                <w:sz w:val="20"/>
                <w:szCs w:val="20"/>
                <w:color w:val="auto"/>
              </w:rPr>
            </w:pPr>
            <w:r>
              <w:rPr>
                <w:rFonts w:ascii="Arial" w:cs="Arial" w:eastAsia="Arial" w:hAnsi="Arial"/>
                <w:sz w:val="16"/>
                <w:szCs w:val="16"/>
                <w:color w:val="auto"/>
              </w:rPr>
              <w:t>Audit-related Fees</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0.7</w:t>
            </w:r>
          </w:p>
        </w:tc>
        <w:tc>
          <w:tcPr>
            <w:tcW w:w="940" w:type="dxa"/>
            <w:vAlign w:val="bottom"/>
            <w:tcBorders>
              <w:right w:val="single" w:sz="8" w:color="auto"/>
            </w:tcBorders>
          </w:tcPr>
          <w:p>
            <w:pPr>
              <w:jc w:val="right"/>
              <w:ind w:right="102"/>
              <w:spacing w:after="0"/>
              <w:rPr>
                <w:sz w:val="20"/>
                <w:szCs w:val="20"/>
                <w:color w:val="auto"/>
              </w:rPr>
            </w:pPr>
            <w:r>
              <w:rPr>
                <w:rFonts w:ascii="Arial" w:cs="Arial" w:eastAsia="Arial" w:hAnsi="Arial"/>
                <w:sz w:val="16"/>
                <w:szCs w:val="16"/>
                <w:color w:val="auto"/>
              </w:rPr>
              <w:t>0.5</w:t>
            </w:r>
          </w:p>
        </w:tc>
      </w:tr>
      <w:tr>
        <w:trPr>
          <w:trHeight w:val="189"/>
        </w:trPr>
        <w:tc>
          <w:tcPr>
            <w:tcW w:w="3360" w:type="dxa"/>
            <w:vAlign w:val="bottom"/>
            <w:tcBorders>
              <w:left w:val="single" w:sz="8" w:color="auto"/>
            </w:tcBorders>
            <w:shd w:val="clear" w:color="auto" w:fill="CCEEFF"/>
          </w:tcPr>
          <w:p>
            <w:pPr>
              <w:jc w:val="center"/>
              <w:ind w:left="499"/>
              <w:spacing w:after="0"/>
              <w:rPr>
                <w:sz w:val="20"/>
                <w:szCs w:val="20"/>
                <w:color w:val="auto"/>
              </w:rPr>
            </w:pPr>
            <w:r>
              <w:rPr>
                <w:rFonts w:ascii="Arial" w:cs="Arial" w:eastAsia="Arial" w:hAnsi="Arial"/>
                <w:sz w:val="16"/>
                <w:szCs w:val="16"/>
                <w:color w:val="auto"/>
                <w:w w:val="98"/>
              </w:rPr>
              <w:t>Tax Fees</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0.2</w:t>
            </w:r>
          </w:p>
        </w:tc>
        <w:tc>
          <w:tcPr>
            <w:tcW w:w="940" w:type="dxa"/>
            <w:vAlign w:val="bottom"/>
            <w:tcBorders>
              <w:right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0.4</w:t>
            </w:r>
          </w:p>
        </w:tc>
      </w:tr>
      <w:tr>
        <w:trPr>
          <w:trHeight w:val="189"/>
        </w:trPr>
        <w:tc>
          <w:tcPr>
            <w:tcW w:w="3360" w:type="dxa"/>
            <w:vAlign w:val="bottom"/>
            <w:tcBorders>
              <w:left w:val="single" w:sz="8" w:color="auto"/>
            </w:tcBorders>
          </w:tcPr>
          <w:p>
            <w:pPr>
              <w:jc w:val="center"/>
              <w:ind w:left="479"/>
              <w:spacing w:after="0"/>
              <w:rPr>
                <w:sz w:val="20"/>
                <w:szCs w:val="20"/>
                <w:color w:val="auto"/>
              </w:rPr>
            </w:pPr>
            <w:r>
              <w:rPr>
                <w:rFonts w:ascii="Arial" w:cs="Arial" w:eastAsia="Arial" w:hAnsi="Arial"/>
                <w:sz w:val="16"/>
                <w:szCs w:val="16"/>
                <w:color w:val="auto"/>
              </w:rPr>
              <w:t>All Other Fees</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r>
      <w:tr>
        <w:trPr>
          <w:trHeight w:val="189"/>
        </w:trPr>
        <w:tc>
          <w:tcPr>
            <w:tcW w:w="3360" w:type="dxa"/>
            <w:vAlign w:val="bottom"/>
            <w:tcBorders>
              <w:left w:val="single" w:sz="8" w:color="auto"/>
              <w:bottom w:val="single" w:sz="8" w:color="auto"/>
            </w:tcBorders>
            <w:shd w:val="clear" w:color="auto" w:fill="CCEEFF"/>
          </w:tcPr>
          <w:p>
            <w:pPr>
              <w:jc w:val="center"/>
              <w:ind w:left="499"/>
              <w:spacing w:after="0"/>
              <w:rPr>
                <w:sz w:val="20"/>
                <w:szCs w:val="20"/>
                <w:color w:val="auto"/>
              </w:rPr>
            </w:pPr>
            <w:r>
              <w:rPr>
                <w:rFonts w:ascii="Arial" w:cs="Arial" w:eastAsia="Arial" w:hAnsi="Arial"/>
                <w:sz w:val="16"/>
                <w:szCs w:val="16"/>
                <w:b w:val="1"/>
                <w:bCs w:val="1"/>
                <w:color w:val="auto"/>
                <w:w w:val="99"/>
              </w:rPr>
              <w:t>Total</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10.6</w:t>
            </w:r>
          </w:p>
        </w:tc>
        <w:tc>
          <w:tcPr>
            <w:tcW w:w="940" w:type="dxa"/>
            <w:vAlign w:val="bottom"/>
            <w:tcBorders>
              <w:bottom w:val="single" w:sz="8" w:color="auto"/>
              <w:right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9.3</w:t>
            </w:r>
          </w:p>
        </w:tc>
      </w:tr>
    </w:tbl>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Audit fees include fees associated with the annual audits of all of our registrants for SEC and Federal Energy Regulatory Commission reporting purposes, the reviews of our quarterly reports on Form 10-Q, the audit of internal controls as required by Section 404 of the Sarbanes-Oxley Act of 2002, and services performed in connection with other filings with the SEC. Audit-related fees include audits of employee benefit plans and services performed for other compliance purposes. Tax fees include tax planning, tax advice, and tax compliance. EY does not provide tax services to our executives.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Policy on Audit Committee Pre-Approval of Audit and Non-Audit Services of Independent Auditors</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Audit Committee is responsible for appointment, compensation, retention, and oversight of EY, our independent auditors. The Audit Committee is responsible for overseeing the determination of fees associated</w:t>
      </w:r>
    </w:p>
    <w:p>
      <w:pPr>
        <w:spacing w:after="0" w:line="123"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74</w:t>
            </w: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6634480</wp:posOffset>
            </wp:positionH>
            <wp:positionV relativeFrom="paragraph">
              <wp:posOffset>205740</wp:posOffset>
            </wp:positionV>
            <wp:extent cx="61722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with EY’s audit of our financial statements. The Audit Committee has established a policy regarding pre-approval of all audit and non-audit services provided by EY.</w:t>
      </w:r>
    </w:p>
    <w:p>
      <w:pPr>
        <w:spacing w:after="0" w:line="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an ongoing basis, our management presents specific projects and categories of service to the Audit Committee to request advance approval. The Audit Committee reviews those requests and advises management if the Audit Committee approves the engagement of EY. On a periodic basis, our management reports to the Audit Committee regarding the actual spending for such projects and services compared to the approved amounts. The Audit Committee may also delegate the authority to pre-approve audit and permitted non-audit services, excluding services related to the Company’s internal control over financial reporting, to a subcommittee of one or more committee members, provided that any such pre-approvals are reported on at a subsequent Audit Committee meeting. In 2013 and 2014, 100% of EY’s services were pre-approved by the Audit Committee.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of Williams Partners’ Independent Registered Accounting Firm</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Williams Partners (formerly known as Access Midstream Partners, L.P.) merged with Pre-merger Williams Partners in February 2015 and is a significant subsidiary of the Company. The Audit Committee of the Board of Directors of the general partner of Williams Partners dismissed PricewaterhouseCoopers LLP (“PwC”) as Williams Partners’ independent registered public accounting firm upon the filing of Williams Partners’ Quarterly Report on Form 10-Q for the quarter ended September 30, 2014. The Audit Committee approved the appointment of EY as Williams Partners’ independent registered public accounting firm for the fiscal year ending December 31, 2014.</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PwC’s audit reports on Williams Partners’ consolidated financial statements for each of the two most recent fiscal years ended December 31, 2013 and 2012 did not contain an adverse opinion or a disclaimer of opinion, and were not qualified or modified as to uncertainty, audit scope, or accounting principles. During the two most recent fiscal years ended December 31, 2013 and 2012, and in the subsequent interim period through October 30, 2014, there were (i) no disagreements with PwC on any matter of accounting principles or practices, financial statement disclosure or auditing scope or procedure, which disagreement, if not resolved to the satisfaction of PwC, would have caused PwC to make reference to the subject matter of the disagreement in its reports on the consolidated financial statements for such years, and (ii) no “reportable events” within the meaning of Item 304(a)(1)(v) of the SEC’s Regulation S-K.</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the audits of Williams Partners’ consolidated financial statements, during Williams Partners’ two most recent fiscal years ended December 31, 2013 and 2012 and subsequent interim period through October 30, 2014, neither Williams Partners, its general partner, nor anyone on each of its behalf consulted with EY regarding (i) the application of accounting principles to a specified transaction, either completed or proposed, or the type of audit opinion that might be rendered on Williams Partners’ financial statements, and neither a written report nor oral advice was provided to Williams Partners or its general partner that EY concluded was an important factor considered by Williams Partners or its general partner in reaching a decision as to the accounting, auditing, or financial reporting issue; or (ii) any matter that was either the subject of a “disagreement” (as that term is defined in Item 304(a)(1)(iv) of Regulation S-K and the related instructions to Item 304 of Regulation S-K) or a “reportable event” (as that term is defined in Item 304(a)(1)(v) of Regulation S-K).</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We previously reported this information in our Current Report on Form 8-K dated October 3, 2014, as amended on November 4, 2014.</w:t>
      </w:r>
    </w:p>
    <w:p>
      <w:pPr>
        <w:spacing w:after="0" w:line="14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75</w:t>
            </w: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6788785</wp:posOffset>
            </wp:positionH>
            <wp:positionV relativeFrom="paragraph">
              <wp:posOffset>205740</wp:posOffset>
            </wp:positionV>
            <wp:extent cx="46291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6291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60" w:right="1460" w:hanging="3659"/>
        <w:spacing w:after="0" w:line="290" w:lineRule="auto"/>
        <w:tabs>
          <w:tab w:leader="none" w:pos="3640" w:val="left"/>
        </w:tabs>
        <w:rPr>
          <w:sz w:val="20"/>
          <w:szCs w:val="20"/>
          <w:color w:val="auto"/>
        </w:rPr>
      </w:pPr>
      <w:r>
        <w:rPr>
          <w:rFonts w:ascii="Arial" w:cs="Arial" w:eastAsia="Arial" w:hAnsi="Arial"/>
          <w:sz w:val="40"/>
          <w:szCs w:val="40"/>
          <w:color w:val="225CAB"/>
        </w:rPr>
        <w:t>PROPOSAL 3</w:t>
      </w:r>
      <w:r>
        <w:rPr>
          <w:sz w:val="20"/>
          <w:szCs w:val="20"/>
          <w:color w:val="auto"/>
        </w:rPr>
        <w:tab/>
      </w:r>
      <w:r>
        <w:rPr>
          <w:rFonts w:ascii="Arial" w:cs="Arial" w:eastAsia="Arial" w:hAnsi="Arial"/>
          <w:sz w:val="40"/>
          <w:szCs w:val="40"/>
          <w:color w:val="auto"/>
        </w:rPr>
        <w:t>ADVISORY VOTE ON EXECUTIVE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225CAB"/>
        </w:rPr>
        <w:t>The Board of Directors recommends that you vote “FOR” the approval of the company’s executive compensation.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We request our stockholders’ non-binding, advisory vote on our NEO Compensation as disclosed in accordance with the SEC’s rules in this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This proposal is commonly known as a “say-on-pay” proposal.</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discussed in the “Compensation Discussion and Analysis” section of this proxy statement on pages 36 to 56 as well as in the tables and narrative in the “Executive Compensation and Other Information” section on pages 57 to 68, our compensation programs are designed to attract and retain the talent needed to drive stockholder value and help each of our businesses meet or exceed financial and performance targets. Our compensation programs are intended to reward our NEOs for successfully implementing our strategy to grow our business and create long-term stockholder value. We believe our programs effectively link executive pay to the financial performance of the Company while also aligning our NEOs with the interests of our stockholders. The following are some key points that demonstrate our commitment to aligning pay to performance:</w:t>
      </w:r>
    </w:p>
    <w:p>
      <w:pPr>
        <w:spacing w:after="0" w:line="111" w:lineRule="exact"/>
        <w:rPr>
          <w:sz w:val="20"/>
          <w:szCs w:val="20"/>
          <w:color w:val="auto"/>
        </w:rPr>
      </w:pPr>
    </w:p>
    <w:p>
      <w:pPr>
        <w:ind w:left="780" w:hanging="326"/>
        <w:spacing w:after="0" w:line="246" w:lineRule="auto"/>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significant majority of NEO target compensation is provided in the form of long-term equity awards, ensuring pay is aligned with stockholders and linked to the performance of our Company’s common stock;</w:t>
      </w:r>
    </w:p>
    <w:p>
      <w:pPr>
        <w:jc w:val="both"/>
        <w:ind w:left="780" w:hanging="326"/>
        <w:spacing w:after="0" w:line="246" w:lineRule="auto"/>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Performance-based RSU awards are measured based on both relative and absolute TSR. This ensures our stock price performance must perform well in relation to our comparator group of companies while also delivering a strong absolute return to our stockholders in order to deliver the targeted number of RSUs to our NEOs upon vesting; and</w:t>
      </w:r>
    </w:p>
    <w:p>
      <w:pPr>
        <w:spacing w:after="0" w:line="1" w:lineRule="exact"/>
        <w:rPr>
          <w:rFonts w:ascii="Arial" w:cs="Arial" w:eastAsia="Arial" w:hAnsi="Arial"/>
          <w:sz w:val="16"/>
          <w:szCs w:val="16"/>
          <w:color w:val="auto"/>
        </w:rPr>
      </w:pPr>
    </w:p>
    <w:p>
      <w:pPr>
        <w:ind w:left="780" w:hanging="326"/>
        <w:spacing w:after="0" w:line="260" w:lineRule="auto"/>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2014 Annual Incentive Program aligns 2014 payments to actual performance on pre-established targets effectively linking the Company’s financial performance to NEO pay.</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seeking our stockholders support for our NEO compensation as detailed in this proxy statement. This proposal conforms to SEC requirements and seeks our stockholders views on our NEO compensation. It is not intended to address any specific element of compensation, but rather the overall compensation provided to our NEOs including our pay philosophy, our pay principles and pay practices as described in this proxy statement. The Board asks for your “FOR” advisory vote on the following resolution:</w:t>
      </w:r>
    </w:p>
    <w:p>
      <w:pPr>
        <w:spacing w:after="0" w:line="95" w:lineRule="exact"/>
        <w:rPr>
          <w:sz w:val="20"/>
          <w:szCs w:val="20"/>
          <w:color w:val="auto"/>
        </w:rPr>
      </w:pPr>
    </w:p>
    <w:p>
      <w:pPr>
        <w:jc w:val="both"/>
        <w:ind w:left="1260" w:right="1260"/>
        <w:spacing w:after="0" w:line="250" w:lineRule="auto"/>
        <w:rPr>
          <w:sz w:val="20"/>
          <w:szCs w:val="20"/>
          <w:color w:val="auto"/>
        </w:rPr>
      </w:pPr>
      <w:r>
        <w:rPr>
          <w:rFonts w:ascii="Arial" w:cs="Arial" w:eastAsia="Arial" w:hAnsi="Arial"/>
          <w:sz w:val="16"/>
          <w:szCs w:val="16"/>
          <w:color w:val="auto"/>
        </w:rPr>
        <w:t>RESOLVED, that the stockholders of The Williams Companies, Inc. (the “Company”) approve, on an advisory basis, the executive compensation of the Company’s named executive officers as disclosed within this proxy statement pursuant to the compensation disclosure rules of the Securities Exchange Act of 1934, as amended (Item 402 of Regulation S-K), which disclosure includes the Compensation Discussion and Analysis, the compensation tables, and any related narrative discussion contained in this proxy statement.</w:t>
      </w:r>
    </w:p>
    <w:p>
      <w:pPr>
        <w:spacing w:after="0" w:line="9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Because your vote is advisory, it will not be binding on the Board and will not overrule any decision by the Board or require the Board to take any action. However, the Board will take into account the outcome of the vote when considering future executive compensation decisions for NEOs. We currently conduct annual advisory votes on executive compensation, and we expect to conduct the next advisory vote at our 2016 annual meeting of stockholders.</w:t>
      </w:r>
    </w:p>
    <w:p>
      <w:pPr>
        <w:spacing w:after="0" w:line="12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76</w:t>
            </w: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205740</wp:posOffset>
            </wp:positionV>
            <wp:extent cx="2521585" cy="3689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2158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Incorporation by Reference</w:t>
      </w: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Report on Executive Compensation and the Report of the Audit Committee are not deemed filed with the SEC and shall not be deemed incorporated by reference into any prior or future filings made by Williams under the Securities Act or the Exchange Act, except to the extent that Williams specifically incorporates such information by reference. In addition, the website addresses contained in this proxy statement are intended to provide inactive, textual references only. The information on these websites is not part of this proxy statement.</w:t>
      </w: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Website Access to Reports and Other Information</w:t>
      </w: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file our annual report on Form 10-K, quarterly reports on Form 10-Q, current reports on Form 8-K, proxy statements, and other documents electronically with the SEC under the Exchange Act. You may read and copy any materials that we file with the SEC at the SEC’s Public Reference Room at 100 F Street, N.E., Washington, DC 20549. You may obtain information on the operation of the Public Reference Room by calling the SEC at 1-800-SEC-0330. You may also obtain such reports from the SEC’s website at www.sec.gov.</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Our website is www.williams.com. We make available free of charge through the Investors page of our website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Our Corporate Governance Guidelines, Code of Ethics for Senior Officers, Board committee charters, and the Williams Code of Business Conduct are also available on our website. </w:t>
      </w:r>
      <w:r>
        <w:rPr>
          <w:rFonts w:ascii="Arial" w:cs="Arial" w:eastAsia="Arial" w:hAnsi="Arial"/>
          <w:sz w:val="16"/>
          <w:szCs w:val="16"/>
          <w:b w:val="1"/>
          <w:bCs w:val="1"/>
          <w:color w:val="auto"/>
        </w:rPr>
        <w:t>We will provide, free of</w:t>
      </w:r>
      <w:r>
        <w:rPr>
          <w:rFonts w:ascii="Arial" w:cs="Arial" w:eastAsia="Arial" w:hAnsi="Arial"/>
          <w:sz w:val="16"/>
          <w:szCs w:val="16"/>
          <w:color w:val="auto"/>
        </w:rPr>
        <w:t xml:space="preserve"> </w:t>
      </w:r>
      <w:r>
        <w:rPr>
          <w:rFonts w:ascii="Arial" w:cs="Arial" w:eastAsia="Arial" w:hAnsi="Arial"/>
          <w:sz w:val="16"/>
          <w:szCs w:val="16"/>
          <w:b w:val="1"/>
          <w:bCs w:val="1"/>
          <w:color w:val="auto"/>
        </w:rPr>
        <w:t>charge, a copy of any of our corporate documents listed above upon written request to our corporate secretary at Williams, One Williams Center, MD 47, Tulsa, Oklahoma 74172.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156210</wp:posOffset>
            </wp:positionV>
            <wp:extent cx="1243330" cy="523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4333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Sarah C. Miller</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Corporate Secretary</w:t>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Interim Senior Vice President and General Counsel</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Tulsa, Oklahoma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10, 2015</w:t>
      </w:r>
    </w:p>
    <w:p>
      <w:pPr>
        <w:spacing w:after="0" w:line="148" w:lineRule="exact"/>
        <w:rPr>
          <w:sz w:val="20"/>
          <w:szCs w:val="20"/>
          <w:color w:val="auto"/>
        </w:rPr>
      </w:pPr>
    </w:p>
    <w:tbl>
      <w:tblPr>
        <w:tblLayout w:type="fixed"/>
        <w:tblInd w:w="364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4"/>
                <w:szCs w:val="14"/>
                <w:i w:val="1"/>
                <w:iCs w:val="1"/>
                <w:color w:val="225CAB"/>
              </w:rPr>
              <w:t>The Williams Companies, Inc. – 2015 Proxy Statement</w:t>
            </w:r>
          </w:p>
        </w:tc>
        <w:tc>
          <w:tcPr>
            <w:tcW w:w="440" w:type="dxa"/>
            <w:vAlign w:val="bottom"/>
          </w:tcPr>
          <w:p>
            <w:pPr>
              <w:jc w:val="right"/>
              <w:spacing w:after="0"/>
              <w:rPr>
                <w:sz w:val="20"/>
                <w:szCs w:val="20"/>
                <w:color w:val="auto"/>
              </w:rPr>
            </w:pPr>
            <w:r>
              <w:rPr>
                <w:rFonts w:ascii="Arial" w:cs="Arial" w:eastAsia="Arial" w:hAnsi="Arial"/>
                <w:sz w:val="20"/>
                <w:szCs w:val="20"/>
                <w:color w:val="auto"/>
              </w:rPr>
              <w:t>77</w:t>
            </w: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54875" cy="37560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375602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339"/>
        <w:spacing w:after="0"/>
        <w:rPr>
          <w:sz w:val="20"/>
          <w:szCs w:val="20"/>
          <w:color w:val="auto"/>
        </w:rPr>
      </w:pPr>
      <w:r>
        <w:rPr>
          <w:rFonts w:ascii="Arial" w:cs="Arial" w:eastAsia="Arial" w:hAnsi="Arial"/>
          <w:sz w:val="22"/>
          <w:szCs w:val="22"/>
          <w:color w:val="auto"/>
        </w:rPr>
        <w:t>The Williams Companies, Inc.</w:t>
      </w:r>
    </w:p>
    <w:p>
      <w:pPr>
        <w:jc w:val="center"/>
        <w:ind w:left="-1339"/>
        <w:spacing w:after="0"/>
        <w:rPr>
          <w:sz w:val="20"/>
          <w:szCs w:val="20"/>
          <w:color w:val="auto"/>
        </w:rPr>
      </w:pPr>
      <w:r>
        <w:rPr>
          <w:rFonts w:ascii="Arial" w:cs="Arial" w:eastAsia="Arial" w:hAnsi="Arial"/>
          <w:sz w:val="21"/>
          <w:szCs w:val="21"/>
          <w:color w:val="auto"/>
        </w:rPr>
        <w:t>Annual Meeting of Stockholders</w:t>
      </w:r>
    </w:p>
    <w:p>
      <w:pPr>
        <w:jc w:val="center"/>
        <w:ind w:left="-1339"/>
        <w:spacing w:after="0" w:line="232" w:lineRule="auto"/>
        <w:rPr>
          <w:sz w:val="20"/>
          <w:szCs w:val="20"/>
          <w:color w:val="auto"/>
        </w:rPr>
      </w:pPr>
      <w:r>
        <w:rPr>
          <w:rFonts w:ascii="Arial" w:cs="Arial" w:eastAsia="Arial" w:hAnsi="Arial"/>
          <w:sz w:val="22"/>
          <w:szCs w:val="22"/>
          <w:color w:val="auto"/>
        </w:rPr>
        <w:t>May 21, 2015</w:t>
      </w:r>
    </w:p>
    <w:p>
      <w:pPr>
        <w:jc w:val="center"/>
        <w:ind w:left="-1339"/>
        <w:spacing w:after="0"/>
        <w:rPr>
          <w:sz w:val="20"/>
          <w:szCs w:val="20"/>
          <w:color w:val="auto"/>
        </w:rPr>
      </w:pPr>
      <w:r>
        <w:rPr>
          <w:rFonts w:ascii="Arial" w:cs="Arial" w:eastAsia="Arial" w:hAnsi="Arial"/>
          <w:sz w:val="22"/>
          <w:szCs w:val="22"/>
          <w:color w:val="auto"/>
        </w:rPr>
        <w:t>2:00 p.m. Central Time</w:t>
      </w:r>
    </w:p>
    <w:p>
      <w:pPr>
        <w:spacing w:after="0" w:line="234" w:lineRule="exact"/>
        <w:rPr>
          <w:sz w:val="20"/>
          <w:szCs w:val="20"/>
          <w:color w:val="auto"/>
        </w:rPr>
      </w:pPr>
    </w:p>
    <w:p>
      <w:pPr>
        <w:jc w:val="center"/>
        <w:ind w:left="-1339"/>
        <w:spacing w:after="0"/>
        <w:rPr>
          <w:sz w:val="20"/>
          <w:szCs w:val="20"/>
          <w:color w:val="auto"/>
        </w:rPr>
      </w:pPr>
      <w:r>
        <w:rPr>
          <w:rFonts w:ascii="Arial" w:cs="Arial" w:eastAsia="Arial" w:hAnsi="Arial"/>
          <w:sz w:val="18"/>
          <w:szCs w:val="18"/>
          <w:color w:val="auto"/>
        </w:rPr>
        <w:t>One Williams Center</w:t>
      </w:r>
    </w:p>
    <w:p>
      <w:pPr>
        <w:jc w:val="center"/>
        <w:ind w:left="-1339"/>
        <w:spacing w:after="0"/>
        <w:rPr>
          <w:sz w:val="20"/>
          <w:szCs w:val="20"/>
          <w:color w:val="auto"/>
        </w:rPr>
      </w:pPr>
      <w:r>
        <w:rPr>
          <w:rFonts w:ascii="Arial" w:cs="Arial" w:eastAsia="Arial" w:hAnsi="Arial"/>
          <w:sz w:val="18"/>
          <w:szCs w:val="18"/>
          <w:color w:val="auto"/>
        </w:rPr>
        <w:t>Tulsa, Oklahoma 74172</w:t>
      </w:r>
    </w:p>
    <w:p>
      <w:pPr>
        <w:spacing w:after="0" w:line="230" w:lineRule="exact"/>
        <w:rPr>
          <w:sz w:val="20"/>
          <w:szCs w:val="20"/>
          <w:color w:val="auto"/>
        </w:rPr>
      </w:pPr>
    </w:p>
    <w:p>
      <w:pPr>
        <w:jc w:val="center"/>
        <w:ind w:left="-1339"/>
        <w:spacing w:after="0"/>
        <w:rPr>
          <w:sz w:val="20"/>
          <w:szCs w:val="20"/>
          <w:color w:val="auto"/>
        </w:rPr>
      </w:pPr>
      <w:r>
        <w:rPr>
          <w:rFonts w:ascii="Arial" w:cs="Arial" w:eastAsia="Arial" w:hAnsi="Arial"/>
          <w:sz w:val="18"/>
          <w:szCs w:val="18"/>
          <w:b w:val="1"/>
          <w:bCs w:val="1"/>
          <w:color w:val="auto"/>
        </w:rPr>
        <w:t>PLEASE SEE THE REVERSE SIDE</w:t>
      </w:r>
    </w:p>
    <w:p>
      <w:pPr>
        <w:spacing w:after="0" w:line="18" w:lineRule="exact"/>
        <w:rPr>
          <w:sz w:val="20"/>
          <w:szCs w:val="20"/>
          <w:color w:val="auto"/>
        </w:rPr>
      </w:pPr>
    </w:p>
    <w:p>
      <w:pPr>
        <w:jc w:val="center"/>
        <w:ind w:left="-1339"/>
        <w:spacing w:after="0"/>
        <w:rPr>
          <w:sz w:val="20"/>
          <w:szCs w:val="20"/>
          <w:color w:val="auto"/>
        </w:rPr>
      </w:pPr>
      <w:r>
        <w:rPr>
          <w:rFonts w:ascii="Arial" w:cs="Arial" w:eastAsia="Arial" w:hAnsi="Arial"/>
          <w:sz w:val="18"/>
          <w:szCs w:val="18"/>
          <w:b w:val="1"/>
          <w:bCs w:val="1"/>
          <w:color w:val="auto"/>
        </w:rPr>
        <w:t>FOR VOTING INSTRUCTIONS.</w:t>
      </w:r>
    </w:p>
    <w:p>
      <w:pPr>
        <w:spacing w:after="0" w:line="234" w:lineRule="exact"/>
        <w:rPr>
          <w:sz w:val="20"/>
          <w:szCs w:val="20"/>
          <w:color w:val="auto"/>
        </w:rPr>
      </w:pPr>
    </w:p>
    <w:p>
      <w:pPr>
        <w:jc w:val="center"/>
        <w:ind w:left="-1339"/>
        <w:spacing w:after="0"/>
        <w:rPr>
          <w:sz w:val="20"/>
          <w:szCs w:val="20"/>
          <w:color w:val="auto"/>
        </w:rPr>
      </w:pPr>
      <w:r>
        <w:rPr>
          <w:rFonts w:ascii="Arial" w:cs="Arial" w:eastAsia="Arial" w:hAnsi="Arial"/>
          <w:sz w:val="18"/>
          <w:szCs w:val="18"/>
          <w:color w:val="auto"/>
        </w:rPr>
        <w:t>You can vote by telephone or Internet</w:t>
      </w:r>
    </w:p>
    <w:p>
      <w:pPr>
        <w:jc w:val="center"/>
        <w:ind w:left="-1339"/>
        <w:spacing w:after="0"/>
        <w:rPr>
          <w:sz w:val="20"/>
          <w:szCs w:val="20"/>
          <w:color w:val="auto"/>
        </w:rPr>
      </w:pPr>
      <w:r>
        <w:rPr>
          <w:rFonts w:ascii="Arial" w:cs="Arial" w:eastAsia="Arial" w:hAnsi="Arial"/>
          <w:sz w:val="18"/>
          <w:szCs w:val="18"/>
          <w:color w:val="auto"/>
        </w:rPr>
        <w:t>24 hours a day, 7 days a week.</w:t>
      </w:r>
    </w:p>
    <w:p>
      <w:pPr>
        <w:spacing w:after="0" w:line="10" w:lineRule="exact"/>
        <w:rPr>
          <w:sz w:val="20"/>
          <w:szCs w:val="20"/>
          <w:color w:val="auto"/>
        </w:rPr>
      </w:pPr>
    </w:p>
    <w:p>
      <w:pPr>
        <w:spacing w:after="0" w:line="361" w:lineRule="exact"/>
        <w:rPr>
          <w:sz w:val="20"/>
          <w:szCs w:val="20"/>
          <w:color w:val="auto"/>
        </w:rPr>
      </w:pPr>
      <w:r>
        <w:rPr>
          <w:rFonts w:ascii="MS PGothic" w:cs="MS PGothic" w:eastAsia="MS PGothic" w:hAnsi="MS PGothic"/>
          <w:sz w:val="36"/>
          <w:szCs w:val="3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217170</wp:posOffset>
            </wp:positionV>
            <wp:extent cx="6174740" cy="291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74740" cy="291465"/>
                    </a:xfrm>
                    <a:prstGeom prst="rect">
                      <a:avLst/>
                    </a:prstGeom>
                    <a:noFill/>
                  </pic:spPr>
                </pic:pic>
              </a:graphicData>
            </a:graphic>
          </wp:anchor>
        </w:drawing>
      </w:r>
    </w:p>
    <w:p>
      <w:pPr>
        <w:spacing w:after="0" w:line="344" w:lineRule="exact"/>
        <w:rPr>
          <w:sz w:val="20"/>
          <w:szCs w:val="20"/>
          <w:color w:val="auto"/>
        </w:rPr>
      </w:pPr>
    </w:p>
    <w:p>
      <w:pPr>
        <w:sectPr>
          <w:pgSz w:w="11900" w:h="16838" w:orient="portrait"/>
          <w:cols w:equalWidth="0" w:num="2">
            <w:col w:w="4240" w:space="680"/>
            <w:col w:w="6420"/>
          </w:cols>
          <w:pgMar w:left="240" w:top="459" w:right="31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jc w:val="center"/>
        <w:ind w:left="320" w:right="260"/>
        <w:spacing w:after="0" w:line="285"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310" w:lineRule="exact"/>
        <w:rPr>
          <w:sz w:val="20"/>
          <w:szCs w:val="20"/>
          <w:color w:val="auto"/>
        </w:rPr>
      </w:pPr>
    </w:p>
    <w:p>
      <w:pPr>
        <w:ind w:left="340" w:hanging="282"/>
        <w:spacing w:after="0"/>
        <w:tabs>
          <w:tab w:leader="none" w:pos="340" w:val="left"/>
        </w:tabs>
        <w:numPr>
          <w:ilvl w:val="0"/>
          <w:numId w:val="71"/>
        </w:numPr>
        <w:rPr>
          <w:rFonts w:ascii="Arial" w:cs="Arial" w:eastAsia="Arial" w:hAnsi="Arial"/>
          <w:sz w:val="18"/>
          <w:szCs w:val="18"/>
          <w:b w:val="1"/>
          <w:bCs w:val="1"/>
          <w:color w:val="FFFFFF"/>
        </w:rPr>
      </w:pPr>
      <w:r>
        <w:rPr>
          <w:rFonts w:ascii="Arial" w:cs="Arial" w:eastAsia="Arial" w:hAnsi="Arial"/>
          <w:sz w:val="18"/>
          <w:szCs w:val="18"/>
          <w:b w:val="1"/>
          <w:bCs w:val="1"/>
          <w:color w:val="auto"/>
        </w:rPr>
        <w:t>Proposals — The Board of Directors recommends a vote “FOR” the election of each of the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46050"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6050" cy="12890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94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1800" w:type="dxa"/>
            <w:vAlign w:val="bottom"/>
            <w:gridSpan w:val="3"/>
          </w:tcPr>
          <w:p>
            <w:pPr>
              <w:ind w:left="240"/>
              <w:spacing w:after="0"/>
              <w:rPr>
                <w:sz w:val="20"/>
                <w:szCs w:val="20"/>
                <w:color w:val="auto"/>
              </w:rPr>
            </w:pPr>
            <w:r>
              <w:rPr>
                <w:rFonts w:ascii="Arial" w:cs="Arial" w:eastAsia="Arial" w:hAnsi="Arial"/>
                <w:sz w:val="14"/>
                <w:szCs w:val="14"/>
                <w:b w:val="1"/>
                <w:bCs w:val="1"/>
                <w:color w:val="auto"/>
              </w:rPr>
              <w:t>For  Against  Abstain</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4"/>
                <w:szCs w:val="14"/>
                <w:b w:val="1"/>
                <w:bCs w:val="1"/>
                <w:color w:val="auto"/>
              </w:rPr>
              <w:t>For  Against  Abstain</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0" w:type="dxa"/>
            <w:vAlign w:val="bottom"/>
            <w:gridSpan w:val="3"/>
          </w:tcPr>
          <w:p>
            <w:pPr>
              <w:ind w:left="220"/>
              <w:spacing w:after="0"/>
              <w:rPr>
                <w:sz w:val="20"/>
                <w:szCs w:val="20"/>
                <w:color w:val="auto"/>
              </w:rPr>
            </w:pPr>
            <w:r>
              <w:rPr>
                <w:rFonts w:ascii="Arial" w:cs="Arial" w:eastAsia="Arial" w:hAnsi="Arial"/>
                <w:sz w:val="14"/>
                <w:szCs w:val="14"/>
                <w:b w:val="1"/>
                <w:bCs w:val="1"/>
                <w:color w:val="auto"/>
              </w:rPr>
              <w:t>For  Against  Abstain</w:t>
            </w:r>
          </w:p>
        </w:tc>
        <w:tc>
          <w:tcPr>
            <w:tcW w:w="360" w:type="dxa"/>
            <w:vAlign w:val="bottom"/>
            <w:vMerge w:val="restart"/>
          </w:tcPr>
          <w:p>
            <w:pPr>
              <w:jc w:val="right"/>
              <w:spacing w:after="0"/>
              <w:rPr>
                <w:sz w:val="20"/>
                <w:szCs w:val="20"/>
                <w:color w:val="auto"/>
              </w:rPr>
            </w:pPr>
            <w:r>
              <w:rPr>
                <w:rFonts w:ascii="Arial" w:cs="Arial" w:eastAsia="Arial" w:hAnsi="Arial"/>
                <w:sz w:val="47"/>
                <w:szCs w:val="47"/>
                <w:b w:val="1"/>
                <w:bCs w:val="1"/>
                <w:color w:val="auto"/>
              </w:rPr>
              <w:t>+</w:t>
            </w:r>
          </w:p>
        </w:tc>
        <w:tc>
          <w:tcPr>
            <w:tcW w:w="0" w:type="dxa"/>
            <w:vAlign w:val="bottom"/>
          </w:tcPr>
          <w:p>
            <w:pPr>
              <w:spacing w:after="0"/>
              <w:rPr>
                <w:sz w:val="1"/>
                <w:szCs w:val="1"/>
                <w:color w:val="auto"/>
              </w:rPr>
            </w:pPr>
          </w:p>
        </w:tc>
      </w:tr>
      <w:tr>
        <w:trPr>
          <w:trHeight w:val="411"/>
        </w:trPr>
        <w:tc>
          <w:tcPr>
            <w:tcW w:w="420" w:type="dxa"/>
            <w:vAlign w:val="bottom"/>
          </w:tcPr>
          <w:p>
            <w:pPr>
              <w:jc w:val="right"/>
              <w:spacing w:after="0"/>
              <w:rPr>
                <w:sz w:val="20"/>
                <w:szCs w:val="20"/>
                <w:color w:val="auto"/>
              </w:rPr>
            </w:pPr>
            <w:r>
              <w:rPr>
                <w:rFonts w:ascii="Arial" w:cs="Arial" w:eastAsia="Arial" w:hAnsi="Arial"/>
                <w:sz w:val="14"/>
                <w:szCs w:val="14"/>
                <w:color w:val="auto"/>
              </w:rPr>
              <w:t>01</w:t>
            </w:r>
          </w:p>
        </w:tc>
        <w:tc>
          <w:tcPr>
            <w:tcW w:w="1520" w:type="dxa"/>
            <w:vAlign w:val="bottom"/>
          </w:tcPr>
          <w:p>
            <w:pPr>
              <w:ind w:left="20"/>
              <w:spacing w:after="0"/>
              <w:rPr>
                <w:sz w:val="20"/>
                <w:szCs w:val="20"/>
                <w:color w:val="auto"/>
              </w:rPr>
            </w:pPr>
            <w:r>
              <w:rPr>
                <w:rFonts w:ascii="Arial" w:cs="Arial" w:eastAsia="Arial" w:hAnsi="Arial"/>
                <w:sz w:val="14"/>
                <w:szCs w:val="14"/>
                <w:color w:val="auto"/>
              </w:rPr>
              <w:t>- Alan S. Armstrong</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02</w:t>
            </w:r>
          </w:p>
        </w:tc>
        <w:tc>
          <w:tcPr>
            <w:tcW w:w="1640" w:type="dxa"/>
            <w:vAlign w:val="bottom"/>
          </w:tcPr>
          <w:p>
            <w:pPr>
              <w:ind w:left="20"/>
              <w:spacing w:after="0"/>
              <w:rPr>
                <w:sz w:val="20"/>
                <w:szCs w:val="20"/>
                <w:color w:val="auto"/>
              </w:rPr>
            </w:pPr>
            <w:r>
              <w:rPr>
                <w:rFonts w:ascii="Arial" w:cs="Arial" w:eastAsia="Arial" w:hAnsi="Arial"/>
                <w:sz w:val="14"/>
                <w:szCs w:val="14"/>
                <w:color w:val="auto"/>
              </w:rPr>
              <w:t>- Joseph R. Cleveland</w:t>
            </w:r>
          </w:p>
        </w:tc>
        <w:tc>
          <w:tcPr>
            <w:tcW w:w="5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03</w:t>
            </w:r>
          </w:p>
        </w:tc>
        <w:tc>
          <w:tcPr>
            <w:tcW w:w="1600" w:type="dxa"/>
            <w:vAlign w:val="bottom"/>
          </w:tcPr>
          <w:p>
            <w:pPr>
              <w:ind w:left="20"/>
              <w:spacing w:after="0"/>
              <w:rPr>
                <w:sz w:val="20"/>
                <w:szCs w:val="20"/>
                <w:color w:val="auto"/>
              </w:rPr>
            </w:pPr>
            <w:r>
              <w:rPr>
                <w:rFonts w:ascii="Arial" w:cs="Arial" w:eastAsia="Arial" w:hAnsi="Arial"/>
                <w:sz w:val="14"/>
                <w:szCs w:val="14"/>
                <w:color w:val="auto"/>
              </w:rPr>
              <w:t>- Kathleen B. Cooper</w:t>
            </w:r>
          </w:p>
        </w:tc>
        <w:tc>
          <w:tcPr>
            <w:tcW w:w="58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jc w:val="right"/>
              <w:spacing w:after="0"/>
              <w:rPr>
                <w:sz w:val="20"/>
                <w:szCs w:val="20"/>
                <w:color w:val="auto"/>
              </w:rPr>
            </w:pPr>
            <w:r>
              <w:rPr>
                <w:rFonts w:ascii="Arial" w:cs="Arial" w:eastAsia="Arial" w:hAnsi="Arial"/>
                <w:sz w:val="14"/>
                <w:szCs w:val="14"/>
                <w:color w:val="auto"/>
              </w:rPr>
              <w:t>04</w:t>
            </w:r>
          </w:p>
        </w:tc>
        <w:tc>
          <w:tcPr>
            <w:tcW w:w="1520" w:type="dxa"/>
            <w:vAlign w:val="bottom"/>
          </w:tcPr>
          <w:p>
            <w:pPr>
              <w:ind w:left="20"/>
              <w:spacing w:after="0"/>
              <w:rPr>
                <w:sz w:val="20"/>
                <w:szCs w:val="20"/>
                <w:color w:val="auto"/>
              </w:rPr>
            </w:pPr>
            <w:r>
              <w:rPr>
                <w:rFonts w:ascii="Arial" w:cs="Arial" w:eastAsia="Arial" w:hAnsi="Arial"/>
                <w:sz w:val="14"/>
                <w:szCs w:val="14"/>
                <w:color w:val="auto"/>
              </w:rPr>
              <w:t>- John A. Hagg</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05</w:t>
            </w:r>
          </w:p>
        </w:tc>
        <w:tc>
          <w:tcPr>
            <w:tcW w:w="1640" w:type="dxa"/>
            <w:vAlign w:val="bottom"/>
          </w:tcPr>
          <w:p>
            <w:pPr>
              <w:ind w:left="20"/>
              <w:spacing w:after="0"/>
              <w:rPr>
                <w:sz w:val="20"/>
                <w:szCs w:val="20"/>
                <w:color w:val="auto"/>
              </w:rPr>
            </w:pPr>
            <w:r>
              <w:rPr>
                <w:rFonts w:ascii="Arial" w:cs="Arial" w:eastAsia="Arial" w:hAnsi="Arial"/>
                <w:sz w:val="14"/>
                <w:szCs w:val="14"/>
                <w:color w:val="auto"/>
              </w:rPr>
              <w:t>- Juanita H. Hinshaw</w:t>
            </w:r>
          </w:p>
        </w:tc>
        <w:tc>
          <w:tcPr>
            <w:tcW w:w="5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06</w:t>
            </w:r>
          </w:p>
        </w:tc>
        <w:tc>
          <w:tcPr>
            <w:tcW w:w="1600" w:type="dxa"/>
            <w:vAlign w:val="bottom"/>
          </w:tcPr>
          <w:p>
            <w:pPr>
              <w:ind w:left="20"/>
              <w:spacing w:after="0"/>
              <w:rPr>
                <w:sz w:val="20"/>
                <w:szCs w:val="20"/>
                <w:color w:val="auto"/>
              </w:rPr>
            </w:pPr>
            <w:r>
              <w:rPr>
                <w:rFonts w:ascii="Arial" w:cs="Arial" w:eastAsia="Arial" w:hAnsi="Arial"/>
                <w:sz w:val="14"/>
                <w:szCs w:val="14"/>
                <w:color w:val="auto"/>
              </w:rPr>
              <w:t>- Ralph Izzo</w:t>
            </w:r>
          </w:p>
        </w:tc>
        <w:tc>
          <w:tcPr>
            <w:tcW w:w="58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jc w:val="right"/>
              <w:spacing w:after="0"/>
              <w:rPr>
                <w:sz w:val="20"/>
                <w:szCs w:val="20"/>
                <w:color w:val="auto"/>
              </w:rPr>
            </w:pPr>
            <w:r>
              <w:rPr>
                <w:rFonts w:ascii="Arial" w:cs="Arial" w:eastAsia="Arial" w:hAnsi="Arial"/>
                <w:sz w:val="14"/>
                <w:szCs w:val="14"/>
                <w:color w:val="auto"/>
              </w:rPr>
              <w:t>07</w:t>
            </w:r>
          </w:p>
        </w:tc>
        <w:tc>
          <w:tcPr>
            <w:tcW w:w="1520" w:type="dxa"/>
            <w:vAlign w:val="bottom"/>
          </w:tcPr>
          <w:p>
            <w:pPr>
              <w:ind w:left="20"/>
              <w:spacing w:after="0"/>
              <w:rPr>
                <w:sz w:val="20"/>
                <w:szCs w:val="20"/>
                <w:color w:val="auto"/>
              </w:rPr>
            </w:pPr>
            <w:r>
              <w:rPr>
                <w:rFonts w:ascii="Arial" w:cs="Arial" w:eastAsia="Arial" w:hAnsi="Arial"/>
                <w:sz w:val="14"/>
                <w:szCs w:val="14"/>
                <w:color w:val="auto"/>
              </w:rPr>
              <w:t>- Frank T. MacInnis</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08</w:t>
            </w:r>
          </w:p>
        </w:tc>
        <w:tc>
          <w:tcPr>
            <w:tcW w:w="1640" w:type="dxa"/>
            <w:vAlign w:val="bottom"/>
          </w:tcPr>
          <w:p>
            <w:pPr>
              <w:ind w:left="20"/>
              <w:spacing w:after="0"/>
              <w:rPr>
                <w:sz w:val="20"/>
                <w:szCs w:val="20"/>
                <w:color w:val="auto"/>
              </w:rPr>
            </w:pPr>
            <w:r>
              <w:rPr>
                <w:rFonts w:ascii="Arial" w:cs="Arial" w:eastAsia="Arial" w:hAnsi="Arial"/>
                <w:sz w:val="14"/>
                <w:szCs w:val="14"/>
                <w:color w:val="auto"/>
              </w:rPr>
              <w:t>- Eric W. Mandelblatt</w:t>
            </w:r>
          </w:p>
        </w:tc>
        <w:tc>
          <w:tcPr>
            <w:tcW w:w="5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09</w:t>
            </w:r>
          </w:p>
        </w:tc>
        <w:tc>
          <w:tcPr>
            <w:tcW w:w="1600" w:type="dxa"/>
            <w:vAlign w:val="bottom"/>
          </w:tcPr>
          <w:p>
            <w:pPr>
              <w:ind w:left="20"/>
              <w:spacing w:after="0"/>
              <w:rPr>
                <w:sz w:val="20"/>
                <w:szCs w:val="20"/>
                <w:color w:val="auto"/>
              </w:rPr>
            </w:pPr>
            <w:r>
              <w:rPr>
                <w:rFonts w:ascii="Arial" w:cs="Arial" w:eastAsia="Arial" w:hAnsi="Arial"/>
                <w:sz w:val="14"/>
                <w:szCs w:val="14"/>
                <w:color w:val="auto"/>
              </w:rPr>
              <w:t>- Keith A. Meister</w:t>
            </w:r>
          </w:p>
        </w:tc>
        <w:tc>
          <w:tcPr>
            <w:tcW w:w="58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jc w:val="right"/>
              <w:spacing w:after="0"/>
              <w:rPr>
                <w:sz w:val="20"/>
                <w:szCs w:val="20"/>
                <w:color w:val="auto"/>
              </w:rPr>
            </w:pPr>
            <w:r>
              <w:rPr>
                <w:rFonts w:ascii="Arial" w:cs="Arial" w:eastAsia="Arial" w:hAnsi="Arial"/>
                <w:sz w:val="14"/>
                <w:szCs w:val="14"/>
                <w:color w:val="auto"/>
              </w:rPr>
              <w:t>10</w:t>
            </w:r>
          </w:p>
        </w:tc>
        <w:tc>
          <w:tcPr>
            <w:tcW w:w="1520" w:type="dxa"/>
            <w:vAlign w:val="bottom"/>
          </w:tcPr>
          <w:p>
            <w:pPr>
              <w:ind w:left="20"/>
              <w:spacing w:after="0"/>
              <w:rPr>
                <w:sz w:val="20"/>
                <w:szCs w:val="20"/>
                <w:color w:val="auto"/>
              </w:rPr>
            </w:pPr>
            <w:r>
              <w:rPr>
                <w:rFonts w:ascii="Arial" w:cs="Arial" w:eastAsia="Arial" w:hAnsi="Arial"/>
                <w:sz w:val="14"/>
                <w:szCs w:val="14"/>
                <w:color w:val="auto"/>
              </w:rPr>
              <w:t>- Steven W. Nance</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11</w:t>
            </w:r>
          </w:p>
        </w:tc>
        <w:tc>
          <w:tcPr>
            <w:tcW w:w="1640" w:type="dxa"/>
            <w:vAlign w:val="bottom"/>
          </w:tcPr>
          <w:p>
            <w:pPr>
              <w:ind w:left="20"/>
              <w:spacing w:after="0"/>
              <w:rPr>
                <w:sz w:val="20"/>
                <w:szCs w:val="20"/>
                <w:color w:val="auto"/>
              </w:rPr>
            </w:pPr>
            <w:r>
              <w:rPr>
                <w:rFonts w:ascii="Arial" w:cs="Arial" w:eastAsia="Arial" w:hAnsi="Arial"/>
                <w:sz w:val="14"/>
                <w:szCs w:val="14"/>
                <w:color w:val="auto"/>
              </w:rPr>
              <w:t>- Murray D. Smith</w:t>
            </w:r>
          </w:p>
        </w:tc>
        <w:tc>
          <w:tcPr>
            <w:tcW w:w="5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12</w:t>
            </w:r>
          </w:p>
        </w:tc>
        <w:tc>
          <w:tcPr>
            <w:tcW w:w="1600" w:type="dxa"/>
            <w:vAlign w:val="bottom"/>
          </w:tcPr>
          <w:p>
            <w:pPr>
              <w:ind w:left="20"/>
              <w:spacing w:after="0"/>
              <w:rPr>
                <w:sz w:val="20"/>
                <w:szCs w:val="20"/>
                <w:color w:val="auto"/>
              </w:rPr>
            </w:pPr>
            <w:r>
              <w:rPr>
                <w:rFonts w:ascii="Arial" w:cs="Arial" w:eastAsia="Arial" w:hAnsi="Arial"/>
                <w:sz w:val="14"/>
                <w:szCs w:val="14"/>
                <w:color w:val="auto"/>
              </w:rPr>
              <w:t>- Janice D. Stoney</w:t>
            </w:r>
          </w:p>
        </w:tc>
        <w:tc>
          <w:tcPr>
            <w:tcW w:w="58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56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520" w:type="dxa"/>
            <w:vAlign w:val="bottom"/>
            <w:vMerge w:val="restart"/>
          </w:tcPr>
          <w:p>
            <w:pPr>
              <w:ind w:left="20"/>
              <w:spacing w:after="0"/>
              <w:rPr>
                <w:sz w:val="20"/>
                <w:szCs w:val="20"/>
                <w:color w:val="auto"/>
              </w:rPr>
            </w:pPr>
            <w:r>
              <w:rPr>
                <w:rFonts w:ascii="Arial" w:cs="Arial" w:eastAsia="Arial" w:hAnsi="Arial"/>
                <w:sz w:val="14"/>
                <w:szCs w:val="14"/>
                <w:color w:val="auto"/>
              </w:rPr>
              <w:t>- Laura A. Sugg</w:t>
            </w:r>
          </w:p>
        </w:tc>
        <w:tc>
          <w:tcPr>
            <w:tcW w:w="600" w:type="dxa"/>
            <w:vAlign w:val="bottom"/>
          </w:tcPr>
          <w:p>
            <w:pPr>
              <w:ind w:left="260"/>
              <w:spacing w:after="0" w:line="210" w:lineRule="exact"/>
              <w:rPr>
                <w:sz w:val="20"/>
                <w:szCs w:val="20"/>
                <w:color w:val="auto"/>
              </w:rPr>
            </w:pPr>
            <w:r>
              <w:rPr>
                <w:rFonts w:ascii="MS PGothic" w:cs="MS PGothic" w:eastAsia="MS PGothic" w:hAnsi="MS PGothic"/>
                <w:sz w:val="22"/>
                <w:szCs w:val="22"/>
                <w:color w:val="auto"/>
              </w:rPr>
              <w:t>☐</w:t>
            </w:r>
          </w:p>
        </w:tc>
        <w:tc>
          <w:tcPr>
            <w:tcW w:w="560" w:type="dxa"/>
            <w:vAlign w:val="bottom"/>
          </w:tcPr>
          <w:p>
            <w:pPr>
              <w:ind w:left="160"/>
              <w:spacing w:after="0" w:line="210"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40"/>
              <w:spacing w:after="0" w:line="210" w:lineRule="exact"/>
              <w:rPr>
                <w:sz w:val="20"/>
                <w:szCs w:val="20"/>
                <w:color w:val="auto"/>
              </w:rPr>
            </w:pPr>
            <w:r>
              <w:rPr>
                <w:rFonts w:ascii="MS PGothic" w:cs="MS PGothic" w:eastAsia="MS PGothic" w:hAnsi="MS PGothic"/>
                <w:sz w:val="22"/>
                <w:szCs w:val="22"/>
                <w:color w:val="auto"/>
              </w:rPr>
              <w:t>☐</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42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459" w:right="31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proposals 2 and 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80" w:type="dxa"/>
            <w:vAlign w:val="bottom"/>
          </w:tcPr>
          <w:p>
            <w:pPr>
              <w:jc w:val="center"/>
              <w:ind w:left="130"/>
              <w:spacing w:after="0"/>
              <w:rPr>
                <w:sz w:val="20"/>
                <w:szCs w:val="20"/>
                <w:color w:val="auto"/>
              </w:rPr>
            </w:pPr>
            <w:r>
              <w:rPr>
                <w:rFonts w:ascii="Arial" w:cs="Arial" w:eastAsia="Arial" w:hAnsi="Arial"/>
                <w:sz w:val="14"/>
                <w:szCs w:val="14"/>
                <w:b w:val="1"/>
                <w:bCs w:val="1"/>
                <w:color w:val="auto"/>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3160" w:type="dxa"/>
            <w:vAlign w:val="bottom"/>
          </w:tcPr>
          <w:p>
            <w:pPr>
              <w:spacing w:after="0"/>
              <w:rPr>
                <w:sz w:val="16"/>
                <w:szCs w:val="16"/>
                <w:color w:val="auto"/>
              </w:rPr>
            </w:pPr>
          </w:p>
        </w:tc>
      </w:tr>
      <w:tr>
        <w:trPr>
          <w:trHeight w:val="287"/>
        </w:trPr>
        <w:tc>
          <w:tcPr>
            <w:tcW w:w="18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3800" w:type="dxa"/>
            <w:vAlign w:val="bottom"/>
          </w:tcPr>
          <w:p>
            <w:pPr>
              <w:ind w:left="40"/>
              <w:spacing w:after="0"/>
              <w:rPr>
                <w:sz w:val="20"/>
                <w:szCs w:val="20"/>
                <w:color w:val="auto"/>
              </w:rPr>
            </w:pPr>
            <w:r>
              <w:rPr>
                <w:rFonts w:ascii="Arial" w:cs="Arial" w:eastAsia="Arial" w:hAnsi="Arial"/>
                <w:sz w:val="14"/>
                <w:szCs w:val="14"/>
                <w:color w:val="auto"/>
              </w:rPr>
              <w:t>Ratification of Ernst &amp; Young LLP as auditors for 2015.</w:t>
            </w:r>
          </w:p>
        </w:tc>
        <w:tc>
          <w:tcPr>
            <w:tcW w:w="580" w:type="dxa"/>
            <w:vAlign w:val="bottom"/>
          </w:tcPr>
          <w:p>
            <w:pPr>
              <w:jc w:val="center"/>
              <w:ind w:left="130"/>
              <w:spacing w:after="0" w:line="221" w:lineRule="exact"/>
              <w:rPr>
                <w:sz w:val="20"/>
                <w:szCs w:val="20"/>
                <w:color w:val="auto"/>
              </w:rPr>
            </w:pPr>
            <w:r>
              <w:rPr>
                <w:rFonts w:ascii="MS PGothic" w:cs="MS PGothic" w:eastAsia="MS PGothic" w:hAnsi="MS PGothic"/>
                <w:sz w:val="22"/>
                <w:szCs w:val="22"/>
                <w:color w:val="auto"/>
                <w:w w:val="90"/>
              </w:rPr>
              <w:t>☐</w:t>
            </w:r>
          </w:p>
        </w:tc>
        <w:tc>
          <w:tcPr>
            <w:tcW w:w="6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3160" w:type="dxa"/>
            <w:vAlign w:val="bottom"/>
          </w:tcPr>
          <w:p>
            <w:pPr>
              <w:ind w:left="60"/>
              <w:spacing w:after="0"/>
              <w:rPr>
                <w:sz w:val="20"/>
                <w:szCs w:val="20"/>
                <w:color w:val="auto"/>
              </w:rPr>
            </w:pPr>
            <w:r>
              <w:rPr>
                <w:rFonts w:ascii="Arial" w:cs="Arial" w:eastAsia="Arial" w:hAnsi="Arial"/>
                <w:sz w:val="14"/>
                <w:szCs w:val="14"/>
                <w:color w:val="auto"/>
              </w:rPr>
              <w:t>3.  Approval, by nonbinding advisory vote, of the</w:t>
            </w:r>
          </w:p>
        </w:tc>
      </w:tr>
      <w:tr>
        <w:trPr>
          <w:trHeight w:val="172"/>
        </w:trPr>
        <w:tc>
          <w:tcPr>
            <w:tcW w:w="1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60" w:type="dxa"/>
            <w:vAlign w:val="bottom"/>
          </w:tcPr>
          <w:p>
            <w:pPr>
              <w:ind w:left="280"/>
              <w:spacing w:after="0"/>
              <w:rPr>
                <w:sz w:val="20"/>
                <w:szCs w:val="20"/>
                <w:color w:val="auto"/>
              </w:rPr>
            </w:pPr>
            <w:r>
              <w:rPr>
                <w:rFonts w:ascii="Arial" w:cs="Arial" w:eastAsia="Arial" w:hAnsi="Arial"/>
                <w:sz w:val="14"/>
                <w:szCs w:val="14"/>
                <w:color w:val="auto"/>
              </w:rPr>
              <w:t>Company’s executive compensation.</w:t>
            </w:r>
          </w:p>
        </w:tc>
      </w:tr>
      <w:tr>
        <w:trPr>
          <w:trHeight w:val="324"/>
        </w:trPr>
        <w:tc>
          <w:tcPr>
            <w:tcW w:w="180" w:type="dxa"/>
            <w:vAlign w:val="bottom"/>
          </w:tcPr>
          <w:p>
            <w:pPr>
              <w:jc w:val="right"/>
              <w:spacing w:after="0"/>
              <w:rPr>
                <w:sz w:val="20"/>
                <w:szCs w:val="20"/>
                <w:color w:val="auto"/>
              </w:rPr>
            </w:pPr>
            <w:r>
              <w:rPr>
                <w:rFonts w:ascii="Arial" w:cs="Arial" w:eastAsia="Arial" w:hAnsi="Arial"/>
                <w:sz w:val="14"/>
                <w:szCs w:val="14"/>
                <w:color w:val="auto"/>
                <w:w w:val="85"/>
              </w:rPr>
              <w:t>4.</w:t>
            </w:r>
          </w:p>
        </w:tc>
        <w:tc>
          <w:tcPr>
            <w:tcW w:w="8840" w:type="dxa"/>
            <w:vAlign w:val="bottom"/>
            <w:gridSpan w:val="5"/>
          </w:tcPr>
          <w:p>
            <w:pPr>
              <w:ind w:left="40"/>
              <w:spacing w:after="0"/>
              <w:rPr>
                <w:sz w:val="20"/>
                <w:szCs w:val="20"/>
                <w:color w:val="auto"/>
              </w:rPr>
            </w:pPr>
            <w:r>
              <w:rPr>
                <w:rFonts w:ascii="Arial" w:cs="Arial" w:eastAsia="Arial" w:hAnsi="Arial"/>
                <w:sz w:val="14"/>
                <w:szCs w:val="14"/>
                <w:color w:val="auto"/>
              </w:rPr>
              <w:t>To transact such other business as may properly come before the annual meeting or any adjournment of the meeting.</w:t>
            </w:r>
          </w:p>
        </w:tc>
      </w:tr>
    </w:tbl>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101" w:lineRule="exact"/>
        <w:rPr>
          <w:sz w:val="20"/>
          <w:szCs w:val="20"/>
          <w:color w:val="auto"/>
        </w:rPr>
      </w:pPr>
    </w:p>
    <w:p>
      <w:pPr>
        <w:ind w:left="20"/>
        <w:spacing w:after="0" w:line="221" w:lineRule="exact"/>
        <w:tabs>
          <w:tab w:leader="none" w:pos="500" w:val="left"/>
          <w:tab w:leader="none" w:pos="114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ectPr>
          <w:pgSz w:w="11900" w:h="16838" w:orient="portrait"/>
          <w:cols w:equalWidth="0" w:num="2">
            <w:col w:w="9060" w:space="720"/>
            <w:col w:w="1560"/>
          </w:cols>
          <w:pgMar w:left="240" w:top="459" w:right="319" w:bottom="1440" w:gutter="0" w:footer="0" w:header="0"/>
          <w:type w:val="continuous"/>
        </w:sectPr>
      </w:pPr>
    </w:p>
    <w:bookmarkStart w:id="85" w:name="page86"/>
    <w:bookmarkEnd w:id="85"/>
    <w:p>
      <w:pPr>
        <w:ind w:left="360" w:hanging="295"/>
        <w:spacing w:after="0"/>
        <w:tabs>
          <w:tab w:leader="none" w:pos="360" w:val="left"/>
        </w:tabs>
        <w:numPr>
          <w:ilvl w:val="0"/>
          <w:numId w:val="72"/>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5430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4305" cy="128905"/>
                    </a:xfrm>
                    <a:prstGeom prst="rect">
                      <a:avLst/>
                    </a:prstGeom>
                    <a:noFill/>
                  </pic:spPr>
                </pic:pic>
              </a:graphicData>
            </a:graphic>
          </wp:anchor>
        </w:drawing>
      </w:r>
    </w:p>
    <w:p>
      <w:pPr>
        <w:spacing w:after="0" w:line="3" w:lineRule="exact"/>
        <w:rPr>
          <w:sz w:val="20"/>
          <w:szCs w:val="20"/>
          <w:color w:val="auto"/>
        </w:rPr>
      </w:pPr>
    </w:p>
    <w:p>
      <w:pPr>
        <w:spacing w:after="0" w:line="258" w:lineRule="auto"/>
        <w:rPr>
          <w:sz w:val="20"/>
          <w:szCs w:val="20"/>
          <w:color w:val="auto"/>
        </w:rPr>
      </w:pPr>
      <w:r>
        <w:rPr>
          <w:rFonts w:ascii="Arial" w:cs="Arial" w:eastAsia="Arial" w:hAnsi="Arial"/>
          <w:sz w:val="14"/>
          <w:szCs w:val="14"/>
          <w:i w:val="1"/>
          <w:iCs w:val="1"/>
          <w:color w:val="auto"/>
        </w:rPr>
        <w:t>The signer hereby revokes all proxies previously given by the signer to vote at said Annual Meeting or any adjournments thereof. Note: Please sign exactly as name appears hereon. Joint owners should each sign. When signing as attorney, executor, administrator, corporate officer, trustee, guardian, or custodian, please give full title as such.</w:t>
      </w:r>
    </w:p>
    <w:p>
      <w:pPr>
        <w:spacing w:after="0" w:line="8" w:lineRule="exact"/>
        <w:rPr>
          <w:sz w:val="20"/>
          <w:szCs w:val="20"/>
          <w:color w:val="auto"/>
        </w:rPr>
      </w:pPr>
    </w:p>
    <w:p>
      <w:pPr>
        <w:spacing w:after="0"/>
        <w:tabs>
          <w:tab w:leader="none" w:pos="3860" w:val="left"/>
          <w:tab w:leader="none" w:pos="7760" w:val="left"/>
        </w:tabs>
        <w:rPr>
          <w:sz w:val="20"/>
          <w:szCs w:val="20"/>
          <w:color w:val="auto"/>
        </w:rPr>
      </w:pPr>
      <w:r>
        <w:rPr>
          <w:rFonts w:ascii="Arial" w:cs="Arial" w:eastAsia="Arial" w:hAnsi="Arial"/>
          <w:sz w:val="13"/>
          <w:szCs w:val="13"/>
          <w:color w:val="auto"/>
        </w:rPr>
        <w:t>Date (mm/dd/yyyy) — Please print date below.</w:t>
      </w:r>
      <w:r>
        <w:rPr>
          <w:sz w:val="20"/>
          <w:szCs w:val="20"/>
          <w:color w:val="auto"/>
        </w:rPr>
        <w:tab/>
      </w:r>
      <w:r>
        <w:rPr>
          <w:rFonts w:ascii="Arial" w:cs="Arial" w:eastAsia="Arial" w:hAnsi="Arial"/>
          <w:sz w:val="13"/>
          <w:szCs w:val="13"/>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7263765" cy="3517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3765" cy="351790"/>
                    </a:xfrm>
                    <a:prstGeom prst="rect">
                      <a:avLst/>
                    </a:prstGeom>
                    <a:noFill/>
                  </pic:spPr>
                </pic:pic>
              </a:graphicData>
            </a:graphic>
          </wp:anchor>
        </w:drawing>
      </w:r>
    </w:p>
    <w:p>
      <w:pPr>
        <w:ind w:left="960"/>
        <w:spacing w:after="0"/>
        <w:tabs>
          <w:tab w:leader="none" w:pos="192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6174740" cy="5575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74740" cy="55753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hanging="154"/>
        <w:spacing w:after="0"/>
        <w:tabs>
          <w:tab w:leader="none" w:pos="480" w:val="left"/>
        </w:tabs>
        <w:numPr>
          <w:ilvl w:val="0"/>
          <w:numId w:val="73"/>
        </w:numPr>
        <w:rPr>
          <w:rFonts w:ascii="Arial" w:cs="Arial" w:eastAsia="Arial" w:hAnsi="Arial"/>
          <w:sz w:val="14"/>
          <w:szCs w:val="14"/>
          <w:color w:val="auto"/>
        </w:rPr>
      </w:pPr>
      <w:r>
        <w:rPr>
          <w:rFonts w:ascii="Arial" w:cs="Arial" w:eastAsia="Arial" w:hAnsi="Arial"/>
          <w:sz w:val="14"/>
          <w:szCs w:val="14"/>
          <w:b w:val="1"/>
          <w:bCs w:val="1"/>
          <w:color w:val="auto"/>
        </w:rPr>
        <w:t xml:space="preserve">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w:t>
      </w:r>
    </w:p>
    <w:p>
      <w:pPr>
        <w:spacing w:after="0" w:line="19" w:lineRule="exact"/>
        <w:rPr>
          <w:rFonts w:ascii="Arial" w:cs="Arial" w:eastAsia="Arial" w:hAnsi="Arial"/>
          <w:sz w:val="14"/>
          <w:szCs w:val="14"/>
          <w:color w:val="auto"/>
        </w:rPr>
      </w:pPr>
    </w:p>
    <w:p>
      <w:pPr>
        <w:ind w:left="4820"/>
        <w:spacing w:after="0"/>
        <w:rPr>
          <w:rFonts w:ascii="Arial" w:cs="Arial" w:eastAsia="Arial" w:hAnsi="Arial"/>
          <w:sz w:val="14"/>
          <w:szCs w:val="14"/>
          <w:color w:val="auto"/>
        </w:rPr>
      </w:pP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The Williams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on Behalf of the Board of Directors of Williams for the Annual Meeting of Stockholders on May 21, 2015.</w:t>
      </w:r>
    </w:p>
    <w:p>
      <w:pPr>
        <w:spacing w:after="0" w:line="12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undersigned stockholder of The Williams Companies, Inc. (“Williams”) hereby appoints ALAN S. ARMSTRONG, DONALD R. CHAPPEL and SARAH C. MILLER, jointly and severally with full power of substitution, as proxies to represent and to vote all of the shares of Williams’ Common Stock the undersigned is entitled to vote at the Annual Meeting of Stockholders of Williams to be held on the 21st day of May, 2015, and at any and all adjournments thereof, on all matters coming before said meeting.</w:t>
      </w:r>
    </w:p>
    <w:p>
      <w:pPr>
        <w:spacing w:after="0" w:line="7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THIS PROXY, WHEN PROPERLY EXECUTED AND TIMELY RETURNED, WILL BE VOTED AS INDICATED. IF NO VOTING DIRECTION IS INDICATED, THIS PROXY WILL BE VOTED FOR ALL LISTED NOMINEES AND IN ACCORDANCE WITH THE RECOMMENDATIONS OF THE BOARD OF DIRECTORS ON THE OTHER MATTERS REFERENCED ON THE REVERSE SIDE HEREOF.</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Voting Instructions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Votes by telephone or Internet must be received by 1:00 a.m. Central Time, on May 21, 2015.</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945"/>
        </w:trPr>
        <w:tc>
          <w:tcPr>
            <w:tcW w:w="520" w:type="dxa"/>
            <w:vAlign w:val="bottom"/>
            <w:tcBorders>
              <w:top w:val="single" w:sz="8" w:color="auto"/>
              <w:left w:val="single" w:sz="8" w:color="auto"/>
            </w:tcBorders>
          </w:tcPr>
          <w:p>
            <w:pPr>
              <w:spacing w:after="0"/>
              <w:rPr>
                <w:sz w:val="24"/>
                <w:szCs w:val="24"/>
                <w:color w:val="auto"/>
              </w:rPr>
            </w:pPr>
          </w:p>
        </w:tc>
        <w:tc>
          <w:tcPr>
            <w:tcW w:w="3600" w:type="dxa"/>
            <w:vAlign w:val="bottom"/>
            <w:tcBorders>
              <w:top w:val="single" w:sz="8" w:color="auto"/>
              <w:right w:val="single" w:sz="8" w:color="auto"/>
            </w:tcBorders>
            <w:gridSpan w:val="2"/>
          </w:tcPr>
          <w:p>
            <w:pPr>
              <w:ind w:left="700"/>
              <w:spacing w:after="0"/>
              <w:rPr>
                <w:sz w:val="20"/>
                <w:szCs w:val="20"/>
                <w:color w:val="auto"/>
              </w:rPr>
            </w:pPr>
            <w:r>
              <w:rPr>
                <w:rFonts w:ascii="Arial" w:cs="Arial" w:eastAsia="Arial" w:hAnsi="Arial"/>
                <w:sz w:val="18"/>
                <w:szCs w:val="18"/>
                <w:b w:val="1"/>
                <w:bCs w:val="1"/>
                <w:color w:val="auto"/>
              </w:rPr>
              <w:t>To Vote by Internet</w:t>
            </w:r>
          </w:p>
        </w:tc>
        <w:tc>
          <w:tcPr>
            <w:tcW w:w="3760" w:type="dxa"/>
            <w:vAlign w:val="bottom"/>
            <w:tcBorders>
              <w:top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7"/>
              </w:rPr>
              <w:t>To Vote by Telephone</w:t>
            </w:r>
          </w:p>
        </w:tc>
        <w:tc>
          <w:tcPr>
            <w:tcW w:w="356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rPr>
              <w:t>To Vote by Mail</w:t>
            </w:r>
          </w:p>
        </w:tc>
        <w:tc>
          <w:tcPr>
            <w:tcW w:w="0" w:type="dxa"/>
            <w:vAlign w:val="bottom"/>
          </w:tcPr>
          <w:p>
            <w:pPr>
              <w:spacing w:after="0"/>
              <w:rPr>
                <w:sz w:val="1"/>
                <w:szCs w:val="1"/>
                <w:color w:val="auto"/>
              </w:rPr>
            </w:pPr>
          </w:p>
        </w:tc>
      </w:tr>
      <w:tr>
        <w:trPr>
          <w:trHeight w:val="382"/>
        </w:trPr>
        <w:tc>
          <w:tcPr>
            <w:tcW w:w="4120" w:type="dxa"/>
            <w:vAlign w:val="bottom"/>
            <w:tcBorders>
              <w:left w:val="single" w:sz="8" w:color="auto"/>
              <w:right w:val="single" w:sz="8" w:color="auto"/>
            </w:tcBorders>
            <w:gridSpan w:val="3"/>
          </w:tcPr>
          <w:p>
            <w:pPr>
              <w:ind w:left="260"/>
              <w:spacing w:after="0"/>
              <w:rPr>
                <w:sz w:val="20"/>
                <w:szCs w:val="20"/>
                <w:color w:val="auto"/>
              </w:rPr>
            </w:pPr>
            <w:r>
              <w:rPr>
                <w:rFonts w:ascii="Arial" w:cs="Arial" w:eastAsia="Arial" w:hAnsi="Arial"/>
                <w:sz w:val="18"/>
                <w:szCs w:val="18"/>
                <w:color w:val="auto"/>
              </w:rPr>
              <w:t>•  Go to the following web site:</w:t>
            </w:r>
          </w:p>
        </w:tc>
        <w:tc>
          <w:tcPr>
            <w:tcW w:w="376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rPr>
              <w:t>•  Call toll free 1-800-652-VOTE (8683) in</w:t>
            </w:r>
          </w:p>
        </w:tc>
        <w:tc>
          <w:tcPr>
            <w:tcW w:w="3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Mark, sign and date the proxy card.</w:t>
            </w:r>
          </w:p>
        </w:tc>
        <w:tc>
          <w:tcPr>
            <w:tcW w:w="0" w:type="dxa"/>
            <w:vAlign w:val="bottom"/>
          </w:tcPr>
          <w:p>
            <w:pPr>
              <w:spacing w:after="0"/>
              <w:rPr>
                <w:sz w:val="1"/>
                <w:szCs w:val="1"/>
                <w:color w:val="auto"/>
              </w:rPr>
            </w:pPr>
          </w:p>
        </w:tc>
      </w:tr>
      <w:tr>
        <w:trPr>
          <w:trHeight w:val="198"/>
        </w:trPr>
        <w:tc>
          <w:tcPr>
            <w:tcW w:w="4120" w:type="dxa"/>
            <w:vAlign w:val="bottom"/>
            <w:tcBorders>
              <w:left w:val="single" w:sz="8" w:color="auto"/>
              <w:right w:val="single" w:sz="8" w:color="auto"/>
            </w:tcBorders>
            <w:gridSpan w:val="3"/>
          </w:tcPr>
          <w:p>
            <w:pPr>
              <w:ind w:left="520"/>
              <w:spacing w:after="0" w:line="199" w:lineRule="exact"/>
              <w:rPr>
                <w:sz w:val="20"/>
                <w:szCs w:val="20"/>
                <w:color w:val="auto"/>
              </w:rPr>
            </w:pPr>
            <w:r>
              <w:rPr>
                <w:rFonts w:ascii="Arial" w:cs="Arial" w:eastAsia="Arial" w:hAnsi="Arial"/>
                <w:sz w:val="18"/>
                <w:szCs w:val="18"/>
                <w:b w:val="1"/>
                <w:bCs w:val="1"/>
                <w:color w:val="auto"/>
              </w:rPr>
              <w:t>WWW.ENVISIONREPORTS.COM/WMB</w:t>
            </w:r>
          </w:p>
        </w:tc>
        <w:tc>
          <w:tcPr>
            <w:tcW w:w="3760" w:type="dxa"/>
            <w:vAlign w:val="bottom"/>
            <w:tcBorders>
              <w:right w:val="single" w:sz="8" w:color="auto"/>
            </w:tcBorders>
          </w:tcPr>
          <w:p>
            <w:pPr>
              <w:ind w:left="360"/>
              <w:spacing w:after="0" w:line="199" w:lineRule="exact"/>
              <w:rPr>
                <w:sz w:val="20"/>
                <w:szCs w:val="20"/>
                <w:color w:val="auto"/>
              </w:rPr>
            </w:pPr>
            <w:r>
              <w:rPr>
                <w:rFonts w:ascii="Arial" w:cs="Arial" w:eastAsia="Arial" w:hAnsi="Arial"/>
                <w:sz w:val="18"/>
                <w:szCs w:val="18"/>
                <w:color w:val="auto"/>
              </w:rPr>
              <w:t>the United States or Canada any time</w:t>
            </w:r>
          </w:p>
        </w:tc>
        <w:tc>
          <w:tcPr>
            <w:tcW w:w="3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Return the proxy card in the postage-</w:t>
            </w:r>
          </w:p>
        </w:tc>
        <w:tc>
          <w:tcPr>
            <w:tcW w:w="0" w:type="dxa"/>
            <w:vAlign w:val="bottom"/>
          </w:tcPr>
          <w:p>
            <w:pPr>
              <w:spacing w:after="0"/>
              <w:rPr>
                <w:sz w:val="1"/>
                <w:szCs w:val="1"/>
                <w:color w:val="auto"/>
              </w:rPr>
            </w:pPr>
          </w:p>
        </w:tc>
      </w:tr>
      <w:tr>
        <w:trPr>
          <w:trHeight w:val="128"/>
        </w:trPr>
        <w:tc>
          <w:tcPr>
            <w:tcW w:w="520" w:type="dxa"/>
            <w:vAlign w:val="bottom"/>
            <w:tcBorders>
              <w:left w:val="single" w:sz="8" w:color="auto"/>
            </w:tcBorders>
          </w:tcPr>
          <w:p>
            <w:pPr>
              <w:spacing w:after="0"/>
              <w:rPr>
                <w:sz w:val="11"/>
                <w:szCs w:val="11"/>
                <w:color w:val="auto"/>
              </w:rPr>
            </w:pPr>
          </w:p>
        </w:tc>
        <w:tc>
          <w:tcPr>
            <w:tcW w:w="3260" w:type="dxa"/>
            <w:vAlign w:val="bottom"/>
            <w:tcBorders>
              <w:top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376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on a touch tone telephone.</w:t>
            </w:r>
          </w:p>
        </w:tc>
        <w:tc>
          <w:tcPr>
            <w:tcW w:w="35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120" w:type="dxa"/>
            <w:vAlign w:val="bottom"/>
            <w:tcBorders>
              <w:left w:val="single" w:sz="8" w:color="auto"/>
              <w:right w:val="single" w:sz="8" w:color="auto"/>
            </w:tcBorders>
            <w:gridSpan w:val="3"/>
            <w:vMerge w:val="restart"/>
          </w:tcPr>
          <w:p>
            <w:pPr>
              <w:ind w:left="260"/>
              <w:spacing w:after="0" w:line="202" w:lineRule="exact"/>
              <w:rPr>
                <w:sz w:val="20"/>
                <w:szCs w:val="20"/>
                <w:color w:val="auto"/>
              </w:rPr>
            </w:pPr>
            <w:r>
              <w:rPr>
                <w:rFonts w:ascii="Arial" w:cs="Arial" w:eastAsia="Arial" w:hAnsi="Arial"/>
                <w:sz w:val="18"/>
                <w:szCs w:val="18"/>
                <w:color w:val="auto"/>
              </w:rPr>
              <w:t>•  Follow the steps outlined on the secured</w:t>
            </w:r>
          </w:p>
        </w:tc>
        <w:tc>
          <w:tcPr>
            <w:tcW w:w="3760" w:type="dxa"/>
            <w:vAlign w:val="bottom"/>
            <w:tcBorders>
              <w:right w:val="single" w:sz="8" w:color="auto"/>
            </w:tcBorders>
            <w:vMerge w:val="continue"/>
          </w:tcPr>
          <w:p>
            <w:pPr>
              <w:spacing w:after="0"/>
              <w:rPr>
                <w:sz w:val="8"/>
                <w:szCs w:val="8"/>
                <w:color w:val="auto"/>
              </w:rPr>
            </w:pPr>
          </w:p>
        </w:tc>
        <w:tc>
          <w:tcPr>
            <w:tcW w:w="3560" w:type="dxa"/>
            <w:vAlign w:val="bottom"/>
            <w:tcBorders>
              <w:right w:val="single" w:sz="8" w:color="auto"/>
            </w:tcBorders>
            <w:vMerge w:val="restart"/>
          </w:tcPr>
          <w:p>
            <w:pPr>
              <w:ind w:left="380"/>
              <w:spacing w:after="0" w:line="202" w:lineRule="exact"/>
              <w:rPr>
                <w:sz w:val="20"/>
                <w:szCs w:val="20"/>
                <w:color w:val="auto"/>
              </w:rPr>
            </w:pPr>
            <w:r>
              <w:rPr>
                <w:rFonts w:ascii="Arial" w:cs="Arial" w:eastAsia="Arial" w:hAnsi="Arial"/>
                <w:sz w:val="18"/>
                <w:szCs w:val="18"/>
                <w:color w:val="auto"/>
              </w:rPr>
              <w:t>paid envelope provided.</w:t>
            </w:r>
          </w:p>
        </w:tc>
        <w:tc>
          <w:tcPr>
            <w:tcW w:w="0" w:type="dxa"/>
            <w:vAlign w:val="bottom"/>
          </w:tcPr>
          <w:p>
            <w:pPr>
              <w:spacing w:after="0"/>
              <w:rPr>
                <w:sz w:val="1"/>
                <w:szCs w:val="1"/>
                <w:color w:val="auto"/>
              </w:rPr>
            </w:pPr>
          </w:p>
        </w:tc>
      </w:tr>
      <w:tr>
        <w:trPr>
          <w:trHeight w:val="107"/>
        </w:trPr>
        <w:tc>
          <w:tcPr>
            <w:tcW w:w="4120" w:type="dxa"/>
            <w:vAlign w:val="bottom"/>
            <w:tcBorders>
              <w:left w:val="single" w:sz="8" w:color="auto"/>
              <w:right w:val="single" w:sz="8" w:color="auto"/>
            </w:tcBorders>
            <w:gridSpan w:val="3"/>
            <w:vMerge w:val="continue"/>
          </w:tcPr>
          <w:p>
            <w:pPr>
              <w:spacing w:after="0"/>
              <w:rPr>
                <w:sz w:val="9"/>
                <w:szCs w:val="9"/>
                <w:color w:val="auto"/>
              </w:rPr>
            </w:pPr>
          </w:p>
        </w:tc>
        <w:tc>
          <w:tcPr>
            <w:tcW w:w="3760" w:type="dxa"/>
            <w:vAlign w:val="bottom"/>
            <w:tcBorders>
              <w:right w:val="single" w:sz="8" w:color="auto"/>
            </w:tcBorders>
          </w:tcPr>
          <w:p>
            <w:pPr>
              <w:spacing w:after="0"/>
              <w:rPr>
                <w:sz w:val="9"/>
                <w:szCs w:val="9"/>
                <w:color w:val="auto"/>
              </w:rPr>
            </w:pPr>
          </w:p>
        </w:tc>
        <w:tc>
          <w:tcPr>
            <w:tcW w:w="3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120" w:type="dxa"/>
            <w:vAlign w:val="bottom"/>
            <w:tcBorders>
              <w:left w:val="single" w:sz="8" w:color="auto"/>
              <w:right w:val="single" w:sz="8" w:color="auto"/>
            </w:tcBorders>
            <w:gridSpan w:val="3"/>
          </w:tcPr>
          <w:p>
            <w:pPr>
              <w:ind w:left="520"/>
              <w:spacing w:after="0" w:line="202" w:lineRule="exact"/>
              <w:rPr>
                <w:sz w:val="20"/>
                <w:szCs w:val="20"/>
                <w:color w:val="auto"/>
              </w:rPr>
            </w:pPr>
            <w:r>
              <w:rPr>
                <w:rFonts w:ascii="Arial" w:cs="Arial" w:eastAsia="Arial" w:hAnsi="Arial"/>
                <w:sz w:val="18"/>
                <w:szCs w:val="18"/>
                <w:color w:val="auto"/>
              </w:rPr>
              <w:t>website.</w:t>
            </w:r>
          </w:p>
        </w:tc>
        <w:tc>
          <w:tcPr>
            <w:tcW w:w="3760" w:type="dxa"/>
            <w:vAlign w:val="bottom"/>
            <w:tcBorders>
              <w:right w:val="single" w:sz="8" w:color="auto"/>
            </w:tcBorders>
          </w:tcPr>
          <w:p>
            <w:pPr>
              <w:jc w:val="center"/>
              <w:ind w:right="150"/>
              <w:spacing w:after="0" w:line="202" w:lineRule="exact"/>
              <w:rPr>
                <w:sz w:val="20"/>
                <w:szCs w:val="20"/>
                <w:color w:val="auto"/>
              </w:rPr>
            </w:pPr>
            <w:r>
              <w:rPr>
                <w:rFonts w:ascii="Arial" w:cs="Arial" w:eastAsia="Arial" w:hAnsi="Arial"/>
                <w:sz w:val="18"/>
                <w:szCs w:val="18"/>
                <w:color w:val="auto"/>
              </w:rPr>
              <w:t>•  Follow the instructions provided by the</w:t>
            </w:r>
          </w:p>
        </w:tc>
        <w:tc>
          <w:tcPr>
            <w:tcW w:w="3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  If you vote by telephone or the</w:t>
            </w:r>
          </w:p>
        </w:tc>
        <w:tc>
          <w:tcPr>
            <w:tcW w:w="0" w:type="dxa"/>
            <w:vAlign w:val="bottom"/>
          </w:tcPr>
          <w:p>
            <w:pPr>
              <w:spacing w:after="0"/>
              <w:rPr>
                <w:sz w:val="1"/>
                <w:szCs w:val="1"/>
                <w:color w:val="auto"/>
              </w:rPr>
            </w:pPr>
          </w:p>
        </w:tc>
      </w:tr>
      <w:tr>
        <w:trPr>
          <w:trHeight w:val="100"/>
        </w:trPr>
        <w:tc>
          <w:tcPr>
            <w:tcW w:w="520" w:type="dxa"/>
            <w:vAlign w:val="bottom"/>
            <w:tcBorders>
              <w:left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376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recorded message.</w:t>
            </w:r>
          </w:p>
        </w:tc>
        <w:tc>
          <w:tcPr>
            <w:tcW w:w="3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520" w:type="dxa"/>
            <w:vAlign w:val="bottom"/>
            <w:tcBorders>
              <w:left w:val="single" w:sz="8" w:color="auto"/>
            </w:tcBorders>
          </w:tcPr>
          <w:p>
            <w:pPr>
              <w:spacing w:after="0"/>
              <w:rPr>
                <w:sz w:val="10"/>
                <w:szCs w:val="10"/>
                <w:color w:val="auto"/>
              </w:rPr>
            </w:pPr>
          </w:p>
        </w:tc>
        <w:tc>
          <w:tcPr>
            <w:tcW w:w="32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3560" w:type="dxa"/>
            <w:vAlign w:val="bottom"/>
            <w:tcBorders>
              <w:right w:val="single" w:sz="8" w:color="auto"/>
            </w:tcBorders>
            <w:vMerge w:val="restart"/>
          </w:tcPr>
          <w:p>
            <w:pPr>
              <w:ind w:left="380"/>
              <w:spacing w:after="0" w:line="202" w:lineRule="exact"/>
              <w:rPr>
                <w:sz w:val="20"/>
                <w:szCs w:val="20"/>
                <w:color w:val="auto"/>
              </w:rPr>
            </w:pPr>
            <w:r>
              <w:rPr>
                <w:rFonts w:ascii="Arial" w:cs="Arial" w:eastAsia="Arial" w:hAnsi="Arial"/>
                <w:sz w:val="18"/>
                <w:szCs w:val="18"/>
                <w:b w:val="1"/>
                <w:bCs w:val="1"/>
                <w:color w:val="auto"/>
              </w:rPr>
              <w:t>Internet, please DO NOT mail back</w:t>
            </w:r>
          </w:p>
        </w:tc>
        <w:tc>
          <w:tcPr>
            <w:tcW w:w="0" w:type="dxa"/>
            <w:vAlign w:val="bottom"/>
          </w:tcPr>
          <w:p>
            <w:pPr>
              <w:spacing w:after="0"/>
              <w:rPr>
                <w:sz w:val="1"/>
                <w:szCs w:val="1"/>
                <w:color w:val="auto"/>
              </w:rPr>
            </w:pPr>
          </w:p>
        </w:tc>
      </w:tr>
      <w:tr>
        <w:trPr>
          <w:trHeight w:val="85"/>
        </w:trPr>
        <w:tc>
          <w:tcPr>
            <w:tcW w:w="520" w:type="dxa"/>
            <w:vAlign w:val="bottom"/>
            <w:tcBorders>
              <w:left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3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520" w:type="dxa"/>
            <w:vAlign w:val="bottom"/>
            <w:tcBorders>
              <w:left w:val="single" w:sz="8" w:color="auto"/>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this proxy card.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-1508760</wp:posOffset>
            </wp:positionV>
            <wp:extent cx="308610" cy="291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08610" cy="291465"/>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-1465580</wp:posOffset>
            </wp:positionV>
            <wp:extent cx="325755" cy="2571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5755" cy="25717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-1543050</wp:posOffset>
            </wp:positionV>
            <wp:extent cx="334645" cy="3346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4645" cy="334645"/>
                    </a:xfrm>
                    <a:prstGeom prst="rect">
                      <a:avLst/>
                    </a:prstGeom>
                    <a:noFill/>
                  </pic:spPr>
                </pic:pic>
              </a:graphicData>
            </a:graphic>
          </wp:anchor>
        </w:drawing>
      </w:r>
    </w:p>
    <w:p>
      <w:pPr>
        <w:spacing w:after="0" w:line="8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To participants in The Williams Investment Plus Plan: This proxy/voting instruction card constitutes your voting instructions to the Trustee(s) of such Plan. Non-voted shares will be voted in the same proportion on each issue as the Trustees votes those shares for which it receives voting instructions from Participants. Your instructions must be completed prior to Monday, May 18, 2015 at 1:00 a.m. Central Time.</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THANK YOU FOR VOTING</w:t>
      </w:r>
    </w:p>
    <w:sectPr>
      <w:pgSz w:w="11900" w:h="16838" w:orient="portrait"/>
      <w:cols w:equalWidth="0" w:num="1">
        <w:col w:w="11440"/>
      </w:cols>
      <w:pgMar w:left="240" w:top="45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lvl w:ilvl="1">
      <w:lvlJc w:val="left"/>
      <w:lvlText w:val="%2)"/>
      <w:numFmt w:val="decimal"/>
      <w:start w:val="1"/>
    </w:lvl>
  </w:abstractNum>
  <w:abstractNum w:abstractNumId="5">
    <w:nsid w:val="51EAD36B"/>
    <w:multiLevelType w:val="hybridMultilevel"/>
    <w:lvl w:ilvl="0">
      <w:lvlJc w:val="left"/>
      <w:lvlText w:val="%1)"/>
      <w:numFmt w:val="decimal"/>
      <w:start w:val="4"/>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1)"/>
      <w:numFmt w:val="decimal"/>
      <w:start w:val="2"/>
    </w:lvl>
  </w:abstractNum>
  <w:abstractNum w:abstractNumId="12">
    <w:nsid w:val="2A487CB0"/>
    <w:multiLevelType w:val="hybridMultilevel"/>
    <w:lvl w:ilvl="0">
      <w:lvlJc w:val="left"/>
      <w:lvlText w:val="(%1)"/>
      <w:numFmt w:val="decimal"/>
      <w:start w:val="5"/>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D"/>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1)"/>
      <w:numFmt w:val="lowerLetter"/>
      <w:start w:val="2"/>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lvl w:ilvl="1">
      <w:lvlJc w:val="left"/>
      <w:lvlText w:val="\endash "/>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1)"/>
      <w:numFmt w:val="decimal"/>
      <w:start w:val="3"/>
    </w:lvl>
  </w:abstractNum>
  <w:abstractNum w:abstractNumId="47">
    <w:nsid w:val="D34B6A8"/>
    <w:multiLevelType w:val="hybridMultilevel"/>
    <w:lvl w:ilvl="0">
      <w:lvlJc w:val="left"/>
      <w:lvlText w:val="(%1)"/>
      <w:numFmt w:val="decimal"/>
      <w:start w:val="1"/>
    </w:lvl>
    <w:lvl w:ilvl="1">
      <w:lvlJc w:val="left"/>
      <w:lvlText w:val="•"/>
      <w:numFmt w:val="bullet"/>
      <w:start w:val="1"/>
    </w:lvl>
  </w:abstractNum>
  <w:abstractNum w:abstractNumId="48">
    <w:nsid w:val="10233C99"/>
    <w:multiLevelType w:val="hybridMultilevel"/>
    <w:lvl w:ilvl="0">
      <w:lvlJc w:val="left"/>
      <w:lvlText w:val="(%1)"/>
      <w:numFmt w:val="decimal"/>
      <w:start w:val="3"/>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1"/>
    </w:lvl>
    <w:lvl w:ilvl="1">
      <w:lvlJc w:val="left"/>
      <w:lvlText w:val="(%2)"/>
      <w:numFmt w:val="decimal"/>
      <w:start w:val="1"/>
    </w:lvl>
  </w:abstractNum>
  <w:abstractNum w:abstractNumId="52">
    <w:nsid w:val="77AE35EB"/>
    <w:multiLevelType w:val="hybridMultilevel"/>
    <w:lvl w:ilvl="0">
      <w:lvlJc w:val="left"/>
      <w:lvlText w:val="(%1)"/>
      <w:numFmt w:val="decimal"/>
      <w:start w:val="2"/>
    </w:lvl>
    <w:lvl w:ilvl="1">
      <w:lvlJc w:val="left"/>
      <w:lvlText w:val="%2"/>
      <w:numFmt w:val="decimal"/>
      <w:start w:val="1"/>
    </w:lvl>
  </w:abstractNum>
  <w:abstractNum w:abstractNumId="53">
    <w:nsid w:val="579BE4F1"/>
    <w:multiLevelType w:val="hybridMultilevel"/>
    <w:lvl w:ilvl="0">
      <w:lvlJc w:val="left"/>
      <w:lvlText w:val="•"/>
      <w:numFmt w:val="bullet"/>
      <w:start w:val="1"/>
    </w:lvl>
    <w:lvl w:ilvl="1">
      <w:lvlJc w:val="left"/>
      <w:lvlText w:val="\endash "/>
      <w:numFmt w:val="bullet"/>
      <w:start w:val="1"/>
    </w:lvl>
  </w:abstractNum>
  <w:abstractNum w:abstractNumId="54">
    <w:nsid w:val="310C50B3"/>
    <w:multiLevelType w:val="hybridMultilevel"/>
    <w:lvl w:ilvl="0">
      <w:lvlJc w:val="left"/>
      <w:lvlText w:val="•"/>
      <w:numFmt w:val="bullet"/>
      <w:start w:val="1"/>
    </w:lvl>
    <w:lvl w:ilvl="1">
      <w:lvlJc w:val="left"/>
      <w:lvlText w:val="\endash "/>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decimal"/>
      <w:start w:val="3"/>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decimal"/>
      <w:start w:val="2"/>
    </w:lvl>
  </w:abstractNum>
  <w:abstractNum w:abstractNumId="65">
    <w:nsid w:val="15014ACB"/>
    <w:multiLevelType w:val="hybridMultilevel"/>
    <w:lvl w:ilvl="0">
      <w:lvlJc w:val="left"/>
      <w:lvlText w:val="(%1)"/>
      <w:numFmt w:val="decimal"/>
      <w:start w:val="4"/>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A"/>
      <w:numFmt w:val="bullet"/>
      <w:start w:val="1"/>
    </w:lvl>
  </w:abstractNum>
  <w:abstractNum w:abstractNumId="71">
    <w:nsid w:val="168E121F"/>
    <w:multiLevelType w:val="hybridMultilevel"/>
    <w:lvl w:ilvl="0">
      <w:lvlJc w:val="left"/>
      <w:lvlText w:val="B"/>
      <w:numFmt w:val="bullet"/>
      <w:start w:val="1"/>
    </w:lvl>
  </w:abstractNum>
  <w:abstractNum w:abstractNumId="72">
    <w:nsid w:val="1EBA5D23"/>
    <w:multiLevelType w:val="hybridMultilevel"/>
    <w:lvl w:ilvl="0">
      <w:lvlJc w:val="left"/>
      <w:lvlText w:val="q"/>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2020-01-23T02:58:37Z</dcterms:created>
  <dcterms:modified xsi:type="dcterms:W3CDTF">2020-01-23T02:58:37Z</dcterms:modified>
</cp:coreProperties>
</file>