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5"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Registration No. 333-299764</w:t>
      </w:r>
    </w:p>
    <w:p>
      <w:pPr>
        <w:spacing w:after="0" w:line="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 Prospectus dated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2372360</wp:posOffset>
            </wp:positionH>
            <wp:positionV relativeFrom="paragraph">
              <wp:posOffset>126365</wp:posOffset>
            </wp:positionV>
            <wp:extent cx="975360" cy="517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5360" cy="517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 to 26,874,496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190500</wp:posOffset>
            </wp:positionV>
            <wp:extent cx="11499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180" w:right="299" w:firstLine="346"/>
        <w:spacing w:after="0" w:line="286" w:lineRule="auto"/>
        <w:rPr>
          <w:sz w:val="20"/>
          <w:szCs w:val="20"/>
          <w:color w:val="auto"/>
        </w:rPr>
      </w:pPr>
      <w:r>
        <w:rPr>
          <w:rFonts w:ascii="Times New Roman" w:cs="Times New Roman" w:eastAsia="Times New Roman" w:hAnsi="Times New Roman"/>
          <w:sz w:val="14"/>
          <w:szCs w:val="14"/>
          <w:color w:val="auto"/>
        </w:rPr>
        <w:t>The stockholders named in this prospectus supplement or their permitted transferees (each a “Holder”) may offer and sell from time to time up to 26,874,496 shares of common stock, par value $1.00 per share (the “common stock”).</w:t>
      </w:r>
    </w:p>
    <w:p>
      <w:pPr>
        <w:spacing w:after="0" w:line="125" w:lineRule="exact"/>
        <w:rPr>
          <w:sz w:val="24"/>
          <w:szCs w:val="24"/>
          <w:color w:val="auto"/>
        </w:rPr>
      </w:pPr>
    </w:p>
    <w:p>
      <w:pPr>
        <w:ind w:left="180" w:right="239" w:firstLine="346"/>
        <w:spacing w:after="0" w:line="256" w:lineRule="auto"/>
        <w:rPr>
          <w:sz w:val="20"/>
          <w:szCs w:val="20"/>
          <w:color w:val="auto"/>
        </w:rPr>
      </w:pPr>
      <w:r>
        <w:rPr>
          <w:rFonts w:ascii="Times New Roman" w:cs="Times New Roman" w:eastAsia="Times New Roman" w:hAnsi="Times New Roman"/>
          <w:sz w:val="14"/>
          <w:szCs w:val="14"/>
          <w:color w:val="auto"/>
        </w:rPr>
        <w:t>The Holders may offer, sell or distribute a portion of the securities hereby registered publicly or through private transactions at prevailing market prices or at negotiated prices. We will not receive any of the proceeds from such sales of common stock. Certain Holders have agreed to lock-up restrictions with the Company, and as of September 3, 2026, 1,854,793 shares were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(as defined herein); such Holders may, in the aggregate, sell no more than 537,496 shares of common stock each day during the period from September 3, 2026 to March 3, 2027. We will bear all costs, expenses and fees in connection with the registration of these securities, including with regard to compliance with state securities or “blue sky” laws. The Holders will bear all commissions and discounts, if any, attributable to its sale of common stock. See the section titled “Plan of Distribution.”</w:t>
      </w:r>
    </w:p>
    <w:p>
      <w:pPr>
        <w:spacing w:after="0" w:line="14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ticker symbol “WMB.”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196215</wp:posOffset>
            </wp:positionV>
            <wp:extent cx="1149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both"/>
        <w:ind w:left="180" w:right="259" w:firstLine="346"/>
        <w:spacing w:after="0" w:line="267"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Please read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S-3 of this prospectus supplement.</w:t>
      </w:r>
    </w:p>
    <w:p>
      <w:pPr>
        <w:spacing w:after="0" w:line="124" w:lineRule="exact"/>
        <w:rPr>
          <w:sz w:val="24"/>
          <w:szCs w:val="24"/>
          <w:color w:val="auto"/>
        </w:rPr>
      </w:pPr>
    </w:p>
    <w:p>
      <w:pPr>
        <w:jc w:val="both"/>
        <w:ind w:left="180" w:right="239" w:firstLine="346"/>
        <w:spacing w:after="0" w:line="27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161925</wp:posOffset>
            </wp:positionV>
            <wp:extent cx="1149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 dated November 2, 2026</w:t>
      </w:r>
    </w:p>
    <w:p>
      <w:pPr>
        <w:sectPr>
          <w:pgSz w:w="11900" w:h="16838" w:orient="portrait"/>
          <w:cols w:equalWidth="0" w:num="1">
            <w:col w:w="9019"/>
          </w:cols>
          <w:pgMar w:left="1440" w:top="208" w:right="1440" w:bottom="1440" w:gutter="0" w:footer="0" w:header="0"/>
        </w:sectPr>
      </w:pPr>
    </w:p>
    <w:bookmarkStart w:id="1" w:name="page2"/>
    <w:bookmarkEnd w:id="1"/>
    <w:p>
      <w:pPr>
        <w:ind w:left="180" w:right="199" w:firstLine="346"/>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This document is in two parts. The first part is this prospectus supplement, which describes the specific terms of this offering of common stock. The second part is the accompanying base prospectus, which gives more general information, some of which may not apply to this offering of common stock. Generally, when we refer only to the “prospectus,” we are referring to both parts combined. If the information about the offering of common stock varies between this prospectus supplement and the accompanying base prospectus, you should rely on the information in this prospectus supplement.</w:t>
      </w:r>
    </w:p>
    <w:p>
      <w:pPr>
        <w:spacing w:after="0" w:line="142" w:lineRule="exact"/>
        <w:rPr>
          <w:sz w:val="20"/>
          <w:szCs w:val="20"/>
          <w:color w:val="auto"/>
        </w:rPr>
      </w:pPr>
    </w:p>
    <w:p>
      <w:pPr>
        <w:ind w:left="180" w:right="199" w:firstLine="346"/>
        <w:spacing w:after="0" w:line="263"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w:t>
      </w:r>
    </w:p>
    <w:p>
      <w:pPr>
        <w:spacing w:after="0" w:line="142" w:lineRule="exact"/>
        <w:rPr>
          <w:sz w:val="20"/>
          <w:szCs w:val="20"/>
          <w:color w:val="auto"/>
        </w:rPr>
      </w:pPr>
    </w:p>
    <w:p>
      <w:pPr>
        <w:ind w:left="180" w:right="239" w:firstLine="346"/>
        <w:spacing w:after="0" w:line="257" w:lineRule="auto"/>
        <w:rPr>
          <w:sz w:val="20"/>
          <w:szCs w:val="20"/>
          <w:color w:val="auto"/>
        </w:rPr>
      </w:pPr>
      <w:r>
        <w:rPr>
          <w:rFonts w:ascii="Times New Roman" w:cs="Times New Roman" w:eastAsia="Times New Roman" w:hAnsi="Times New Roman"/>
          <w:sz w:val="14"/>
          <w:szCs w:val="14"/>
          <w:color w:val="auto"/>
        </w:rPr>
        <w:t>Please read “Where You Can Find More Information” on page S-10 of this prospectus supplement. Neither we nor the Holders have authorized anyone to provide you with additional or different information or to make representations other than those contained or incorporated by reference in this prospectus or in any free writing prospectus prepared by or on behalf of us. Neither we nor the Holders take any responsibility for, and can provide no assurance as to the reliability of, any other information that others may give you. The Holders are offering to sell common stock, and seeking offers to buy common stock,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w:t>
      </w:r>
    </w:p>
    <w:p>
      <w:pPr>
        <w:spacing w:after="0" w:line="144" w:lineRule="exact"/>
        <w:rPr>
          <w:sz w:val="20"/>
          <w:szCs w:val="20"/>
          <w:color w:val="auto"/>
        </w:rPr>
      </w:pPr>
    </w:p>
    <w:p>
      <w:pPr>
        <w:ind w:left="180" w:right="759" w:firstLine="346"/>
        <w:spacing w:after="0" w:line="289" w:lineRule="auto"/>
        <w:rPr>
          <w:sz w:val="20"/>
          <w:szCs w:val="20"/>
          <w:color w:val="auto"/>
        </w:rPr>
      </w:pPr>
      <w:r>
        <w:rPr>
          <w:rFonts w:ascii="Times New Roman" w:cs="Times New Roman" w:eastAsia="Times New Roman" w:hAnsi="Times New Roman"/>
          <w:sz w:val="14"/>
          <w:szCs w:val="14"/>
          <w:color w:val="auto"/>
        </w:rPr>
        <w:t>Unless the context otherwise requires, references in this prospectus to “</w:t>
      </w:r>
      <w:r>
        <w:rPr>
          <w:rFonts w:ascii="Times New Roman" w:cs="Times New Roman" w:eastAsia="Times New Roman" w:hAnsi="Times New Roman"/>
          <w:sz w:val="14"/>
          <w:szCs w:val="14"/>
          <w:i w:val="1"/>
          <w:iCs w:val="1"/>
          <w:color w:val="auto"/>
        </w:rPr>
        <w:t>Williams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like terms refer to The Williams Companies, Inc. and its subsidiaries.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41" w:right="1440" w:bottom="1440" w:gutter="0" w:footer="0" w:header="0"/>
        </w:sectPr>
      </w:pPr>
    </w:p>
    <w:bookmarkStart w:id="2" w:name="page3"/>
    <w:bookmarkEnd w:id="2"/>
    <w:tbl>
      <w:tblPr>
        <w:tblLayout w:type="fixed"/>
        <w:tblInd w:w="18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gridSpan w:val="3"/>
          </w:tcPr>
          <w:p>
            <w:pPr>
              <w:jc w:val="center"/>
              <w:ind w:right="3192"/>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39"/>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3"/>
          </w:tcPr>
          <w:p>
            <w:pPr>
              <w:jc w:val="center"/>
              <w:ind w:right="3172"/>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0" w:type="dxa"/>
            <w:vAlign w:val="bottom"/>
          </w:tcPr>
          <w:p>
            <w:pPr>
              <w:spacing w:after="0"/>
              <w:rPr>
                <w:sz w:val="1"/>
                <w:szCs w:val="1"/>
                <w:color w:val="auto"/>
              </w:rPr>
            </w:pPr>
          </w:p>
        </w:tc>
      </w:tr>
      <w:tr>
        <w:trPr>
          <w:trHeight w:val="307"/>
        </w:trPr>
        <w:tc>
          <w:tcPr>
            <w:tcW w:w="330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8"/>
        </w:trPr>
        <w:tc>
          <w:tcPr>
            <w:tcW w:w="3300" w:type="dxa"/>
            <w:vAlign w:val="bottom"/>
            <w:gridSpan w:val="21"/>
            <w:vMerge w:val="continue"/>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S-iii</w:t>
            </w:r>
          </w:p>
        </w:tc>
        <w:tc>
          <w:tcPr>
            <w:tcW w:w="0" w:type="dxa"/>
            <w:vAlign w:val="bottom"/>
          </w:tcPr>
          <w:p>
            <w:pPr>
              <w:spacing w:after="0"/>
              <w:rPr>
                <w:sz w:val="1"/>
                <w:szCs w:val="1"/>
                <w:color w:val="auto"/>
              </w:rPr>
            </w:pPr>
          </w:p>
        </w:tc>
      </w:tr>
      <w:tr>
        <w:trPr>
          <w:trHeight w:val="149"/>
        </w:trPr>
        <w:tc>
          <w:tcPr>
            <w:tcW w:w="56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9"/>
              </w:rPr>
              <w:t>Summary</w:t>
            </w:r>
          </w:p>
        </w:tc>
        <w:tc>
          <w:tcPr>
            <w:tcW w:w="1100" w:type="dxa"/>
            <w:vAlign w:val="bottom"/>
            <w:tcBorders>
              <w:top w:val="single" w:sz="8" w:color="0000EE"/>
            </w:tcBorders>
            <w:gridSpan w:val="13"/>
          </w:tcPr>
          <w:p>
            <w:pPr>
              <w:spacing w:after="0"/>
              <w:rPr>
                <w:sz w:val="12"/>
                <w:szCs w:val="12"/>
                <w:color w:val="auto"/>
              </w:rPr>
            </w:pPr>
          </w:p>
        </w:tc>
        <w:tc>
          <w:tcPr>
            <w:tcW w:w="1640" w:type="dxa"/>
            <w:vAlign w:val="bottom"/>
            <w:gridSpan w:val="6"/>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The Offering</w:t>
            </w: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49"/>
        </w:trPr>
        <w:tc>
          <w:tcPr>
            <w:tcW w:w="720" w:type="dxa"/>
            <w:vAlign w:val="bottom"/>
            <w:tcBorders>
              <w:top w:val="single" w:sz="8" w:color="0000EE"/>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Risk Factors</w:t>
            </w:r>
          </w:p>
        </w:tc>
        <w:tc>
          <w:tcPr>
            <w:tcW w:w="20" w:type="dxa"/>
            <w:vAlign w:val="bottom"/>
            <w:tcBorders>
              <w:top w:val="single" w:sz="8" w:color="0000EE"/>
            </w:tcBorders>
          </w:tcPr>
          <w:p>
            <w:pPr>
              <w:spacing w:after="0"/>
              <w:rPr>
                <w:sz w:val="12"/>
                <w:szCs w:val="12"/>
                <w:color w:val="auto"/>
              </w:rPr>
            </w:pPr>
          </w:p>
        </w:tc>
        <w:tc>
          <w:tcPr>
            <w:tcW w:w="2560" w:type="dxa"/>
            <w:vAlign w:val="bottom"/>
            <w:gridSpan w:val="17"/>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9"/>
        </w:trPr>
        <w:tc>
          <w:tcPr>
            <w:tcW w:w="920" w:type="dxa"/>
            <w:vAlign w:val="bottom"/>
            <w:tcBorders>
              <w:top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Selling Holders</w:t>
            </w:r>
          </w:p>
        </w:tc>
        <w:tc>
          <w:tcPr>
            <w:tcW w:w="2380" w:type="dxa"/>
            <w:vAlign w:val="bottom"/>
            <w:gridSpan w:val="14"/>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49"/>
        </w:trPr>
        <w:tc>
          <w:tcPr>
            <w:tcW w:w="800" w:type="dxa"/>
            <w:vAlign w:val="bottom"/>
            <w:tcBorders>
              <w:top w:val="single" w:sz="8" w:color="0000EE"/>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Legal Matters</w:t>
            </w:r>
          </w:p>
        </w:tc>
        <w:tc>
          <w:tcPr>
            <w:tcW w:w="320" w:type="dxa"/>
            <w:vAlign w:val="bottom"/>
            <w:tcBorders>
              <w:top w:val="single" w:sz="8" w:color="0000EE"/>
            </w:tcBorders>
            <w:gridSpan w:val="3"/>
          </w:tcPr>
          <w:p>
            <w:pPr>
              <w:spacing w:after="0"/>
              <w:rPr>
                <w:sz w:val="12"/>
                <w:szCs w:val="12"/>
                <w:color w:val="auto"/>
              </w:rPr>
            </w:pPr>
          </w:p>
        </w:tc>
        <w:tc>
          <w:tcPr>
            <w:tcW w:w="2180" w:type="dxa"/>
            <w:vAlign w:val="bottom"/>
            <w:gridSpan w:val="13"/>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49"/>
        </w:trPr>
        <w:tc>
          <w:tcPr>
            <w:tcW w:w="44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Experts</w:t>
            </w:r>
          </w:p>
        </w:tc>
        <w:tc>
          <w:tcPr>
            <w:tcW w:w="2860" w:type="dxa"/>
            <w:vAlign w:val="bottom"/>
            <w:gridSpan w:val="20"/>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1040" w:type="dxa"/>
            <w:vAlign w:val="bottom"/>
            <w:gridSpan w:val="2"/>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350"/>
        </w:trPr>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3"/>
          </w:tcPr>
          <w:p>
            <w:pPr>
              <w:jc w:val="center"/>
              <w:ind w:right="3172"/>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0" w:type="dxa"/>
            <w:vAlign w:val="bottom"/>
          </w:tcPr>
          <w:p>
            <w:pPr>
              <w:spacing w:after="0"/>
              <w:rPr>
                <w:sz w:val="1"/>
                <w:szCs w:val="1"/>
                <w:color w:val="auto"/>
              </w:rPr>
            </w:pPr>
          </w:p>
        </w:tc>
      </w:tr>
      <w:tr>
        <w:trPr>
          <w:trHeight w:val="307"/>
        </w:trPr>
        <w:tc>
          <w:tcPr>
            <w:tcW w:w="330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8"/>
        </w:trPr>
        <w:tc>
          <w:tcPr>
            <w:tcW w:w="3300" w:type="dxa"/>
            <w:vAlign w:val="bottom"/>
            <w:gridSpan w:val="21"/>
            <w:vMerge w:val="continue"/>
          </w:tcPr>
          <w:p>
            <w:pPr>
              <w:spacing w:after="0"/>
              <w:rPr>
                <w:sz w:val="10"/>
                <w:szCs w:val="10"/>
                <w:color w:val="auto"/>
              </w:rPr>
            </w:pPr>
          </w:p>
        </w:tc>
        <w:tc>
          <w:tcPr>
            <w:tcW w:w="4980" w:type="dxa"/>
            <w:vAlign w:val="bottom"/>
          </w:tcPr>
          <w:p>
            <w:pPr>
              <w:spacing w:after="0"/>
              <w:rPr>
                <w:sz w:val="10"/>
                <w:szCs w:val="10"/>
                <w:color w:val="auto"/>
              </w:rPr>
            </w:pPr>
          </w:p>
        </w:tc>
        <w:tc>
          <w:tcPr>
            <w:tcW w:w="3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92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w w:val="99"/>
              </w:rPr>
              <w:t>About The Williams Companies, Inc.</w:t>
            </w:r>
          </w:p>
        </w:tc>
        <w:tc>
          <w:tcPr>
            <w:tcW w:w="1180" w:type="dxa"/>
            <w:vAlign w:val="bottom"/>
            <w:gridSpan w:val="3"/>
          </w:tcPr>
          <w:p>
            <w:pPr>
              <w:spacing w:after="0"/>
              <w:rPr>
                <w:sz w:val="13"/>
                <w:szCs w:val="13"/>
                <w:color w:val="auto"/>
              </w:rPr>
            </w:pPr>
          </w:p>
        </w:tc>
        <w:tc>
          <w:tcPr>
            <w:tcW w:w="5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72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Risk Factors</w:t>
            </w:r>
          </w:p>
        </w:tc>
        <w:tc>
          <w:tcPr>
            <w:tcW w:w="2580" w:type="dxa"/>
            <w:vAlign w:val="bottom"/>
            <w:gridSpan w:val="18"/>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1040" w:type="dxa"/>
            <w:vAlign w:val="bottom"/>
            <w:gridSpan w:val="2"/>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740" w:type="dxa"/>
            <w:vAlign w:val="bottom"/>
            <w:gridSpan w:val="8"/>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3040" w:type="dxa"/>
            <w:vAlign w:val="bottom"/>
            <w:tcBorders>
              <w:top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260" w:type="dxa"/>
            <w:vAlign w:val="bottom"/>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92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2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580" w:type="dxa"/>
            <w:vAlign w:val="bottom"/>
            <w:gridSpan w:val="5"/>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680" w:type="dxa"/>
            <w:vAlign w:val="bottom"/>
            <w:gridSpan w:val="7"/>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Description of Purchase Contracts</w:t>
            </w:r>
          </w:p>
        </w:tc>
        <w:tc>
          <w:tcPr>
            <w:tcW w:w="1360" w:type="dxa"/>
            <w:vAlign w:val="bottom"/>
            <w:gridSpan w:val="4"/>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136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Warrants</w:t>
            </w:r>
          </w:p>
        </w:tc>
        <w:tc>
          <w:tcPr>
            <w:tcW w:w="1940" w:type="dxa"/>
            <w:vAlign w:val="bottom"/>
            <w:gridSpan w:val="9"/>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Units</w:t>
            </w:r>
          </w:p>
        </w:tc>
        <w:tc>
          <w:tcPr>
            <w:tcW w:w="2140" w:type="dxa"/>
            <w:vAlign w:val="bottom"/>
            <w:gridSpan w:val="12"/>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330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Selling Securityholders</w:t>
            </w: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800" w:type="dxa"/>
            <w:vAlign w:val="bottom"/>
            <w:tcBorders>
              <w:top w:val="single" w:sz="8" w:color="0000EE"/>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Legal Matters</w:t>
            </w:r>
          </w:p>
        </w:tc>
        <w:tc>
          <w:tcPr>
            <w:tcW w:w="520" w:type="dxa"/>
            <w:vAlign w:val="bottom"/>
            <w:tcBorders>
              <w:top w:val="single" w:sz="8" w:color="0000EE"/>
            </w:tcBorders>
            <w:gridSpan w:val="6"/>
          </w:tcPr>
          <w:p>
            <w:pPr>
              <w:spacing w:after="0"/>
              <w:rPr>
                <w:sz w:val="12"/>
                <w:szCs w:val="12"/>
                <w:color w:val="auto"/>
              </w:rPr>
            </w:pPr>
          </w:p>
        </w:tc>
        <w:tc>
          <w:tcPr>
            <w:tcW w:w="1980" w:type="dxa"/>
            <w:vAlign w:val="bottom"/>
            <w:gridSpan w:val="10"/>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44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Experts</w:t>
            </w:r>
          </w:p>
        </w:tc>
        <w:tc>
          <w:tcPr>
            <w:tcW w:w="2860" w:type="dxa"/>
            <w:vAlign w:val="bottom"/>
            <w:gridSpan w:val="20"/>
          </w:tcPr>
          <w:p>
            <w:pPr>
              <w:spacing w:after="0"/>
              <w:rPr>
                <w:sz w:val="12"/>
                <w:szCs w:val="12"/>
                <w:color w:val="auto"/>
              </w:rPr>
            </w:pPr>
          </w:p>
        </w:tc>
        <w:tc>
          <w:tcPr>
            <w:tcW w:w="5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    24</w:t>
            </w:r>
          </w:p>
        </w:tc>
        <w:tc>
          <w:tcPr>
            <w:tcW w:w="0" w:type="dxa"/>
            <w:vAlign w:val="bottom"/>
          </w:tcPr>
          <w:p>
            <w:pPr>
              <w:spacing w:after="0"/>
              <w:rPr>
                <w:sz w:val="1"/>
                <w:szCs w:val="1"/>
                <w:color w:val="auto"/>
              </w:rPr>
            </w:pP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FORWARD-LOOKING STATEMENTS</w:t>
      </w:r>
    </w:p>
    <w:p>
      <w:pPr>
        <w:spacing w:after="0" w:line="180" w:lineRule="exact"/>
        <w:rPr>
          <w:sz w:val="20"/>
          <w:szCs w:val="20"/>
          <w:color w:val="auto"/>
        </w:rPr>
      </w:pPr>
    </w:p>
    <w:p>
      <w:pPr>
        <w:ind w:left="180" w:right="259" w:firstLine="346"/>
        <w:spacing w:after="0" w:line="259" w:lineRule="auto"/>
        <w:rPr>
          <w:sz w:val="20"/>
          <w:szCs w:val="20"/>
          <w:color w:val="auto"/>
        </w:rPr>
      </w:pPr>
      <w:r>
        <w:rPr>
          <w:rFonts w:ascii="Times New Roman" w:cs="Times New Roman" w:eastAsia="Times New Roman" w:hAnsi="Times New Roman"/>
          <w:sz w:val="14"/>
          <w:szCs w:val="14"/>
          <w:color w:val="auto"/>
        </w:rPr>
        <w:t>Certain matters discussed in this prospectus supplement and the documents incorporated herein by reference, excluding historical facts, are “forward-looking statements” within the meaning of Section 27A of the Securities Act of 1933, as amended (the “Securities Act”), and Section 21E of the Securities Exchange Act of 1934, as amended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w:t>
      </w:r>
    </w:p>
    <w:p>
      <w:pPr>
        <w:spacing w:after="0" w:line="144" w:lineRule="exact"/>
        <w:rPr>
          <w:sz w:val="20"/>
          <w:szCs w:val="20"/>
          <w:color w:val="auto"/>
        </w:rPr>
      </w:pPr>
    </w:p>
    <w:p>
      <w:pPr>
        <w:ind w:left="180" w:right="239" w:firstLine="346"/>
        <w:spacing w:after="0" w:line="259" w:lineRule="auto"/>
        <w:rPr>
          <w:sz w:val="20"/>
          <w:szCs w:val="20"/>
          <w:color w:val="auto"/>
        </w:rPr>
      </w:pPr>
      <w:r>
        <w:rPr>
          <w:rFonts w:ascii="Times New Roman" w:cs="Times New Roman" w:eastAsia="Times New Roman" w:hAnsi="Times New Roman"/>
          <w:sz w:val="14"/>
          <w:szCs w:val="14"/>
          <w:color w:val="auto"/>
        </w:rPr>
        <w:t>All statements, other than statements of historical facts, included in this prospectus supplement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70" w:lineRule="exact"/>
        <w:rPr>
          <w:sz w:val="20"/>
          <w:szCs w:val="20"/>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dividends to Williams stockholders;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credit ratings of Williams and its affiliates;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and nature of future capital expenditures;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and growth of our business and operations;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in-service dates for capital projects;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condition and liquidity;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strategy;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operations or results of operations;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case filings;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of certain business components;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natural gas liquids, and crude oil prices, supply, and demand;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services.</w:t>
      </w:r>
    </w:p>
    <w:p>
      <w:pPr>
        <w:spacing w:after="0" w:line="178" w:lineRule="exact"/>
        <w:rPr>
          <w:sz w:val="20"/>
          <w:szCs w:val="20"/>
          <w:color w:val="auto"/>
        </w:rPr>
      </w:pPr>
    </w:p>
    <w:p>
      <w:pPr>
        <w:ind w:left="180" w:right="239" w:firstLine="346"/>
        <w:spacing w:after="0" w:line="257" w:lineRule="auto"/>
        <w:rPr>
          <w:sz w:val="20"/>
          <w:szCs w:val="20"/>
          <w:color w:val="auto"/>
        </w:rPr>
      </w:pPr>
      <w:r>
        <w:rPr>
          <w:rFonts w:ascii="Times New Roman" w:cs="Times New Roman" w:eastAsia="Times New Roman" w:hAnsi="Times New Roman"/>
          <w:sz w:val="14"/>
          <w:szCs w:val="14"/>
          <w:color w:val="auto"/>
        </w:rPr>
        <w:t>Forward-looking statements are based on numerous assumptions, uncertainties, and risks that could cause future events or results to be materially different from those stated or implied in this prospectus supplement or in the documents incorporated herein by reference. You should carefully consider the risk factors discussed below in addition to the other information in this prospectus supplement and in the documents incorporated herein by reference. If any of the following risks were actually to occur, our business, results of operations and financial condition could be materially adversely affected. In that case, we might not be able to pay dividends to holders of shares of our common stock, the trading price of shares of our common stock could decline and stockholders could lose all or part of their investment. Many of the factors that will determine these results are beyond our ability to control or predict. Specific factors that could cause actual results to differ from results contemplated by the forward-looking statements include, among others, the following:</w:t>
      </w:r>
    </w:p>
    <w:p>
      <w:pPr>
        <w:spacing w:after="0" w:line="72" w:lineRule="exact"/>
        <w:rPr>
          <w:sz w:val="20"/>
          <w:szCs w:val="20"/>
          <w:color w:val="auto"/>
        </w:rPr>
      </w:pPr>
    </w:p>
    <w:p>
      <w:pPr>
        <w:ind w:left="940" w:hanging="333"/>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supplies, market demand, and volatility of prices;</w:t>
      </w:r>
    </w:p>
    <w:p>
      <w:pPr>
        <w:spacing w:after="0" w:line="103" w:lineRule="exact"/>
        <w:rPr>
          <w:rFonts w:ascii="Times New Roman" w:cs="Times New Roman" w:eastAsia="Times New Roman" w:hAnsi="Times New Roman"/>
          <w:sz w:val="14"/>
          <w:szCs w:val="14"/>
          <w:color w:val="auto"/>
        </w:rPr>
      </w:pPr>
    </w:p>
    <w:p>
      <w:pPr>
        <w:ind w:left="4380" w:right="4399" w:hanging="3773"/>
        <w:spacing w:after="0" w:line="377" w:lineRule="auto"/>
        <w:tabs>
          <w:tab w:leader="none" w:pos="943"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and rate of adoption of alternative energy sources; S-iii</w:t>
      </w:r>
    </w:p>
    <w:p>
      <w:pPr>
        <w:sectPr>
          <w:pgSz w:w="11900" w:h="16838" w:orient="portrait"/>
          <w:cols w:equalWidth="0" w:num="1">
            <w:col w:w="9019"/>
          </w:cols>
          <w:pgMar w:left="1440" w:top="239" w:right="1440" w:bottom="1440" w:gutter="0" w:footer="0" w:header="0"/>
        </w:sectPr>
      </w:pPr>
    </w:p>
    <w:bookmarkStart w:id="4" w:name="page5"/>
    <w:bookmarkEnd w:id="4"/>
    <w:p>
      <w:pPr>
        <w:ind w:left="940" w:right="439" w:hanging="333"/>
        <w:spacing w:after="0" w:line="269"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w:t>
      </w:r>
    </w:p>
    <w:p>
      <w:pPr>
        <w:spacing w:after="0" w:line="62"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credit risk of our customers and counterparties;</w:t>
      </w:r>
    </w:p>
    <w:p>
      <w:pPr>
        <w:spacing w:after="0" w:line="103" w:lineRule="exact"/>
        <w:rPr>
          <w:rFonts w:ascii="Times New Roman" w:cs="Times New Roman" w:eastAsia="Times New Roman" w:hAnsi="Times New Roman"/>
          <w:sz w:val="14"/>
          <w:szCs w:val="14"/>
          <w:color w:val="auto"/>
        </w:rPr>
      </w:pPr>
    </w:p>
    <w:p>
      <w:pPr>
        <w:ind w:left="940" w:right="379" w:hanging="333"/>
        <w:spacing w:after="0" w:line="286"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businesses and assets and successfully integrate those operations and assets into existing businesses as well as successfully expand our facilities and consummate asset sales on acceptable terms;</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evaluate, and timely execute our capital projects and investment opportunities;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and financial resources of our competitors and the effects of competition;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distributions from and capital requirements of our investments and joint ventures in which we participate;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execute our financing plan;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and changing expectations from stakeholders with respect to our environmental, social, and governance practices;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physical and financial risks associated with climate change;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operational and developmental hazards and unforeseen interruptions;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resulting from outbreaks or other public health crises;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weather and natural phenomena, including climate conditions and physical damage to our facilities;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cybersecurity incidents, and related disruptions;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costs and funding obligations for defined benefit pension plans and other postretirement benefit plans;</w:t>
      </w:r>
    </w:p>
    <w:p>
      <w:pPr>
        <w:spacing w:after="0" w:line="103" w:lineRule="exact"/>
        <w:rPr>
          <w:rFonts w:ascii="Times New Roman" w:cs="Times New Roman" w:eastAsia="Times New Roman" w:hAnsi="Times New Roman"/>
          <w:sz w:val="14"/>
          <w:szCs w:val="14"/>
          <w:color w:val="auto"/>
        </w:rPr>
      </w:pPr>
    </w:p>
    <w:p>
      <w:pPr>
        <w:ind w:left="940" w:right="539" w:hanging="333"/>
        <w:spacing w:after="0" w:line="286"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maintenance and construction costs, as well as our ability to obtain sufficient construction-related inputs, including skilled labor;</w:t>
      </w:r>
    </w:p>
    <w:p>
      <w:pPr>
        <w:spacing w:after="0" w:line="50" w:lineRule="exact"/>
        <w:rPr>
          <w:rFonts w:ascii="Times New Roman" w:cs="Times New Roman" w:eastAsia="Times New Roman" w:hAnsi="Times New Roman"/>
          <w:sz w:val="14"/>
          <w:szCs w:val="14"/>
          <w:color w:val="auto"/>
        </w:rPr>
      </w:pPr>
    </w:p>
    <w:p>
      <w:pPr>
        <w:ind w:left="940" w:right="459" w:hanging="333"/>
        <w:spacing w:after="0" w:line="269"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rates, tariffs on foreign made materials and goods (including steel and steel pipes) necessary to conduct business, and general economic conditions (including future disruptions and volatility in the global credit markets and the impact of these events on customers and suppliers);</w:t>
      </w:r>
    </w:p>
    <w:p>
      <w:pPr>
        <w:spacing w:after="0" w:line="62" w:lineRule="exact"/>
        <w:rPr>
          <w:rFonts w:ascii="Times New Roman" w:cs="Times New Roman" w:eastAsia="Times New Roman" w:hAnsi="Times New Roman"/>
          <w:sz w:val="14"/>
          <w:szCs w:val="14"/>
          <w:color w:val="auto"/>
        </w:rPr>
      </w:pPr>
    </w:p>
    <w:p>
      <w:pPr>
        <w:ind w:left="940" w:right="739" w:hanging="333"/>
        <w:spacing w:after="0" w:line="286"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financing, including restrictions stemming from debt agreements, future changes in credit ratings as determined by nationally recognized credit rating agencies, and the availability and cost of capital;</w:t>
      </w:r>
    </w:p>
    <w:p>
      <w:pPr>
        <w:spacing w:after="0" w:line="50" w:lineRule="exact"/>
        <w:rPr>
          <w:rFonts w:ascii="Times New Roman" w:cs="Times New Roman" w:eastAsia="Times New Roman" w:hAnsi="Times New Roman"/>
          <w:sz w:val="14"/>
          <w:szCs w:val="14"/>
          <w:color w:val="auto"/>
        </w:rPr>
      </w:pPr>
    </w:p>
    <w:p>
      <w:pPr>
        <w:ind w:left="940" w:right="379" w:hanging="333"/>
        <w:spacing w:after="0" w:line="286" w:lineRule="auto"/>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members of the Organization of Petroleum Exporting Countries (OPEC) and other oil exporting nations to agree to and maintain oil price and production controls and the impact on domestic production;</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current geopolitical situation;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governmental administration and policies;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pay current and expected levels of dividends;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described in our filings with the Securities and Exchange Commission (the “SEC”).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41" w:right="1440" w:bottom="1440" w:gutter="0" w:footer="0" w:header="0"/>
        </w:sectPr>
      </w:pPr>
    </w:p>
    <w:bookmarkStart w:id="5" w:name="page6"/>
    <w:bookmarkEnd w:id="5"/>
    <w:p>
      <w:pPr>
        <w:ind w:left="180" w:right="439" w:firstLine="346"/>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w:t>
      </w:r>
    </w:p>
    <w:p>
      <w:pPr>
        <w:spacing w:after="0" w:line="136" w:lineRule="exact"/>
        <w:rPr>
          <w:sz w:val="20"/>
          <w:szCs w:val="20"/>
          <w:color w:val="auto"/>
        </w:rPr>
      </w:pPr>
    </w:p>
    <w:p>
      <w:pPr>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In addition to causing our actual results to differ, the factors listed above and referred to below may cause our intentions to change from those statements of intention set forth in or incorporated into this prospectus supplement. Such changes in our intentions may also cause our results to differ. We may change our intentions, at any time and without notice, based upon changes in such factors, our assumptions, or otherwise.</w:t>
      </w:r>
    </w:p>
    <w:p>
      <w:pPr>
        <w:spacing w:after="0" w:line="136" w:lineRule="exact"/>
        <w:rPr>
          <w:sz w:val="20"/>
          <w:szCs w:val="20"/>
          <w:color w:val="auto"/>
        </w:rPr>
      </w:pPr>
    </w:p>
    <w:p>
      <w:pPr>
        <w:jc w:val="both"/>
        <w:ind w:left="180" w:right="299" w:firstLine="346"/>
        <w:spacing w:after="0" w:line="269" w:lineRule="auto"/>
        <w:rPr>
          <w:sz w:val="20"/>
          <w:szCs w:val="20"/>
          <w:color w:val="auto"/>
        </w:rPr>
      </w:pPr>
      <w:r>
        <w:rPr>
          <w:rFonts w:ascii="Times New Roman" w:cs="Times New Roman" w:eastAsia="Times New Roman" w:hAnsi="Times New Roman"/>
          <w:sz w:val="14"/>
          <w:szCs w:val="14"/>
          <w:color w:val="auto"/>
        </w:rPr>
        <w:t>Because forward-looking statements involve risks and uncertainties, we caution that there are important factors, in addition to those listed above, that may cause actual results to differ materially from those contained in the forward-looking statements. These factors include the risks set forth under the caption “Risk Factors” in this prospectus supplement.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9019"/>
          </w:cols>
          <w:pgMar w:left="1440" w:top="24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056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056255"/>
                    </a:xfrm>
                    <a:prstGeom prst="rect">
                      <a:avLst/>
                    </a:prstGeom>
                    <a:noFill/>
                  </pic:spPr>
                </pic:pic>
              </a:graphicData>
            </a:graphic>
          </wp:anchor>
        </w:drawing>
        <w:t>SUMMARY</w:t>
      </w:r>
    </w:p>
    <w:p>
      <w:pPr>
        <w:spacing w:after="0" w:line="178" w:lineRule="exact"/>
        <w:rPr>
          <w:sz w:val="20"/>
          <w:szCs w:val="20"/>
          <w:color w:val="auto"/>
        </w:rPr>
      </w:pPr>
    </w:p>
    <w:p>
      <w:pPr>
        <w:ind w:left="320" w:right="399" w:firstLine="334"/>
        <w:spacing w:after="0" w:line="261"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or incorporated by reference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of common stock. Please read “Risk Factors” beginning on page S-3 of this prospectus supplement for information regarding risks you should consider before investing in our common stock.</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Williams Companies, Inc.</w:t>
      </w:r>
    </w:p>
    <w:p>
      <w:pPr>
        <w:spacing w:after="0" w:line="180" w:lineRule="exact"/>
        <w:rPr>
          <w:sz w:val="20"/>
          <w:szCs w:val="20"/>
          <w:color w:val="auto"/>
        </w:rPr>
      </w:pPr>
    </w:p>
    <w:p>
      <w:pPr>
        <w:ind w:left="320" w:right="399" w:firstLine="334"/>
        <w:spacing w:after="0" w:line="259" w:lineRule="auto"/>
        <w:rPr>
          <w:sz w:val="20"/>
          <w:szCs w:val="20"/>
          <w:color w:val="auto"/>
        </w:rPr>
      </w:pPr>
      <w:r>
        <w:rPr>
          <w:rFonts w:ascii="Times New Roman" w:cs="Times New Roman" w:eastAsia="Times New Roman" w:hAnsi="Times New Roman"/>
          <w:sz w:val="14"/>
          <w:szCs w:val="14"/>
          <w:color w:val="auto"/>
        </w:rPr>
        <w:t>We are an energy company committed to being the leader in providing infrastructure that safely delivers natural gas products to reliably fuel the clean energy economy. As of December 31, 2025, we had operations in 11 supply areas that provide natural gas gathering and processing, transmission and storage services, natural gas liquids (“NGL”) fractionation, transportation, and storage services, and marketing services to approximately 800 customers. As of December 31, 2025, we owned an interest in and operated over 32,000 miles of pipelines in 24 states and in the Gulf of America, 35 natural gas processing facilities, 9 NGL fractionation facilities, approximately 23 million barrels of NGL storage capacity, and 423 Bcf of natural gas storage capacity, and deliver natural gas that is used every day for clean-power generation, heating, and industrial use.</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Principal Executive Offices and Internet Address</w:t>
      </w:r>
    </w:p>
    <w:p>
      <w:pPr>
        <w:spacing w:after="0" w:line="95" w:lineRule="exact"/>
        <w:rPr>
          <w:sz w:val="20"/>
          <w:szCs w:val="20"/>
          <w:color w:val="auto"/>
        </w:rPr>
      </w:pPr>
    </w:p>
    <w:p>
      <w:pPr>
        <w:ind w:left="320" w:right="559" w:firstLine="334"/>
        <w:spacing w:after="0" w:line="260" w:lineRule="auto"/>
        <w:rPr>
          <w:sz w:val="20"/>
          <w:szCs w:val="20"/>
          <w:color w:val="auto"/>
        </w:rPr>
      </w:pPr>
      <w:r>
        <w:rPr>
          <w:rFonts w:ascii="Times New Roman" w:cs="Times New Roman" w:eastAsia="Times New Roman" w:hAnsi="Times New Roman"/>
          <w:sz w:val="14"/>
          <w:szCs w:val="14"/>
          <w:color w:val="auto"/>
        </w:rPr>
        <w:t>Our principal executive offices are located at One Williams Center, Tulsa, Oklahoma 74172-0172, and our telephone number is (918) 573-2000. Our website is located at http://www.williams.com.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or the accompanying base prospectus and does not constitute a part of this prospectus supplement or the accompanying base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8"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2914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2914650"/>
                    </a:xfrm>
                    <a:prstGeom prst="rect">
                      <a:avLst/>
                    </a:prstGeom>
                    <a:noFill/>
                  </pic:spPr>
                </pic:pic>
              </a:graphicData>
            </a:graphic>
          </wp:anchor>
        </w:drawing>
        <w:t>THE OFFERING</w:t>
      </w:r>
    </w:p>
    <w:p>
      <w:pPr>
        <w:sectPr>
          <w:pgSz w:w="11900" w:h="16838" w:orient="portrait"/>
          <w:cols w:equalWidth="0" w:num="1">
            <w:col w:w="9019"/>
          </w:cols>
          <w:pgMar w:left="1440" w:top="388" w:right="1440" w:bottom="1440" w:gutter="0" w:footer="0" w:header="0"/>
        </w:sect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which may be offered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759"/>
        <w:spacing w:after="0" w:line="286" w:lineRule="auto"/>
        <w:rPr>
          <w:sz w:val="20"/>
          <w:szCs w:val="20"/>
          <w:color w:val="auto"/>
        </w:rPr>
      </w:pPr>
      <w:r>
        <w:rPr>
          <w:rFonts w:ascii="Times New Roman" w:cs="Times New Roman" w:eastAsia="Times New Roman" w:hAnsi="Times New Roman"/>
          <w:sz w:val="14"/>
          <w:szCs w:val="14"/>
          <w:color w:val="auto"/>
        </w:rPr>
        <w:t>26,874,496 shares of our common stock, which may be offered from time to time by Holders.</w:t>
      </w:r>
    </w:p>
    <w:p>
      <w:pPr>
        <w:spacing w:after="0" w:line="146" w:lineRule="exact"/>
        <w:rPr>
          <w:sz w:val="20"/>
          <w:szCs w:val="20"/>
          <w:color w:val="auto"/>
        </w:rPr>
      </w:pPr>
    </w:p>
    <w:p>
      <w:pPr>
        <w:sectPr>
          <w:pgSz w:w="11900" w:h="16838" w:orient="portrait"/>
          <w:cols w:equalWidth="0" w:num="2">
            <w:col w:w="2780" w:space="720"/>
            <w:col w:w="5519"/>
          </w:cols>
          <w:pgMar w:left="1440" w:top="388"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Terms of the potential offering</w:t>
      </w:r>
    </w:p>
    <w:p>
      <w:pPr>
        <w:spacing w:after="0" w:line="20" w:lineRule="exact"/>
        <w:rPr>
          <w:sz w:val="20"/>
          <w:szCs w:val="20"/>
          <w:color w:val="auto"/>
        </w:rPr>
      </w:pPr>
      <w:r>
        <w:rPr>
          <w:sz w:val="20"/>
          <w:szCs w:val="20"/>
          <w:color w:val="auto"/>
        </w:rPr>
        <w:br w:type="column"/>
      </w:r>
    </w:p>
    <w:p>
      <w:pPr>
        <w:ind w:right="399"/>
        <w:spacing w:after="0" w:line="286" w:lineRule="auto"/>
        <w:rPr>
          <w:sz w:val="20"/>
          <w:szCs w:val="20"/>
          <w:color w:val="auto"/>
        </w:rPr>
      </w:pPr>
      <w:r>
        <w:rPr>
          <w:rFonts w:ascii="Times New Roman" w:cs="Times New Roman" w:eastAsia="Times New Roman" w:hAnsi="Times New Roman"/>
          <w:sz w:val="14"/>
          <w:szCs w:val="14"/>
          <w:color w:val="auto"/>
        </w:rPr>
        <w:t>Subject to the lock-up restrictions described below, each Holder will determine when, how and if it will dispose of the common stock registered for resale under this prospectus.</w:t>
      </w:r>
    </w:p>
    <w:p>
      <w:pPr>
        <w:spacing w:after="0" w:line="146" w:lineRule="exact"/>
        <w:rPr>
          <w:sz w:val="20"/>
          <w:szCs w:val="20"/>
          <w:color w:val="auto"/>
        </w:rPr>
      </w:pPr>
    </w:p>
    <w:p>
      <w:pPr>
        <w:sectPr>
          <w:pgSz w:w="11900" w:h="16838" w:orient="portrait"/>
          <w:cols w:equalWidth="0" w:num="2">
            <w:col w:w="2780" w:space="720"/>
            <w:col w:w="5519"/>
          </w:cols>
          <w:pgMar w:left="1440" w:top="388"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Lock-up restrictions</w:t>
      </w:r>
    </w:p>
    <w:p>
      <w:pPr>
        <w:spacing w:after="0" w:line="20" w:lineRule="exact"/>
        <w:rPr>
          <w:sz w:val="20"/>
          <w:szCs w:val="20"/>
          <w:color w:val="auto"/>
        </w:rPr>
      </w:pPr>
      <w:r>
        <w:rPr>
          <w:sz w:val="20"/>
          <w:szCs w:val="20"/>
          <w:color w:val="auto"/>
        </w:rPr>
        <w:br w:type="column"/>
      </w:r>
    </w:p>
    <w:p>
      <w:pPr>
        <w:ind w:right="399"/>
        <w:spacing w:after="0" w:line="257" w:lineRule="auto"/>
        <w:rPr>
          <w:sz w:val="20"/>
          <w:szCs w:val="20"/>
          <w:color w:val="auto"/>
        </w:rPr>
      </w:pPr>
      <w:r>
        <w:rPr>
          <w:rFonts w:ascii="Times New Roman" w:cs="Times New Roman" w:eastAsia="Times New Roman" w:hAnsi="Times New Roman"/>
          <w:sz w:val="14"/>
          <w:szCs w:val="14"/>
          <w:color w:val="auto"/>
        </w:rPr>
        <w:t>Certain Holders have agreed to lock-up restrictions with the Company, and as of September 3, 2026, 1,854,793 shares were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such Holders may, in the aggregate, sell no more than 537,496 shares of common stock each day during the period from September 3, 2026 to March 3, 2027.</w:t>
      </w:r>
    </w:p>
    <w:p>
      <w:pPr>
        <w:spacing w:after="0" w:line="200" w:lineRule="exact"/>
        <w:rPr>
          <w:sz w:val="20"/>
          <w:szCs w:val="20"/>
          <w:color w:val="auto"/>
        </w:rPr>
      </w:pPr>
    </w:p>
    <w:p>
      <w:pPr>
        <w:sectPr>
          <w:pgSz w:w="11900" w:h="16838" w:orient="portrait"/>
          <w:cols w:equalWidth="0" w:num="2">
            <w:col w:w="2780" w:space="720"/>
            <w:col w:w="5519"/>
          </w:cols>
          <w:pgMar w:left="1440" w:top="388" w:right="1440" w:bottom="1440" w:gutter="0" w:footer="0" w:header="0"/>
          <w:type w:val="continuous"/>
        </w:sectPr>
      </w:pP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519"/>
        <w:spacing w:after="0" w:line="269" w:lineRule="auto"/>
        <w:rPr>
          <w:sz w:val="20"/>
          <w:szCs w:val="20"/>
          <w:color w:val="auto"/>
        </w:rPr>
      </w:pPr>
      <w:r>
        <w:rPr>
          <w:rFonts w:ascii="Times New Roman" w:cs="Times New Roman" w:eastAsia="Times New Roman" w:hAnsi="Times New Roman"/>
          <w:sz w:val="14"/>
          <w:szCs w:val="14"/>
          <w:color w:val="auto"/>
        </w:rPr>
        <w:t>An investment in our common stock involves various risks, and prospective investors should carefully consider the matters discussed under the caption entitled “Risk Factors” beginning on page S-3 of this prospectus.</w:t>
      </w:r>
    </w:p>
    <w:p>
      <w:pPr>
        <w:spacing w:after="0" w:line="158" w:lineRule="exact"/>
        <w:rPr>
          <w:sz w:val="20"/>
          <w:szCs w:val="20"/>
          <w:color w:val="auto"/>
        </w:rPr>
      </w:pPr>
    </w:p>
    <w:p>
      <w:pPr>
        <w:sectPr>
          <w:pgSz w:w="11900" w:h="16838" w:orient="portrait"/>
          <w:cols w:equalWidth="0" w:num="2">
            <w:col w:w="2780" w:space="720"/>
            <w:col w:w="5519"/>
          </w:cols>
          <w:pgMar w:left="1440" w:top="388"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New York Stock Exchange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“WMB.”</w:t>
      </w:r>
    </w:p>
    <w:p>
      <w:pPr>
        <w:spacing w:after="0" w:line="188" w:lineRule="exact"/>
        <w:rPr>
          <w:sz w:val="20"/>
          <w:szCs w:val="20"/>
          <w:color w:val="auto"/>
        </w:rPr>
      </w:pPr>
    </w:p>
    <w:p>
      <w:pPr>
        <w:sectPr>
          <w:pgSz w:w="11900" w:h="16838" w:orient="portrait"/>
          <w:cols w:equalWidth="0" w:num="2">
            <w:col w:w="2780" w:space="720"/>
            <w:col w:w="5519"/>
          </w:cols>
          <w:pgMar w:left="1440" w:top="388"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For additional information concerning the offering, see “Plan of Distribution” beginning on page S-7.</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388"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80" w:lineRule="exact"/>
        <w:rPr>
          <w:sz w:val="20"/>
          <w:szCs w:val="20"/>
          <w:color w:val="auto"/>
        </w:rPr>
      </w:pPr>
    </w:p>
    <w:p>
      <w:pPr>
        <w:ind w:left="180" w:right="299" w:firstLine="346"/>
        <w:spacing w:after="0" w:line="257" w:lineRule="auto"/>
        <w:rPr>
          <w:sz w:val="20"/>
          <w:szCs w:val="20"/>
          <w:color w:val="auto"/>
        </w:rPr>
      </w:pPr>
      <w:r>
        <w:rPr>
          <w:rFonts w:ascii="Times New Roman" w:cs="Times New Roman" w:eastAsia="Times New Roman" w:hAnsi="Times New Roman"/>
          <w:sz w:val="14"/>
          <w:szCs w:val="14"/>
          <w:color w:val="auto"/>
        </w:rPr>
        <w:t>Investing in our common stock involves significant risks and uncertainties. Prior to making a decision about investing in our common stock, you should carefully consider the specific factors discussed under the heading “Risk Factors” in the accompanying base prospectus together with all of the other information contained in the prospectus supplement or appearing or incorporated by reference in this prospectus. You should also consider the risks, uncertainties and assumptions discussed in our most recent Annual Report on Form 10-K, and any updates to those risks, uncertainties and assumptions discussed in our Quarterly Reports on Form 10-Q, and our Current Reports on Form 8-K incorporated herein by reference, as they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239"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80" w:lineRule="exact"/>
        <w:rPr>
          <w:sz w:val="20"/>
          <w:szCs w:val="20"/>
          <w:color w:val="auto"/>
        </w:rPr>
      </w:pPr>
    </w:p>
    <w:p>
      <w:pPr>
        <w:ind w:left="180" w:right="259" w:firstLine="346"/>
        <w:spacing w:after="0" w:line="286" w:lineRule="auto"/>
        <w:rPr>
          <w:sz w:val="20"/>
          <w:szCs w:val="20"/>
          <w:color w:val="auto"/>
        </w:rPr>
      </w:pPr>
      <w:r>
        <w:rPr>
          <w:rFonts w:ascii="Times New Roman" w:cs="Times New Roman" w:eastAsia="Times New Roman" w:hAnsi="Times New Roman"/>
          <w:sz w:val="14"/>
          <w:szCs w:val="14"/>
          <w:color w:val="auto"/>
        </w:rPr>
        <w:t>All of the shares of common stock which may be offered and sold pursuant to this prospectus will be sold by the Holders. We will not receive any proceeds from any such sales of common stock by the 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SELLING HOLDERS</w:t>
      </w:r>
    </w:p>
    <w:p>
      <w:pPr>
        <w:spacing w:after="0" w:line="180" w:lineRule="exact"/>
        <w:rPr>
          <w:sz w:val="20"/>
          <w:szCs w:val="20"/>
          <w:color w:val="auto"/>
        </w:rPr>
      </w:pPr>
    </w:p>
    <w:p>
      <w:pPr>
        <w:ind w:left="180" w:right="279" w:firstLine="346"/>
        <w:spacing w:after="0" w:line="263" w:lineRule="auto"/>
        <w:rPr>
          <w:sz w:val="20"/>
          <w:szCs w:val="20"/>
          <w:color w:val="auto"/>
        </w:rPr>
      </w:pPr>
      <w:r>
        <w:rPr>
          <w:rFonts w:ascii="Times New Roman" w:cs="Times New Roman" w:eastAsia="Times New Roman" w:hAnsi="Times New Roman"/>
          <w:sz w:val="14"/>
          <w:szCs w:val="14"/>
          <w:color w:val="auto"/>
        </w:rPr>
        <w:t>This prospectus relates to the possible offer and resale by the Holders of up to 26,874,496 issued and outstanding shares of common stock (the “Shares”), which were issued by us to M6 Midstream Holdings LLC (“M6 Holdings”) and M6 Midstream Blocker LLC (“M6 Blocker” and, together with M6 Holdings, the “Sellers”) as partial consideration for our acquisition (the “Acquisition”) of the membership interests of M6 Midstream LLC pursuant to the terms of a Membership Interest Purchase Agreement (the “Purchase Agreement”) that we entered into on July 17, 2026 with the Sellers.</w:t>
      </w:r>
    </w:p>
    <w:p>
      <w:pPr>
        <w:spacing w:after="0" w:line="142" w:lineRule="exact"/>
        <w:rPr>
          <w:sz w:val="20"/>
          <w:szCs w:val="20"/>
          <w:color w:val="auto"/>
        </w:rPr>
      </w:pPr>
    </w:p>
    <w:p>
      <w:pPr>
        <w:ind w:left="180" w:right="219" w:firstLine="346"/>
        <w:spacing w:after="0" w:line="258" w:lineRule="auto"/>
        <w:rPr>
          <w:sz w:val="20"/>
          <w:szCs w:val="20"/>
          <w:color w:val="auto"/>
        </w:rPr>
      </w:pPr>
      <w:r>
        <w:rPr>
          <w:rFonts w:ascii="Times New Roman" w:cs="Times New Roman" w:eastAsia="Times New Roman" w:hAnsi="Times New Roman"/>
          <w:sz w:val="14"/>
          <w:szCs w:val="14"/>
          <w:color w:val="auto"/>
        </w:rPr>
        <w:t>Following the consummation of the Acquisition, the Sellers distributed the Shares to their equityholders, and pursuant to the terms of the Purchase Agreement, we and such distributees entered into a Registration Rights Agreement, dated as of September 3, 2026 (the “Registration Rights Agreement”). Under the Registration Rights Agreement, among other things, subject to certain requirements and exceptions, we are required to file with the SEC a prospectus supplement to our registration statement on Form S-3 (File No. 333-299764) covering the resale of the Shares. This prospectus supplement is being filed to satisfy such obligation under the Registration Rights Agreement. The Registration Rights Agreement contains customary indemnification and contribution obligations of us for the benefit of the Holders and vice versa, in each case, subject to certain qualifications and exceptions.</w:t>
      </w:r>
    </w:p>
    <w:p>
      <w:pPr>
        <w:spacing w:after="0" w:line="144" w:lineRule="exact"/>
        <w:rPr>
          <w:sz w:val="20"/>
          <w:szCs w:val="20"/>
          <w:color w:val="auto"/>
        </w:rPr>
      </w:pPr>
    </w:p>
    <w:p>
      <w:pPr>
        <w:ind w:left="180" w:right="239" w:firstLine="346"/>
        <w:spacing w:after="0" w:line="261" w:lineRule="auto"/>
        <w:rPr>
          <w:sz w:val="20"/>
          <w:szCs w:val="20"/>
          <w:color w:val="auto"/>
        </w:rPr>
      </w:pPr>
      <w:r>
        <w:rPr>
          <w:rFonts w:ascii="Times New Roman" w:cs="Times New Roman" w:eastAsia="Times New Roman" w:hAnsi="Times New Roman"/>
          <w:sz w:val="14"/>
          <w:szCs w:val="14"/>
          <w:color w:val="auto"/>
        </w:rPr>
        <w:t>In addition, pursuant to the Registration Rights Agreement, certain Holders have agreed to restrict the number of shares of common stock they may sell (the “Lock-Up Restrictions”). Such Holders received 25,557,199 shares of common stock, in the aggregate, from the Company in connection with the Acquisition. Pursuant to the Lock-Up Restrictions, subject to certain exceptions, such Holders may, in the aggregate, sell no more than 537,496 shares of common stock each day during the period from September 3, 2026 to March 3, 2027. As of September 3, 2026, 1,854,793 shares are available for sale hereunder, with the remainder of the shares of common stock to become available for sale on a rolling basis until March 3, 2027.</w:t>
      </w:r>
    </w:p>
    <w:p>
      <w:pPr>
        <w:spacing w:after="0" w:line="141" w:lineRule="exact"/>
        <w:rPr>
          <w:sz w:val="20"/>
          <w:szCs w:val="20"/>
          <w:color w:val="auto"/>
        </w:rPr>
      </w:pPr>
    </w:p>
    <w:p>
      <w:pPr>
        <w:ind w:left="180" w:right="259" w:firstLine="346"/>
        <w:spacing w:after="0" w:line="269" w:lineRule="auto"/>
        <w:rPr>
          <w:sz w:val="20"/>
          <w:szCs w:val="20"/>
          <w:color w:val="auto"/>
        </w:rPr>
      </w:pPr>
      <w:r>
        <w:rPr>
          <w:rFonts w:ascii="Times New Roman" w:cs="Times New Roman" w:eastAsia="Times New Roman" w:hAnsi="Times New Roman"/>
          <w:sz w:val="14"/>
          <w:szCs w:val="14"/>
          <w:color w:val="auto"/>
        </w:rPr>
        <w:t>When we refer to the “Holders” in this prospectus, we mean the persons or entities listed in the table below, and the pledgees, donees, transferees, assignees, successors and others who later come to hold any of the Holders’ interest in the securities of the Company listed in the table below after the date of this prospectus such that registration rights shall apply to those securities.</w:t>
      </w:r>
    </w:p>
    <w:p>
      <w:pPr>
        <w:spacing w:after="0" w:line="136" w:lineRule="exact"/>
        <w:rPr>
          <w:sz w:val="20"/>
          <w:szCs w:val="20"/>
          <w:color w:val="auto"/>
        </w:rPr>
      </w:pPr>
    </w:p>
    <w:p>
      <w:pPr>
        <w:ind w:left="180" w:right="219" w:firstLine="346"/>
        <w:spacing w:after="0" w:line="261" w:lineRule="auto"/>
        <w:rPr>
          <w:sz w:val="20"/>
          <w:szCs w:val="20"/>
          <w:color w:val="auto"/>
        </w:rPr>
      </w:pPr>
      <w:r>
        <w:rPr>
          <w:rFonts w:ascii="Times New Roman" w:cs="Times New Roman" w:eastAsia="Times New Roman" w:hAnsi="Times New Roman"/>
          <w:sz w:val="14"/>
          <w:szCs w:val="14"/>
          <w:color w:val="auto"/>
        </w:rPr>
        <w:t>Unless otherwise indicated below, the following table is prepared based on information provided to us by the Holders as of September 3, 2026, the date on which we closed the Acquisition. The following table sets forth, as of September 3, 2026, the names of the Holders, the aggregate number of shares of common stock that the Holders may offer pursuant to this prospectus, and the beneficial ownership of the Holders both before and after the offering. Unless otherwise indicated below, we have based percentage ownership prior to this offering on 1,250,202,516 shares of common stock outstanding as of October 30, 2026.</w:t>
      </w:r>
    </w:p>
    <w:p>
      <w:pPr>
        <w:spacing w:after="0" w:line="141" w:lineRule="exact"/>
        <w:rPr>
          <w:sz w:val="20"/>
          <w:szCs w:val="20"/>
          <w:color w:val="auto"/>
        </w:rPr>
      </w:pPr>
    </w:p>
    <w:p>
      <w:pPr>
        <w:ind w:left="180" w:right="259" w:firstLine="346"/>
        <w:spacing w:after="0" w:line="261" w:lineRule="auto"/>
        <w:rPr>
          <w:sz w:val="20"/>
          <w:szCs w:val="20"/>
          <w:color w:val="auto"/>
        </w:rPr>
      </w:pPr>
      <w:r>
        <w:rPr>
          <w:rFonts w:ascii="Times New Roman" w:cs="Times New Roman" w:eastAsia="Times New Roman" w:hAnsi="Times New Roman"/>
          <w:sz w:val="14"/>
          <w:szCs w:val="14"/>
          <w:color w:val="auto"/>
        </w:rPr>
        <w:t>We cannot advise you as to whether the Holders will in fact sell any or all of the securities set forth in the table below. In addition, subject to certain limitations, the Holders may sell, transfer or otherwise dispose of, at any time and from time to time, such securities in transactions exempt from the registration requirements of the Securities Act after the date of this prospectus. For purposes of the below table, we have assumed that the Holders will have sold all of the securities covered by this prospectus upon the completion of the offering and will make no other purchases or sales of common stock.</w:t>
      </w:r>
    </w:p>
    <w:p>
      <w:pPr>
        <w:spacing w:after="0" w:line="158" w:lineRule="exact"/>
        <w:rPr>
          <w:sz w:val="20"/>
          <w:szCs w:val="20"/>
          <w:color w:val="auto"/>
        </w:rPr>
      </w:pPr>
    </w:p>
    <w:tbl>
      <w:tblPr>
        <w:tblLayout w:type="fixed"/>
        <w:tblInd w:w="54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40" w:type="dxa"/>
            <w:vAlign w:val="bottom"/>
            <w:gridSpan w:val="2"/>
          </w:tcPr>
          <w:p>
            <w:pPr>
              <w:jc w:val="center"/>
              <w:ind w:right="400"/>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6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7"/>
                <w:szCs w:val="7"/>
                <w:color w:val="auto"/>
              </w:rPr>
            </w:pPr>
          </w:p>
        </w:tc>
        <w:tc>
          <w:tcPr>
            <w:tcW w:w="64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7"/>
                <w:szCs w:val="7"/>
                <w:color w:val="auto"/>
              </w:rPr>
            </w:pPr>
          </w:p>
        </w:tc>
        <w:tc>
          <w:tcPr>
            <w:tcW w:w="42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6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Registered</w:t>
            </w:r>
          </w:p>
        </w:tc>
        <w:tc>
          <w:tcPr>
            <w:tcW w:w="36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360" w:type="dxa"/>
            <w:vAlign w:val="bottom"/>
          </w:tcPr>
          <w:p>
            <w:pPr>
              <w:spacing w:after="0"/>
              <w:rPr>
                <w:sz w:val="10"/>
                <w:szCs w:val="10"/>
                <w:color w:val="auto"/>
              </w:rPr>
            </w:pPr>
          </w:p>
        </w:tc>
        <w:tc>
          <w:tcPr>
            <w:tcW w:w="4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74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10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Owned Prior</w:t>
            </w:r>
          </w:p>
        </w:tc>
        <w:tc>
          <w:tcPr>
            <w:tcW w:w="6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for Sale</w:t>
            </w:r>
          </w:p>
        </w:tc>
        <w:tc>
          <w:tcPr>
            <w:tcW w:w="1000" w:type="dxa"/>
            <w:vAlign w:val="bottom"/>
            <w:gridSpan w:val="2"/>
          </w:tcPr>
          <w:p>
            <w:pPr>
              <w:jc w:val="center"/>
              <w:ind w:left="276"/>
              <w:spacing w:after="0" w:line="117"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360" w:type="dxa"/>
            <w:vAlign w:val="bottom"/>
          </w:tcPr>
          <w:p>
            <w:pPr>
              <w:spacing w:after="0"/>
              <w:rPr>
                <w:sz w:val="10"/>
                <w:szCs w:val="10"/>
                <w:color w:val="auto"/>
              </w:rPr>
            </w:pPr>
          </w:p>
        </w:tc>
        <w:tc>
          <w:tcPr>
            <w:tcW w:w="4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0" w:type="dxa"/>
            <w:vAlign w:val="bottom"/>
          </w:tcPr>
          <w:p>
            <w:pPr>
              <w:spacing w:after="0"/>
              <w:rPr>
                <w:sz w:val="1"/>
                <w:szCs w:val="1"/>
                <w:color w:val="auto"/>
              </w:rPr>
            </w:pPr>
          </w:p>
        </w:tc>
      </w:tr>
      <w:tr>
        <w:trPr>
          <w:trHeight w:val="145"/>
        </w:trPr>
        <w:tc>
          <w:tcPr>
            <w:tcW w:w="2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rPr>
              <w:t>to Offering</w:t>
            </w: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Hereby</w:t>
            </w:r>
          </w:p>
        </w:tc>
        <w:tc>
          <w:tcPr>
            <w:tcW w:w="3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820" w:type="dxa"/>
            <w:vAlign w:val="bottom"/>
            <w:gridSpan w:val="3"/>
          </w:tcPr>
          <w:p>
            <w:pPr>
              <w:jc w:val="center"/>
              <w:ind w:left="236"/>
              <w:spacing w:after="0" w:line="125"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0" w:type="dxa"/>
            <w:vAlign w:val="bottom"/>
          </w:tcPr>
          <w:p>
            <w:pPr>
              <w:spacing w:after="0"/>
              <w:rPr>
                <w:sz w:val="1"/>
                <w:szCs w:val="1"/>
                <w:color w:val="auto"/>
              </w:rPr>
            </w:pPr>
          </w:p>
        </w:tc>
      </w:tr>
      <w:tr>
        <w:trPr>
          <w:trHeight w:val="151"/>
        </w:trPr>
        <w:tc>
          <w:tcPr>
            <w:tcW w:w="3020" w:type="dxa"/>
            <w:vAlign w:val="bottom"/>
            <w:tcBorders>
              <w:top w:val="single" w:sz="8" w:color="CCEEFF"/>
            </w:tcBorders>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Clearfork Midstream Holdings, LLC</w:t>
            </w:r>
            <w:r>
              <w:rPr>
                <w:rFonts w:ascii="Times New Roman" w:cs="Times New Roman" w:eastAsia="Times New Roman" w:hAnsi="Times New Roman"/>
                <w:sz w:val="17"/>
                <w:szCs w:val="17"/>
                <w:color w:val="auto"/>
                <w:vertAlign w:val="superscript"/>
              </w:rPr>
              <w:t>(1)</w:t>
            </w:r>
          </w:p>
        </w:tc>
        <w:tc>
          <w:tcPr>
            <w:tcW w:w="14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5,643,644</w:t>
            </w:r>
          </w:p>
        </w:tc>
        <w:tc>
          <w:tcPr>
            <w:tcW w:w="3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5,643,644</w:t>
            </w:r>
          </w:p>
        </w:tc>
        <w:tc>
          <w:tcPr>
            <w:tcW w:w="3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420"/>
              <w:spacing w:after="0" w:line="151" w:lineRule="exact"/>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00"/>
              <w:spacing w:after="0" w:line="151"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2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EFM M6 Holdings, L.P.</w:t>
            </w:r>
            <w:r>
              <w:rPr>
                <w:rFonts w:ascii="Times New Roman" w:cs="Times New Roman" w:eastAsia="Times New Roman" w:hAnsi="Times New Roman"/>
                <w:sz w:val="19"/>
                <w:szCs w:val="19"/>
                <w:color w:val="auto"/>
                <w:vertAlign w:val="superscript"/>
              </w:rPr>
              <w:t>(2)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13,636,807</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13,636,807</w:t>
            </w:r>
          </w:p>
        </w:tc>
        <w:tc>
          <w:tcPr>
            <w:tcW w:w="360" w:type="dxa"/>
            <w:vAlign w:val="bottom"/>
          </w:tcPr>
          <w:p>
            <w:pPr>
              <w:spacing w:after="0"/>
              <w:rPr>
                <w:sz w:val="14"/>
                <w:szCs w:val="14"/>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30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Other Holders (88 persons)</w:t>
            </w:r>
            <w:r>
              <w:rPr>
                <w:rFonts w:ascii="Times New Roman" w:cs="Times New Roman" w:eastAsia="Times New Roman" w:hAnsi="Times New Roman"/>
                <w:sz w:val="19"/>
                <w:szCs w:val="19"/>
                <w:color w:val="auto"/>
                <w:vertAlign w:val="superscript"/>
              </w:rPr>
              <w:t>(3)</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7,599,953</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7,594,045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4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S-5</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9" w:right="1440" w:bottom="1440" w:gutter="0" w:footer="0" w:header="0"/>
        </w:sectPr>
      </w:pPr>
    </w:p>
    <w:bookmarkStart w:id="11" w:name="page12"/>
    <w:bookmarkEnd w:id="11"/>
    <w:p>
      <w:pPr>
        <w:ind w:left="520" w:hanging="33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1033780</wp:posOffset>
            </wp:positionH>
            <wp:positionV relativeFrom="page">
              <wp:posOffset>236855</wp:posOffset>
            </wp:positionV>
            <wp:extent cx="5988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805" cy="6985"/>
                    </a:xfrm>
                    <a:prstGeom prst="rect">
                      <a:avLst/>
                    </a:prstGeom>
                    <a:noFill/>
                  </pic:spPr>
                </pic:pic>
              </a:graphicData>
            </a:graphic>
          </wp:anchor>
        </w:drawing>
        <w:t>Less than 1%.</w:t>
      </w:r>
    </w:p>
    <w:p>
      <w:pPr>
        <w:spacing w:after="0" w:line="23" w:lineRule="exact"/>
        <w:rPr>
          <w:sz w:val="20"/>
          <w:szCs w:val="20"/>
          <w:color w:val="auto"/>
        </w:rPr>
      </w:pPr>
    </w:p>
    <w:p>
      <w:pPr>
        <w:ind w:left="520" w:right="319" w:hanging="337"/>
        <w:spacing w:after="0" w:line="252"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Clearfork Midstream Holdings, LLC is a Delaware limited liability company and is managed by a board of managers controlled by EnCap Flatrock Midstream Fund IV, L.P. EnCap Flatrock Midstream Fund IV, L.P. is a Texas limited partnership and is controlled by its general partner, EnCap Flatrock Midstream Fund IV GP, L.P. EnCap Flatrock Midstream Fund IV GP, L.P. is a Texas limited partnership and is controlled by its general partner, EnCap Flatrock Midstream Fund IV General Partner, LLC. EnCap Flatrock Midstream Fund IV General Partner, LLC is a Texas limited liability company and is managed by a board of managers comprised of Gregory C. King, William R. Lemmons, Jr., William D. Waldrip, D. Martin Phillips, Robert L. Zorich and Douglas E. Swanson, Jr.</w:t>
      </w:r>
    </w:p>
    <w:p>
      <w:pPr>
        <w:spacing w:after="0" w:line="2" w:lineRule="exact"/>
        <w:rPr>
          <w:rFonts w:ascii="Times New Roman" w:cs="Times New Roman" w:eastAsia="Times New Roman" w:hAnsi="Times New Roman"/>
          <w:sz w:val="14"/>
          <w:szCs w:val="14"/>
          <w:color w:val="auto"/>
        </w:rPr>
      </w:pPr>
    </w:p>
    <w:p>
      <w:pPr>
        <w:ind w:left="520" w:right="259" w:hanging="337"/>
        <w:spacing w:after="0" w:line="252"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EFM M6 Holdings, L.P. is a Delaware limited partnership and is controlled by its general partner, EnCap Flatrock Midstream Fund IV GP, L.P. EnCap Flatrock Midstream Fund IV GP, L.P. is a Texas limited partnership and is controlled by its general partner, EnCap Flatrock Midstream Fund IV General Partner, LLC. EnCap Flatrock Midstream Fund IV General Partner, LLC is a Texas limited liability company and is managed by a board of managers comprised of Gregory C. King, William R. Lemmons, Jr., William D. Waldrip, D. Martin Phillips, Robert L. Zorich and Douglas E. Swanson, Jr.</w:t>
      </w:r>
    </w:p>
    <w:p>
      <w:pPr>
        <w:spacing w:after="0" w:line="2" w:lineRule="exact"/>
        <w:rPr>
          <w:rFonts w:ascii="Times New Roman" w:cs="Times New Roman" w:eastAsia="Times New Roman" w:hAnsi="Times New Roman"/>
          <w:sz w:val="14"/>
          <w:szCs w:val="14"/>
          <w:color w:val="auto"/>
        </w:rPr>
      </w:pPr>
    </w:p>
    <w:p>
      <w:pPr>
        <w:ind w:left="520" w:hanging="33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own, collectively, approximately 0.61% of the outstanding shares of common stock prior to the offering.</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39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PLAN OF DISTRIBUTION</w:t>
      </w:r>
    </w:p>
    <w:p>
      <w:pPr>
        <w:spacing w:after="0" w:line="180" w:lineRule="exact"/>
        <w:rPr>
          <w:sz w:val="20"/>
          <w:szCs w:val="20"/>
          <w:color w:val="auto"/>
        </w:rPr>
      </w:pPr>
    </w:p>
    <w:p>
      <w:pPr>
        <w:ind w:left="180" w:right="279" w:firstLine="346"/>
        <w:spacing w:after="0" w:line="286" w:lineRule="auto"/>
        <w:rPr>
          <w:sz w:val="20"/>
          <w:szCs w:val="20"/>
          <w:color w:val="auto"/>
        </w:rPr>
      </w:pPr>
      <w:r>
        <w:rPr>
          <w:rFonts w:ascii="Times New Roman" w:cs="Times New Roman" w:eastAsia="Times New Roman" w:hAnsi="Times New Roman"/>
          <w:sz w:val="14"/>
          <w:szCs w:val="14"/>
          <w:color w:val="auto"/>
        </w:rPr>
        <w:t>We are registering the potential resale by the Holders or their permitted transferees of up to 26,874,496 issued and outstanding shares of common stock from time to time in one or more offerings.</w:t>
      </w:r>
    </w:p>
    <w:p>
      <w:pPr>
        <w:spacing w:after="0" w:line="125" w:lineRule="exact"/>
        <w:rPr>
          <w:sz w:val="20"/>
          <w:szCs w:val="20"/>
          <w:color w:val="auto"/>
        </w:rPr>
      </w:pPr>
    </w:p>
    <w:p>
      <w:pPr>
        <w:ind w:left="180" w:right="359" w:firstLine="346"/>
        <w:spacing w:after="0" w:line="286" w:lineRule="auto"/>
        <w:rPr>
          <w:sz w:val="20"/>
          <w:szCs w:val="20"/>
          <w:color w:val="auto"/>
        </w:rPr>
      </w:pPr>
      <w:r>
        <w:rPr>
          <w:rFonts w:ascii="Times New Roman" w:cs="Times New Roman" w:eastAsia="Times New Roman" w:hAnsi="Times New Roman"/>
          <w:sz w:val="14"/>
          <w:szCs w:val="14"/>
          <w:color w:val="auto"/>
        </w:rPr>
        <w:t>We will not receive any of the proceeds from any such sales by the Holders. The aggregate proceeds to the Holders will be the purchase price of the securities less any discounts and commissions borne by the Holders.</w:t>
      </w:r>
    </w:p>
    <w:p>
      <w:pPr>
        <w:spacing w:after="0" w:line="125" w:lineRule="exact"/>
        <w:rPr>
          <w:sz w:val="20"/>
          <w:szCs w:val="20"/>
          <w:color w:val="auto"/>
        </w:rPr>
      </w:pPr>
    </w:p>
    <w:p>
      <w:pPr>
        <w:ind w:left="180" w:right="239" w:firstLine="346"/>
        <w:spacing w:after="0" w:line="261" w:lineRule="auto"/>
        <w:rPr>
          <w:sz w:val="20"/>
          <w:szCs w:val="20"/>
          <w:color w:val="auto"/>
        </w:rPr>
      </w:pPr>
      <w:r>
        <w:rPr>
          <w:rFonts w:ascii="Times New Roman" w:cs="Times New Roman" w:eastAsia="Times New Roman" w:hAnsi="Times New Roman"/>
          <w:sz w:val="14"/>
          <w:szCs w:val="14"/>
          <w:color w:val="auto"/>
        </w:rPr>
        <w:t>Certain Holders have agreed to lock-up restrictions with the Company, and as of September 3, 2026, 1,854,793 shares were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such Holders may, in the aggregate, sell no more than 537,496 shares of common stock each day during the period from September 3, 2026 to March 3, 2027.</w:t>
      </w:r>
    </w:p>
    <w:p>
      <w:pPr>
        <w:spacing w:after="0" w:line="141" w:lineRule="exact"/>
        <w:rPr>
          <w:sz w:val="20"/>
          <w:szCs w:val="20"/>
          <w:color w:val="auto"/>
        </w:rPr>
      </w:pPr>
    </w:p>
    <w:p>
      <w:pPr>
        <w:ind w:left="180" w:right="279" w:firstLine="346"/>
        <w:spacing w:after="0" w:line="259" w:lineRule="auto"/>
        <w:rPr>
          <w:sz w:val="20"/>
          <w:szCs w:val="20"/>
          <w:color w:val="auto"/>
        </w:rPr>
      </w:pPr>
      <w:r>
        <w:rPr>
          <w:rFonts w:ascii="Times New Roman" w:cs="Times New Roman" w:eastAsia="Times New Roman" w:hAnsi="Times New Roman"/>
          <w:sz w:val="14"/>
          <w:szCs w:val="14"/>
          <w:color w:val="auto"/>
        </w:rPr>
        <w:t>The common stock beneficially owned by the Holders covered by this prospectus may be offered and sold from time to time by the Holders. The term “Holders” includes donees, pledgees, transferees or other successors in interest selling securities received after the date of this prospectus from the Holders as a gift, pledge, partnership distribution or other transfer. The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Holders may sell their common stock by one or more of, or a combination of, the following methods:</w:t>
      </w:r>
    </w:p>
    <w:p>
      <w:pPr>
        <w:spacing w:after="0" w:line="70" w:lineRule="exact"/>
        <w:rPr>
          <w:sz w:val="20"/>
          <w:szCs w:val="20"/>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103" w:lineRule="exact"/>
        <w:rPr>
          <w:rFonts w:ascii="Times New Roman" w:cs="Times New Roman" w:eastAsia="Times New Roman" w:hAnsi="Times New Roman"/>
          <w:sz w:val="14"/>
          <w:szCs w:val="14"/>
          <w:color w:val="auto"/>
        </w:rPr>
      </w:pPr>
    </w:p>
    <w:p>
      <w:pPr>
        <w:ind w:left="940" w:right="199" w:hanging="333"/>
        <w:spacing w:after="0" w:line="286"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the New York Stock Exchange;</w:t>
      </w:r>
    </w:p>
    <w:p>
      <w:pPr>
        <w:spacing w:after="0" w:line="103" w:lineRule="exact"/>
        <w:rPr>
          <w:rFonts w:ascii="Times New Roman" w:cs="Times New Roman" w:eastAsia="Times New Roman" w:hAnsi="Times New Roman"/>
          <w:sz w:val="14"/>
          <w:szCs w:val="14"/>
          <w:color w:val="auto"/>
        </w:rPr>
      </w:pPr>
    </w:p>
    <w:p>
      <w:pPr>
        <w:ind w:left="940" w:right="359" w:hanging="333"/>
        <w:spacing w:after="0" w:line="269"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the 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2"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or broker-dealers;</w:t>
      </w:r>
    </w:p>
    <w:p>
      <w:pPr>
        <w:spacing w:after="0" w:line="103" w:lineRule="exact"/>
        <w:rPr>
          <w:rFonts w:ascii="Times New Roman" w:cs="Times New Roman" w:eastAsia="Times New Roman" w:hAnsi="Times New Roman"/>
          <w:sz w:val="14"/>
          <w:szCs w:val="14"/>
          <w:color w:val="auto"/>
        </w:rPr>
      </w:pPr>
    </w:p>
    <w:p>
      <w:pPr>
        <w:ind w:left="940" w:right="279" w:hanging="333"/>
        <w:spacing w:after="0" w:line="269"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2"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options transactions;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 or</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any shares that qualify for sale pursuant to Rule 144 may be sold under Rule 144 rather than pursuant to this prospectus.</w:t>
      </w:r>
    </w:p>
    <w:p>
      <w:pPr>
        <w:spacing w:after="0" w:line="1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9" w:right="1440" w:bottom="1440" w:gutter="0" w:footer="0" w:header="0"/>
        </w:sectPr>
      </w:pPr>
    </w:p>
    <w:bookmarkStart w:id="13" w:name="page14"/>
    <w:bookmarkEnd w:id="13"/>
    <w:p>
      <w:pPr>
        <w:ind w:left="180" w:right="199" w:firstLine="346"/>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the extent required, this prospectus may be amended or supplemented from time to time to describe a specific plan of distribution. In connection with distributions of the shares or otherwise, the Holders may enter into hedging transactions with broker-dealers or other financial institutions. In connection with such transactions, broker-dealers or other financial institutions may engage in short sales of common stock in the course of hedging transactions, and broker-dealers or other financial institutions may engage in short sales of common stock in the course of hedging the positions they assume with the Holders. The Holders may also sell common stock short and redeliver the shares to close out such short positions. The 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47" w:lineRule="exact"/>
        <w:rPr>
          <w:sz w:val="20"/>
          <w:szCs w:val="20"/>
          <w:color w:val="auto"/>
        </w:rPr>
      </w:pPr>
    </w:p>
    <w:p>
      <w:pPr>
        <w:ind w:left="180" w:right="339" w:firstLine="346"/>
        <w:spacing w:after="0" w:line="256" w:lineRule="auto"/>
        <w:rPr>
          <w:sz w:val="20"/>
          <w:szCs w:val="20"/>
          <w:color w:val="auto"/>
        </w:rPr>
      </w:pPr>
      <w:r>
        <w:rPr>
          <w:rFonts w:ascii="Times New Roman" w:cs="Times New Roman" w:eastAsia="Times New Roman" w:hAnsi="Times New Roman"/>
          <w:sz w:val="14"/>
          <w:szCs w:val="14"/>
          <w:color w:val="auto"/>
        </w:rPr>
        <w:t>The 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Holders or borrowed from the Holders or others to settle those sales or to close out any related open borrowings of stock, and may use securities received from the Holders in settlement of those derivatives to close out any related open borrowings of stock. The third party in such sale transactions will be an underwriter and will be identified in the applicable prospectus supplement (or a post-effective amendment). In addition, the 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49" w:lineRule="exact"/>
        <w:rPr>
          <w:sz w:val="20"/>
          <w:szCs w:val="20"/>
          <w:color w:val="auto"/>
        </w:rPr>
      </w:pPr>
    </w:p>
    <w:p>
      <w:pPr>
        <w:ind w:left="180" w:right="379" w:firstLine="346"/>
        <w:spacing w:after="0" w:line="286" w:lineRule="auto"/>
        <w:rPr>
          <w:sz w:val="20"/>
          <w:szCs w:val="20"/>
          <w:color w:val="auto"/>
        </w:rPr>
      </w:pPr>
      <w:r>
        <w:rPr>
          <w:rFonts w:ascii="Times New Roman" w:cs="Times New Roman" w:eastAsia="Times New Roman" w:hAnsi="Times New Roman"/>
          <w:sz w:val="14"/>
          <w:szCs w:val="14"/>
          <w:color w:val="auto"/>
        </w:rPr>
        <w:t>In effecting sales, broker-dealers or agents engaged by the Holders may arrange for other broker-dealers to participate. Broker-dealers or agents may receive commissions, discounts or concessions from the Holders in amounts to be negotiated immediately prior to the sale.</w:t>
      </w:r>
    </w:p>
    <w:p>
      <w:pPr>
        <w:spacing w:after="0" w:line="125" w:lineRule="exact"/>
        <w:rPr>
          <w:sz w:val="20"/>
          <w:szCs w:val="20"/>
          <w:color w:val="auto"/>
        </w:rPr>
      </w:pPr>
    </w:p>
    <w:p>
      <w:pPr>
        <w:ind w:left="180" w:right="259" w:firstLine="346"/>
        <w:spacing w:after="0" w:line="261" w:lineRule="auto"/>
        <w:rPr>
          <w:sz w:val="20"/>
          <w:szCs w:val="20"/>
          <w:color w:val="auto"/>
        </w:rPr>
      </w:pPr>
      <w:r>
        <w:rPr>
          <w:rFonts w:ascii="Times New Roman" w:cs="Times New Roman" w:eastAsia="Times New Roman" w:hAnsi="Times New Roman"/>
          <w:sz w:val="14"/>
          <w:szCs w:val="14"/>
          <w:color w:val="auto"/>
        </w:rPr>
        <w:t>In offering the shares covered by this prospectus, the Holders and any broker-dealers who execute sales for the Holders may be deemed to be “underwriters” within the meaning of the Securities Act in connection with such sales. Any profits realized by the Holders and the compensation of any broker-dealer may be deemed to be underwriting discounts and commissions. Underwriters and their controlling persons, dealers and agents may be entitled, under agreements entered into with Williams and the Holders, to indemnification against and contribution toward specific civil liabilities, including liabilities under the Securities Act.</w:t>
      </w:r>
    </w:p>
    <w:p>
      <w:pPr>
        <w:spacing w:after="0" w:line="141" w:lineRule="exact"/>
        <w:rPr>
          <w:sz w:val="20"/>
          <w:szCs w:val="20"/>
          <w:color w:val="auto"/>
        </w:rPr>
      </w:pPr>
    </w:p>
    <w:p>
      <w:pPr>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6" w:lineRule="exact"/>
        <w:rPr>
          <w:sz w:val="20"/>
          <w:szCs w:val="20"/>
          <w:color w:val="auto"/>
        </w:rPr>
      </w:pPr>
    </w:p>
    <w:p>
      <w:pPr>
        <w:ind w:left="180" w:right="279" w:firstLine="346"/>
        <w:spacing w:after="0" w:line="263" w:lineRule="auto"/>
        <w:rPr>
          <w:sz w:val="20"/>
          <w:szCs w:val="20"/>
          <w:color w:val="auto"/>
        </w:rPr>
      </w:pPr>
      <w:r>
        <w:rPr>
          <w:rFonts w:ascii="Times New Roman" w:cs="Times New Roman" w:eastAsia="Times New Roman" w:hAnsi="Times New Roman"/>
          <w:sz w:val="14"/>
          <w:szCs w:val="14"/>
          <w:color w:val="auto"/>
        </w:rPr>
        <w:t>We have advised the Holders that the anti-manipulation rules of Regulation M under the Exchange Act may apply to sales of shares in the market and to the activities of the Holders and their affiliates. In addition, we will make copies of this prospectus available to the Holders for the purpose of satisfying the prospectus delivery requirements of the Securities Act. The Holders may indemnify any broker-dealer that participates in transactions involving the sale of the shares against certain liabilities, including liabilities arising under the Securities Act.</w:t>
      </w:r>
    </w:p>
    <w:p>
      <w:pPr>
        <w:spacing w:after="0" w:line="142" w:lineRule="exact"/>
        <w:rPr>
          <w:sz w:val="20"/>
          <w:szCs w:val="20"/>
          <w:color w:val="auto"/>
        </w:rPr>
      </w:pPr>
    </w:p>
    <w:p>
      <w:pPr>
        <w:ind w:left="180" w:right="199" w:firstLine="346"/>
        <w:spacing w:after="0" w:line="263" w:lineRule="auto"/>
        <w:rPr>
          <w:sz w:val="20"/>
          <w:szCs w:val="20"/>
          <w:color w:val="auto"/>
        </w:rPr>
      </w:pPr>
      <w:r>
        <w:rPr>
          <w:rFonts w:ascii="Times New Roman" w:cs="Times New Roman" w:eastAsia="Times New Roman" w:hAnsi="Times New Roman"/>
          <w:sz w:val="14"/>
          <w:szCs w:val="14"/>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41"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LEGAL MATTERS</w:t>
      </w:r>
    </w:p>
    <w:p>
      <w:pPr>
        <w:spacing w:after="0" w:line="180" w:lineRule="exact"/>
        <w:rPr>
          <w:sz w:val="20"/>
          <w:szCs w:val="20"/>
          <w:color w:val="auto"/>
        </w:rPr>
      </w:pPr>
    </w:p>
    <w:p>
      <w:pPr>
        <w:ind w:left="180" w:right="199" w:firstLine="346"/>
        <w:spacing w:after="0" w:line="286" w:lineRule="auto"/>
        <w:rPr>
          <w:sz w:val="20"/>
          <w:szCs w:val="20"/>
          <w:color w:val="auto"/>
        </w:rPr>
      </w:pPr>
      <w:r>
        <w:rPr>
          <w:rFonts w:ascii="Times New Roman" w:cs="Times New Roman" w:eastAsia="Times New Roman" w:hAnsi="Times New Roman"/>
          <w:sz w:val="14"/>
          <w:szCs w:val="14"/>
          <w:color w:val="auto"/>
        </w:rPr>
        <w:t>Davis Polk &amp; Wardwell LLP has passed upon the validity of the common stock offered by this prospectus and certain other legal matters related to this prospectus.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80" w:right="219" w:firstLine="346"/>
        <w:spacing w:after="0" w:line="256" w:lineRule="auto"/>
        <w:rPr>
          <w:sz w:val="20"/>
          <w:szCs w:val="20"/>
          <w:color w:val="auto"/>
        </w:rPr>
      </w:pPr>
      <w:r>
        <w:rPr>
          <w:rFonts w:ascii="Times New Roman" w:cs="Times New Roman" w:eastAsia="Times New Roman" w:hAnsi="Times New Roman"/>
          <w:sz w:val="14"/>
          <w:szCs w:val="14"/>
          <w:color w:val="auto"/>
        </w:rPr>
        <w:t>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2025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49" w:lineRule="exact"/>
        <w:rPr>
          <w:sz w:val="20"/>
          <w:szCs w:val="20"/>
          <w:color w:val="auto"/>
        </w:rPr>
      </w:pPr>
    </w:p>
    <w:p>
      <w:pPr>
        <w:ind w:left="180" w:right="259" w:firstLine="346"/>
        <w:spacing w:after="0" w:line="259" w:lineRule="auto"/>
        <w:rPr>
          <w:sz w:val="20"/>
          <w:szCs w:val="20"/>
          <w:color w:val="auto"/>
        </w:rPr>
      </w:pPr>
      <w:r>
        <w:rPr>
          <w:rFonts w:ascii="Times New Roman" w:cs="Times New Roman" w:eastAsia="Times New Roman" w:hAnsi="Times New Roman"/>
          <w:sz w:val="14"/>
          <w:szCs w:val="14"/>
          <w:color w:val="auto"/>
        </w:rPr>
        <w:t>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WHERE YOU CAN FIND MORE INFORMATION</w:t>
      </w:r>
    </w:p>
    <w:p>
      <w:pPr>
        <w:spacing w:after="0" w:line="180"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We have filed a registration statement with the SEC under the Securities Act that registers the offer and sale of common stock covered by this prospectus supplement. The registration statement, including the attached exhibits, contains additional relevant information about us. In addition, we file annual, quarterly and other reports, proxy statements and other information with the SEC. The SEC maintains a website that contains reports, proxy and information statements and other information regarding issuers that file electronically with the SEC. Our SEC filings are available on the SEC’s website at http://www.sec.gov. Unless specifically listed below, the information contained on the SEC website is not intended to be incorporated by reference in this prospectus supplement and you should not consider that information a part of this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9"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INCORPORATION BY REFERENCE</w:t>
      </w:r>
    </w:p>
    <w:p>
      <w:pPr>
        <w:spacing w:after="0" w:line="180" w:lineRule="exact"/>
        <w:rPr>
          <w:sz w:val="20"/>
          <w:szCs w:val="20"/>
          <w:color w:val="auto"/>
        </w:rPr>
      </w:pPr>
    </w:p>
    <w:p>
      <w:pPr>
        <w:ind w:left="180" w:right="239" w:firstLine="346"/>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have filed with the SEC. This means that we can disclose important information to you without actually including the specific information in this prospectus supplement or the accompanying base prospectus by referring you to other documents filed separately with the SEC. The information incorporated by reference is an important part of this prospectus supplement and the accompanying base prospectus. Information that we later provide to the SEC, and which is deemed to be “filed” with the SEC, will automatically update information previously filed with the SEC, and may replace information in this prospectus supplement and the accompanying base prospectus and information previously filed with the SEC.</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incorporate by reference in this prospectus supplement the following documents that we have previously filed with the SEC:</w:t>
      </w:r>
    </w:p>
    <w:p>
      <w:pPr>
        <w:spacing w:after="0" w:line="104" w:lineRule="exact"/>
        <w:rPr>
          <w:sz w:val="20"/>
          <w:szCs w:val="20"/>
          <w:color w:val="auto"/>
        </w:rPr>
      </w:pPr>
    </w:p>
    <w:p>
      <w:pPr>
        <w:ind w:left="940" w:hanging="333"/>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1-04174) for the year ended December 31, 2025, filed on February 24, 2026;</w:t>
      </w:r>
    </w:p>
    <w:p>
      <w:pPr>
        <w:spacing w:after="0" w:line="103" w:lineRule="exact"/>
        <w:rPr>
          <w:rFonts w:ascii="Times New Roman" w:cs="Times New Roman" w:eastAsia="Times New Roman" w:hAnsi="Times New Roman"/>
          <w:sz w:val="14"/>
          <w:szCs w:val="14"/>
          <w:color w:val="auto"/>
        </w:rPr>
      </w:pPr>
    </w:p>
    <w:p>
      <w:pPr>
        <w:ind w:left="940" w:right="619" w:hanging="333"/>
        <w:spacing w:after="0" w:line="269"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(File No. 1-04174) for the quarterly period ended March 31, 2026, filed on </w:t>
      </w:r>
      <w:hyperlink r:id="rId30">
        <w:r>
          <w:rPr>
            <w:rFonts w:ascii="Times New Roman" w:cs="Times New Roman" w:eastAsia="Times New Roman" w:hAnsi="Times New Roman"/>
            <w:sz w:val="14"/>
            <w:szCs w:val="14"/>
            <w:u w:val="single" w:color="auto"/>
            <w:color w:val="0000EE"/>
          </w:rPr>
          <w:t>May 4, 2026</w:t>
        </w:r>
      </w:hyperlink>
      <w:r>
        <w:rPr>
          <w:rFonts w:ascii="Times New Roman" w:cs="Times New Roman" w:eastAsia="Times New Roman" w:hAnsi="Times New Roman"/>
          <w:sz w:val="14"/>
          <w:szCs w:val="14"/>
          <w:color w:val="auto"/>
        </w:rPr>
        <w:t xml:space="preserve">, our Quarterly Report on Form 10-Q (File No. 1-04174) for the quarterly period ended June 30, 2026, filed on </w:t>
      </w:r>
      <w:hyperlink r:id="rId31">
        <w:r>
          <w:rPr>
            <w:rFonts w:ascii="Times New Roman" w:cs="Times New Roman" w:eastAsia="Times New Roman" w:hAnsi="Times New Roman"/>
            <w:sz w:val="14"/>
            <w:szCs w:val="14"/>
            <w:u w:val="single" w:color="auto"/>
            <w:color w:val="0000EE"/>
          </w:rPr>
          <w:t>August 3, 2026</w:t>
        </w:r>
      </w:hyperlink>
      <w:r>
        <w:rPr>
          <w:rFonts w:ascii="Times New Roman" w:cs="Times New Roman" w:eastAsia="Times New Roman" w:hAnsi="Times New Roman"/>
          <w:sz w:val="14"/>
          <w:szCs w:val="14"/>
          <w:color w:val="auto"/>
        </w:rPr>
        <w:t xml:space="preserve">, and our Quarterly Report on Form 10-Q (File No. 1-04174) for the quarterly period ended September 30, 2026, filed on </w:t>
      </w:r>
      <w:hyperlink r:id="rId32">
        <w:r>
          <w:rPr>
            <w:rFonts w:ascii="Times New Roman" w:cs="Times New Roman" w:eastAsia="Times New Roman" w:hAnsi="Times New Roman"/>
            <w:sz w:val="14"/>
            <w:szCs w:val="14"/>
            <w:u w:val="single" w:color="auto"/>
            <w:color w:val="0000EE"/>
          </w:rPr>
          <w:t>November 2, 2026</w:t>
        </w:r>
      </w:hyperlink>
      <w:r>
        <w:rPr>
          <w:rFonts w:ascii="Times New Roman" w:cs="Times New Roman" w:eastAsia="Times New Roman" w:hAnsi="Times New Roman"/>
          <w:sz w:val="14"/>
          <w:szCs w:val="14"/>
          <w:color w:val="auto"/>
        </w:rPr>
        <w:t>;</w:t>
      </w:r>
    </w:p>
    <w:p>
      <w:pPr>
        <w:spacing w:after="0" w:line="62" w:lineRule="exact"/>
        <w:rPr>
          <w:rFonts w:ascii="Times New Roman" w:cs="Times New Roman" w:eastAsia="Times New Roman" w:hAnsi="Times New Roman"/>
          <w:sz w:val="14"/>
          <w:szCs w:val="14"/>
          <w:color w:val="auto"/>
        </w:rPr>
      </w:pPr>
    </w:p>
    <w:p>
      <w:pPr>
        <w:ind w:left="940" w:right="259" w:hanging="333"/>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sections included in our </w:t>
      </w:r>
      <w:hyperlink r:id="rId33">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18, 2026 that are incorporated by reference into our Annual Report on Form 10-K for the year ended December 31, 2025; and</w:t>
      </w:r>
    </w:p>
    <w:p>
      <w:pPr>
        <w:spacing w:after="0" w:line="50" w:lineRule="exact"/>
        <w:rPr>
          <w:rFonts w:ascii="Times New Roman" w:cs="Times New Roman" w:eastAsia="Times New Roman" w:hAnsi="Times New Roman"/>
          <w:sz w:val="14"/>
          <w:szCs w:val="14"/>
          <w:color w:val="auto"/>
        </w:rPr>
      </w:pPr>
    </w:p>
    <w:p>
      <w:pPr>
        <w:ind w:left="940" w:right="379" w:hanging="333"/>
        <w:spacing w:after="0" w:line="261" w:lineRule="auto"/>
        <w:tabs>
          <w:tab w:leader="none" w:pos="940" w:val="left"/>
        </w:tabs>
        <w:numPr>
          <w:ilvl w:val="0"/>
          <w:numId w:val="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 No. 1-04174) filed on </w:t>
      </w:r>
      <w:hyperlink r:id="rId34">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(Item 8.01 only of the first report filed on such date), </w:t>
      </w:r>
      <w:hyperlink r:id="rId35">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(second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 filed on such date),</w:t>
      </w:r>
      <w:r>
        <w:rPr>
          <w:rFonts w:ascii="Times New Roman" w:cs="Times New Roman" w:eastAsia="Times New Roman" w:hAnsi="Times New Roman"/>
          <w:sz w:val="14"/>
          <w:szCs w:val="14"/>
          <w:color w:val="0000EE"/>
        </w:rPr>
        <w:t xml:space="preserve"> </w:t>
      </w:r>
      <w:hyperlink r:id="rId36">
        <w:r>
          <w:rPr>
            <w:rFonts w:ascii="Times New Roman" w:cs="Times New Roman" w:eastAsia="Times New Roman" w:hAnsi="Times New Roman"/>
            <w:sz w:val="14"/>
            <w:szCs w:val="14"/>
            <w:u w:val="single" w:color="auto"/>
            <w:color w:val="0000EE"/>
          </w:rPr>
          <w:t>March 26,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7">
        <w:r>
          <w:rPr>
            <w:rFonts w:ascii="Times New Roman" w:cs="Times New Roman" w:eastAsia="Times New Roman" w:hAnsi="Times New Roman"/>
            <w:sz w:val="14"/>
            <w:szCs w:val="14"/>
            <w:u w:val="single" w:color="auto"/>
            <w:color w:val="0000EE"/>
          </w:rPr>
          <w:t xml:space="preserve">May 4, 2026 </w:t>
        </w:r>
      </w:hyperlink>
      <w:r>
        <w:rPr>
          <w:rFonts w:ascii="Times New Roman" w:cs="Times New Roman" w:eastAsia="Times New Roman" w:hAnsi="Times New Roman"/>
          <w:sz w:val="14"/>
          <w:szCs w:val="14"/>
          <w:color w:val="000000"/>
        </w:rPr>
        <w:t>(Item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5.02, Item 5.07 and Item 9.01 only of the first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report filed on such date), </w:t>
      </w:r>
      <w:hyperlink r:id="rId38">
        <w:r>
          <w:rPr>
            <w:rFonts w:ascii="Times New Roman" w:cs="Times New Roman" w:eastAsia="Times New Roman" w:hAnsi="Times New Roman"/>
            <w:sz w:val="14"/>
            <w:szCs w:val="14"/>
            <w:u w:val="single" w:color="auto"/>
            <w:color w:val="0000EE"/>
          </w:rPr>
          <w:t>May 20, 2026</w:t>
        </w:r>
      </w:hyperlink>
      <w:r>
        <w:rPr>
          <w:rFonts w:ascii="Times New Roman" w:cs="Times New Roman" w:eastAsia="Times New Roman" w:hAnsi="Times New Roman"/>
          <w:sz w:val="14"/>
          <w:szCs w:val="14"/>
          <w:color w:val="000000"/>
        </w:rPr>
        <w:t xml:space="preserve">, </w:t>
      </w:r>
      <w:hyperlink r:id="rId39">
        <w:r>
          <w:rPr>
            <w:rFonts w:ascii="Times New Roman" w:cs="Times New Roman" w:eastAsia="Times New Roman" w:hAnsi="Times New Roman"/>
            <w:sz w:val="14"/>
            <w:szCs w:val="14"/>
            <w:u w:val="single" w:color="auto"/>
            <w:color w:val="0000EE"/>
          </w:rPr>
          <w:t>July 1, 2026</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 xml:space="preserve">(Item 5.02 only), </w:t>
      </w:r>
      <w:hyperlink r:id="rId40">
        <w:r>
          <w:rPr>
            <w:rFonts w:ascii="Times New Roman" w:cs="Times New Roman" w:eastAsia="Times New Roman" w:hAnsi="Times New Roman"/>
            <w:sz w:val="14"/>
            <w:szCs w:val="14"/>
            <w:u w:val="single" w:color="auto"/>
            <w:color w:val="0000EE"/>
          </w:rPr>
          <w:t>August 21, 2026</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 xml:space="preserve">(Item 5.02 only), </w:t>
      </w:r>
      <w:hyperlink r:id="rId41">
        <w:r>
          <w:rPr>
            <w:rFonts w:ascii="Times New Roman" w:cs="Times New Roman" w:eastAsia="Times New Roman" w:hAnsi="Times New Roman"/>
            <w:sz w:val="14"/>
            <w:szCs w:val="14"/>
            <w:u w:val="single" w:color="auto"/>
            <w:color w:val="0000EE"/>
          </w:rPr>
          <w:t>September 3, 2026</w:t>
        </w:r>
      </w:hyperlink>
      <w:r>
        <w:rPr>
          <w:rFonts w:ascii="Times New Roman" w:cs="Times New Roman" w:eastAsia="Times New Roman" w:hAnsi="Times New Roman"/>
          <w:sz w:val="14"/>
          <w:szCs w:val="14"/>
          <w:color w:val="000000"/>
        </w:rPr>
        <w:t xml:space="preserve">, </w:t>
      </w:r>
      <w:hyperlink r:id="rId42">
        <w:r>
          <w:rPr>
            <w:rFonts w:ascii="Times New Roman" w:cs="Times New Roman" w:eastAsia="Times New Roman" w:hAnsi="Times New Roman"/>
            <w:sz w:val="14"/>
            <w:szCs w:val="14"/>
            <w:u w:val="single" w:color="auto"/>
            <w:color w:val="0000EE"/>
          </w:rPr>
          <w:t>September 10,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(Item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8.01 and Item 9.01 only of the first report filed on such date) and</w:t>
      </w:r>
      <w:r>
        <w:rPr>
          <w:rFonts w:ascii="Times New Roman" w:cs="Times New Roman" w:eastAsia="Times New Roman" w:hAnsi="Times New Roman"/>
          <w:sz w:val="14"/>
          <w:szCs w:val="14"/>
          <w:color w:val="0000EE"/>
        </w:rPr>
        <w:t xml:space="preserve"> </w:t>
      </w:r>
      <w:hyperlink r:id="rId43">
        <w:r>
          <w:rPr>
            <w:rFonts w:ascii="Times New Roman" w:cs="Times New Roman" w:eastAsia="Times New Roman" w:hAnsi="Times New Roman"/>
            <w:sz w:val="14"/>
            <w:szCs w:val="14"/>
            <w:u w:val="single" w:color="auto"/>
            <w:color w:val="0000EE"/>
          </w:rPr>
          <w:t xml:space="preserve">September 10, 2026 </w:t>
        </w:r>
      </w:hyperlink>
      <w:r>
        <w:rPr>
          <w:rFonts w:ascii="Times New Roman" w:cs="Times New Roman" w:eastAsia="Times New Roman" w:hAnsi="Times New Roman"/>
          <w:sz w:val="14"/>
          <w:szCs w:val="14"/>
          <w:color w:val="000000"/>
        </w:rPr>
        <w:t>(second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 filed on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date).</w:t>
      </w:r>
    </w:p>
    <w:p>
      <w:pPr>
        <w:spacing w:after="0" w:line="141" w:lineRule="exact"/>
        <w:rPr>
          <w:rFonts w:ascii="Times New Roman" w:cs="Times New Roman" w:eastAsia="Times New Roman" w:hAnsi="Times New Roman"/>
          <w:sz w:val="14"/>
          <w:szCs w:val="14"/>
          <w:color w:val="000000"/>
        </w:rPr>
      </w:pPr>
    </w:p>
    <w:p>
      <w:pPr>
        <w:ind w:left="520"/>
        <w:spacing w:after="0"/>
        <w:rPr>
          <w:sz w:val="20"/>
          <w:szCs w:val="20"/>
          <w:color w:val="auto"/>
        </w:rPr>
      </w:pPr>
      <w:r>
        <w:rPr>
          <w:rFonts w:ascii="Times New Roman" w:cs="Times New Roman" w:eastAsia="Times New Roman" w:hAnsi="Times New Roman"/>
          <w:sz w:val="14"/>
          <w:szCs w:val="14"/>
          <w:color w:val="auto"/>
        </w:rPr>
        <w:t>These reports contain important information about us, our financial condition and our results of operations.</w:t>
      </w:r>
    </w:p>
    <w:p>
      <w:pPr>
        <w:spacing w:after="0" w:line="178" w:lineRule="exact"/>
        <w:rPr>
          <w:rFonts w:ascii="Times New Roman" w:cs="Times New Roman" w:eastAsia="Times New Roman" w:hAnsi="Times New Roman"/>
          <w:sz w:val="14"/>
          <w:szCs w:val="14"/>
          <w:color w:val="000000"/>
        </w:rPr>
      </w:pPr>
    </w:p>
    <w:p>
      <w:pPr>
        <w:ind w:left="180" w:right="239" w:firstLine="346"/>
        <w:spacing w:after="0" w:line="263" w:lineRule="auto"/>
        <w:rPr>
          <w:sz w:val="20"/>
          <w:szCs w:val="20"/>
          <w:color w:val="auto"/>
        </w:rPr>
      </w:pPr>
      <w:r>
        <w:rPr>
          <w:rFonts w:ascii="Times New Roman" w:cs="Times New Roman" w:eastAsia="Times New Roman" w:hAnsi="Times New Roman"/>
          <w:sz w:val="14"/>
          <w:szCs w:val="14"/>
          <w:color w:val="auto"/>
        </w:rPr>
        <w:t>All documents that we file with the SEC under Sections 13(a), 13(c), 14 or 15(d) of the Exchange Act after the date of this prospectus supplement and prior to the termination of this offering will also be deemed to be incorporated herein by reference and will automatically update and supersede information in this prospectus supplement. Nothing in this prospectus supplement shall be deemed to incorporate information furnished to, but not filed with, the SEC pursuant to Item 2.02 or Item 7.01 of Form 8-K (or corresponding information furnished under Item 9.01 or included as an exhibit).</w:t>
      </w:r>
    </w:p>
    <w:p>
      <w:pPr>
        <w:spacing w:after="0" w:line="142" w:lineRule="exact"/>
        <w:rPr>
          <w:rFonts w:ascii="Times New Roman" w:cs="Times New Roman" w:eastAsia="Times New Roman" w:hAnsi="Times New Roman"/>
          <w:sz w:val="14"/>
          <w:szCs w:val="14"/>
          <w:color w:val="000000"/>
        </w:rPr>
      </w:pPr>
    </w:p>
    <w:p>
      <w:pPr>
        <w:ind w:left="180" w:right="379" w:firstLine="346"/>
        <w:spacing w:after="0" w:line="263" w:lineRule="auto"/>
        <w:rPr>
          <w:sz w:val="20"/>
          <w:szCs w:val="20"/>
          <w:color w:val="auto"/>
        </w:rPr>
      </w:pPr>
      <w:r>
        <w:rPr>
          <w:rFonts w:ascii="Times New Roman" w:cs="Times New Roman" w:eastAsia="Times New Roman" w:hAnsi="Times New Roman"/>
          <w:sz w:val="14"/>
          <w:szCs w:val="14"/>
          <w:color w:val="auto"/>
        </w:rPr>
        <w:t>We make available free of charge on or through our Internet website, http://www.williams.com,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part of this prospectus supplement and does not constitute a part of this prospectus supplement.</w:t>
      </w:r>
    </w:p>
    <w:p>
      <w:pPr>
        <w:spacing w:after="0" w:line="142" w:lineRule="exact"/>
        <w:rPr>
          <w:rFonts w:ascii="Times New Roman" w:cs="Times New Roman" w:eastAsia="Times New Roman" w:hAnsi="Times New Roman"/>
          <w:sz w:val="14"/>
          <w:szCs w:val="14"/>
          <w:color w:val="000000"/>
        </w:rPr>
      </w:pPr>
    </w:p>
    <w:p>
      <w:pPr>
        <w:ind w:left="180" w:right="279" w:firstLine="346"/>
        <w:spacing w:after="0" w:line="269" w:lineRule="auto"/>
        <w:rPr>
          <w:sz w:val="20"/>
          <w:szCs w:val="20"/>
          <w:color w:val="auto"/>
        </w:rPr>
      </w:pPr>
      <w:r>
        <w:rPr>
          <w:rFonts w:ascii="Times New Roman" w:cs="Times New Roman" w:eastAsia="Times New Roman" w:hAnsi="Times New Roman"/>
          <w:sz w:val="14"/>
          <w:szCs w:val="14"/>
          <w:color w:val="auto"/>
        </w:rPr>
        <w:t>You may obtain any of the documents incorporated by reference in this prospectus supplement from the SEC through the SEC’s website at the address provided above. You also may request a copy of any document incorporated by reference in this prospectus supplement (excluding any exhibits to those documents, unless the</w:t>
      </w:r>
    </w:p>
    <w:p>
      <w:pPr>
        <w:spacing w:after="0" w:line="84"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7" w:name="page18"/>
    <w:bookmarkEnd w:id="17"/>
    <w:p>
      <w:pPr>
        <w:ind w:left="180" w:right="25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exhibit is specifically incorporated by reference in this document), at no cost, by visiting our Internet website at http://www.williams.com, or by writing or calling us at the following address: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Investor Relations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One Williams Center</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Tulsa, Oklahoma 74172-0172</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(918) 573-2078</w:t>
      </w:r>
    </w:p>
    <w:p>
      <w:pPr>
        <w:spacing w:after="0" w:line="164" w:lineRule="exact"/>
        <w:rPr>
          <w:sz w:val="20"/>
          <w:szCs w:val="20"/>
          <w:color w:val="auto"/>
        </w:rPr>
      </w:pPr>
    </w:p>
    <w:p>
      <w:pPr>
        <w:ind w:left="180" w:right="199" w:firstLine="346"/>
        <w:spacing w:after="0" w:line="257" w:lineRule="auto"/>
        <w:rPr>
          <w:sz w:val="20"/>
          <w:szCs w:val="20"/>
          <w:color w:val="auto"/>
        </w:rPr>
      </w:pPr>
      <w:r>
        <w:rPr>
          <w:rFonts w:ascii="Times New Roman" w:cs="Times New Roman" w:eastAsia="Times New Roman" w:hAnsi="Times New Roman"/>
          <w:sz w:val="14"/>
          <w:szCs w:val="14"/>
          <w:color w:val="auto"/>
        </w:rPr>
        <w:t>Neither we nor the Holders have authorized anyone to provide you with additional or different information or to make representations other than those contained or incorporated by reference in this prospectus or in any free writing prospectus prepared by or on behalf of us. Neither we nor the Holders take any responsibility for, and can provide no assurance as to the reliability of, any other information that others may give you. The Holders are offering to sell common stock, and seeking offers to buy common stock,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w:t>
      </w:r>
    </w:p>
    <w:p>
      <w:pPr>
        <w:spacing w:after="0" w:line="146" w:lineRule="exact"/>
        <w:rPr>
          <w:sz w:val="20"/>
          <w:szCs w:val="20"/>
          <w:color w:val="auto"/>
        </w:rPr>
      </w:pPr>
    </w:p>
    <w:p>
      <w:pPr>
        <w:jc w:val="both"/>
        <w:ind w:left="180" w:right="259" w:firstLine="346"/>
        <w:spacing w:after="0" w:line="269" w:lineRule="auto"/>
        <w:rPr>
          <w:sz w:val="20"/>
          <w:szCs w:val="20"/>
          <w:color w:val="auto"/>
        </w:rPr>
      </w:pPr>
      <w:r>
        <w:rPr>
          <w:rFonts w:ascii="Times New Roman" w:cs="Times New Roman" w:eastAsia="Times New Roman" w:hAnsi="Times New Roman"/>
          <w:sz w:val="14"/>
          <w:szCs w:val="14"/>
          <w:color w:val="auto"/>
        </w:rPr>
        <w:t>Williams is subject to the information requirements of the Exchange Act, and in accordance therewith files reports and other information with the SEC. You may read Williams’ filings on the SEC’s website described above. Unless otherwise listed or referenced above, documents that Williams files with the SEC are not incorporated into, and are not considered a part of, this prospectus supplement or the accompanying base prospectus.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1" w:right="1440"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15875</wp:posOffset>
            </wp:positionV>
            <wp:extent cx="988695"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9886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WILLIAMS COMPANIES, INC.</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173990</wp:posOffset>
            </wp:positionV>
            <wp:extent cx="11499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right="239" w:firstLine="346"/>
        <w:spacing w:after="0" w:line="261" w:lineRule="auto"/>
        <w:rPr>
          <w:sz w:val="20"/>
          <w:szCs w:val="20"/>
          <w:color w:val="auto"/>
        </w:rPr>
      </w:pPr>
      <w:r>
        <w:rPr>
          <w:rFonts w:ascii="Times New Roman" w:cs="Times New Roman" w:eastAsia="Times New Roman" w:hAnsi="Times New Roman"/>
          <w:sz w:val="14"/>
          <w:szCs w:val="14"/>
          <w:color w:val="auto"/>
        </w:rPr>
        <w:t>We or selling securityholders to be named in a prospectus supplement may from time to time offer to sell debt securities, preferred stock, common stock, purchase contracts, warrants, or units. This prospectus describes some of the general terms that may apply to these securities and the general manner in which they may be offered. Each time we or a selling securityholder sells securities pursuant to this prospectus, we will provide a supplement to this prospectus that contains specific information about the offering and the specific terms of the securities offered. You should read this prospectus, the applicable prospectus supplement and the documents incorporated by reference herein and therein carefully before you invest in our securities.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ticker symbol “WMB.”</w:t>
      </w:r>
    </w:p>
    <w:p>
      <w:pPr>
        <w:spacing w:after="0" w:line="178" w:lineRule="exact"/>
        <w:rPr>
          <w:sz w:val="20"/>
          <w:szCs w:val="20"/>
          <w:color w:val="auto"/>
        </w:rPr>
      </w:pPr>
    </w:p>
    <w:p>
      <w:pPr>
        <w:ind w:left="180" w:right="319" w:firstLine="346"/>
        <w:spacing w:after="0" w:line="286" w:lineRule="auto"/>
        <w:rPr>
          <w:sz w:val="20"/>
          <w:szCs w:val="20"/>
          <w:color w:val="auto"/>
        </w:rPr>
      </w:pPr>
      <w:r>
        <w:rPr>
          <w:rFonts w:ascii="Times New Roman" w:cs="Times New Roman" w:eastAsia="Times New Roman" w:hAnsi="Times New Roman"/>
          <w:sz w:val="14"/>
          <w:szCs w:val="14"/>
          <w:color w:val="auto"/>
        </w:rPr>
        <w:t>We or selling securityholders will sell these securities directly to investors, or through agents, dealers, or underwriters as designated from time to time, or through a combination of these methods, on a continuous or delayed basis.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prospectus may not be used to sell our securities unless it is accompanied by the applicable prospectus supplement.</w:t>
      </w:r>
    </w:p>
    <w:p>
      <w:pPr>
        <w:spacing w:after="0" w:line="178" w:lineRule="exact"/>
        <w:rPr>
          <w:sz w:val="20"/>
          <w:szCs w:val="20"/>
          <w:color w:val="auto"/>
        </w:rPr>
      </w:pPr>
    </w:p>
    <w:p>
      <w:pPr>
        <w:ind w:left="180" w:right="259" w:firstLine="346"/>
        <w:spacing w:after="0" w:line="258"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174625</wp:posOffset>
            </wp:positionV>
            <wp:extent cx="11499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579" w:firstLine="346"/>
        <w:spacing w:after="0" w:line="26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Page 2 herein, in the applicable prospectus supplement and in the documents incorporated by reference herein and therein.</w:t>
      </w:r>
    </w:p>
    <w:p>
      <w:pPr>
        <w:spacing w:after="0" w:line="124" w:lineRule="exact"/>
        <w:rPr>
          <w:sz w:val="20"/>
          <w:szCs w:val="20"/>
          <w:color w:val="auto"/>
        </w:rPr>
      </w:pPr>
    </w:p>
    <w:p>
      <w:pPr>
        <w:ind w:left="180" w:right="31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representations to the contrary are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11499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2, 2026.</w:t>
      </w:r>
    </w:p>
    <w:p>
      <w:pPr>
        <w:sectPr>
          <w:pgSz w:w="11900" w:h="16838" w:orient="portrait"/>
          <w:cols w:equalWidth="0" w:num="1">
            <w:col w:w="9019"/>
          </w:cols>
          <w:pgMar w:left="1440" w:top="239" w:right="1440" w:bottom="1440" w:gutter="0" w:footer="0" w:header="0"/>
        </w:sectPr>
      </w:pPr>
    </w:p>
    <w:bookmarkStart w:id="19" w:name="page20"/>
    <w:bookmarkEnd w:id="19"/>
    <w:tbl>
      <w:tblPr>
        <w:tblLayout w:type="fixed"/>
        <w:tblInd w:w="18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gridSpan w:val="2"/>
          </w:tcPr>
          <w:p>
            <w:pPr>
              <w:jc w:val="right"/>
              <w:ind w:right="345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7"/>
        </w:trPr>
        <w:tc>
          <w:tcPr>
            <w:tcW w:w="330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8"/>
        </w:trPr>
        <w:tc>
          <w:tcPr>
            <w:tcW w:w="3300" w:type="dxa"/>
            <w:vAlign w:val="bottom"/>
            <w:gridSpan w:val="16"/>
            <w:vMerge w:val="continue"/>
          </w:tcPr>
          <w:p>
            <w:pPr>
              <w:spacing w:after="0"/>
              <w:rPr>
                <w:sz w:val="10"/>
                <w:szCs w:val="10"/>
                <w:color w:val="auto"/>
              </w:rPr>
            </w:pPr>
          </w:p>
        </w:tc>
        <w:tc>
          <w:tcPr>
            <w:tcW w:w="5080" w:type="dxa"/>
            <w:vAlign w:val="bottom"/>
          </w:tcPr>
          <w:p>
            <w:pPr>
              <w:spacing w:after="0"/>
              <w:rPr>
                <w:sz w:val="10"/>
                <w:szCs w:val="10"/>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9"/>
              </w:rPr>
              <w:t>About The Williams Companies, Inc.</w:t>
            </w:r>
          </w:p>
        </w:tc>
        <w:tc>
          <w:tcPr>
            <w:tcW w:w="1180" w:type="dxa"/>
            <w:vAlign w:val="bottom"/>
            <w:gridSpan w:val="3"/>
          </w:tcPr>
          <w:p>
            <w:pPr>
              <w:spacing w:after="0"/>
              <w:rPr>
                <w:sz w:val="13"/>
                <w:szCs w:val="13"/>
                <w:color w:val="auto"/>
              </w:rPr>
            </w:pPr>
          </w:p>
        </w:tc>
        <w:tc>
          <w:tcPr>
            <w:tcW w:w="5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72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9"/>
              </w:rPr>
              <w:t>Risk Factors</w:t>
            </w:r>
          </w:p>
        </w:tc>
        <w:tc>
          <w:tcPr>
            <w:tcW w:w="2580" w:type="dxa"/>
            <w:vAlign w:val="bottom"/>
            <w:gridSpan w:val="14"/>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1040" w:type="dxa"/>
            <w:vAlign w:val="bottom"/>
            <w:gridSpan w:val="2"/>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740" w:type="dxa"/>
            <w:vAlign w:val="bottom"/>
            <w:gridSpan w:val="7"/>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3040" w:type="dxa"/>
            <w:vAlign w:val="bottom"/>
            <w:tcBorders>
              <w:top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260" w:type="dxa"/>
            <w:vAlign w:val="bottom"/>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2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580" w:type="dxa"/>
            <w:vAlign w:val="bottom"/>
            <w:gridSpan w:val="5"/>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680" w:type="dxa"/>
            <w:vAlign w:val="bottom"/>
            <w:gridSpan w:val="6"/>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rPr>
              <w:t>Description of Purchase Contracts</w:t>
            </w:r>
          </w:p>
        </w:tc>
        <w:tc>
          <w:tcPr>
            <w:tcW w:w="1360" w:type="dxa"/>
            <w:vAlign w:val="bottom"/>
            <w:gridSpan w:val="4"/>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136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Warrants</w:t>
            </w:r>
          </w:p>
        </w:tc>
        <w:tc>
          <w:tcPr>
            <w:tcW w:w="1940" w:type="dxa"/>
            <w:vAlign w:val="bottom"/>
            <w:gridSpan w:val="8"/>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Units</w:t>
            </w:r>
          </w:p>
        </w:tc>
        <w:tc>
          <w:tcPr>
            <w:tcW w:w="2140" w:type="dxa"/>
            <w:vAlign w:val="bottom"/>
            <w:gridSpan w:val="11"/>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33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Selling Securityholders</w:t>
            </w: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800" w:type="dxa"/>
            <w:vAlign w:val="bottom"/>
            <w:tcBorders>
              <w:top w:val="single" w:sz="8" w:color="0000EE"/>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Legal Matters</w:t>
            </w:r>
          </w:p>
        </w:tc>
        <w:tc>
          <w:tcPr>
            <w:tcW w:w="520" w:type="dxa"/>
            <w:vAlign w:val="bottom"/>
            <w:tcBorders>
              <w:top w:val="single" w:sz="8" w:color="0000EE"/>
            </w:tcBorders>
            <w:gridSpan w:val="4"/>
          </w:tcPr>
          <w:p>
            <w:pPr>
              <w:spacing w:after="0"/>
              <w:rPr>
                <w:sz w:val="12"/>
                <w:szCs w:val="12"/>
                <w:color w:val="auto"/>
              </w:rPr>
            </w:pPr>
          </w:p>
        </w:tc>
        <w:tc>
          <w:tcPr>
            <w:tcW w:w="1980" w:type="dxa"/>
            <w:vAlign w:val="bottom"/>
            <w:gridSpan w:val="9"/>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44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Experts</w:t>
            </w:r>
          </w:p>
        </w:tc>
        <w:tc>
          <w:tcPr>
            <w:tcW w:w="2860" w:type="dxa"/>
            <w:vAlign w:val="bottom"/>
            <w:gridSpan w:val="15"/>
          </w:tcPr>
          <w:p>
            <w:pPr>
              <w:spacing w:after="0"/>
              <w:rPr>
                <w:sz w:val="12"/>
                <w:szCs w:val="12"/>
                <w:color w:val="auto"/>
              </w:rPr>
            </w:pPr>
          </w:p>
        </w:tc>
        <w:tc>
          <w:tcPr>
            <w:tcW w:w="5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w:t>
      </w:r>
    </w:p>
    <w:p>
      <w:pPr>
        <w:spacing w:after="0" w:line="180" w:lineRule="exact"/>
        <w:rPr>
          <w:sz w:val="20"/>
          <w:szCs w:val="20"/>
          <w:color w:val="auto"/>
        </w:rPr>
      </w:pPr>
    </w:p>
    <w:p>
      <w:pPr>
        <w:jc w:val="both"/>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Securities and Exchange Commission (“SEC”) using a “shelf” registration process. We or selling securityholders to be named in a prospectus supplement may sell any combination of the securities described in this prospectus from time to time, either separately or in units, in one or more offerings.</w:t>
      </w:r>
    </w:p>
    <w:p>
      <w:pPr>
        <w:spacing w:after="0" w:line="136" w:lineRule="exact"/>
        <w:rPr>
          <w:sz w:val="20"/>
          <w:szCs w:val="20"/>
          <w:color w:val="auto"/>
        </w:rPr>
      </w:pPr>
    </w:p>
    <w:p>
      <w:pPr>
        <w:ind w:left="180" w:right="519" w:firstLine="346"/>
        <w:spacing w:after="0" w:line="286" w:lineRule="auto"/>
        <w:rPr>
          <w:sz w:val="20"/>
          <w:szCs w:val="20"/>
          <w:color w:val="auto"/>
        </w:rPr>
      </w:pPr>
      <w:r>
        <w:rPr>
          <w:rFonts w:ascii="Times New Roman" w:cs="Times New Roman" w:eastAsia="Times New Roman" w:hAnsi="Times New Roman"/>
          <w:sz w:val="14"/>
          <w:szCs w:val="14"/>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w:t>
      </w:r>
    </w:p>
    <w:p>
      <w:pPr>
        <w:spacing w:after="0" w:line="125" w:lineRule="exact"/>
        <w:rPr>
          <w:sz w:val="20"/>
          <w:szCs w:val="20"/>
          <w:color w:val="auto"/>
        </w:rPr>
      </w:pPr>
    </w:p>
    <w:p>
      <w:pPr>
        <w:ind w:left="180" w:right="279" w:firstLine="346"/>
        <w:spacing w:after="0" w:line="263" w:lineRule="auto"/>
        <w:rPr>
          <w:sz w:val="20"/>
          <w:szCs w:val="20"/>
          <w:color w:val="auto"/>
        </w:rPr>
      </w:pPr>
      <w:r>
        <w:rPr>
          <w:rFonts w:ascii="Times New Roman" w:cs="Times New Roman" w:eastAsia="Times New Roman" w:hAnsi="Times New Roman"/>
          <w:sz w:val="14"/>
          <w:szCs w:val="14"/>
          <w:color w:val="auto"/>
        </w:rPr>
        <w:t>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w:t>
      </w:r>
    </w:p>
    <w:p>
      <w:pPr>
        <w:spacing w:after="0" w:line="142" w:lineRule="exact"/>
        <w:rPr>
          <w:sz w:val="20"/>
          <w:szCs w:val="20"/>
          <w:color w:val="auto"/>
        </w:rPr>
      </w:pPr>
    </w:p>
    <w:p>
      <w:pPr>
        <w:ind w:left="180" w:right="279" w:firstLine="346"/>
        <w:spacing w:after="0" w:line="263" w:lineRule="auto"/>
        <w:rPr>
          <w:sz w:val="20"/>
          <w:szCs w:val="20"/>
          <w:color w:val="auto"/>
        </w:rPr>
      </w:pPr>
      <w:r>
        <w:rPr>
          <w:rFonts w:ascii="Times New Roman" w:cs="Times New Roman" w:eastAsia="Times New Roman" w:hAnsi="Times New Roman"/>
          <w:sz w:val="14"/>
          <w:szCs w:val="14"/>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142" w:lineRule="exact"/>
        <w:rPr>
          <w:sz w:val="20"/>
          <w:szCs w:val="20"/>
          <w:color w:val="auto"/>
        </w:rPr>
      </w:pPr>
    </w:p>
    <w:p>
      <w:pPr>
        <w:ind w:left="180" w:right="399" w:firstLine="346"/>
        <w:spacing w:after="0" w:line="263" w:lineRule="auto"/>
        <w:rPr>
          <w:sz w:val="20"/>
          <w:szCs w:val="20"/>
          <w:color w:val="auto"/>
        </w:rPr>
      </w:pPr>
      <w:r>
        <w:rPr>
          <w:rFonts w:ascii="Times New Roman" w:cs="Times New Roman" w:eastAsia="Times New Roman" w:hAnsi="Times New Roman"/>
          <w:sz w:val="14"/>
          <w:szCs w:val="14"/>
          <w:color w:val="auto"/>
        </w:rPr>
        <w:t>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w:t>
      </w:r>
    </w:p>
    <w:p>
      <w:pPr>
        <w:spacing w:after="0" w:line="140" w:lineRule="exact"/>
        <w:rPr>
          <w:sz w:val="20"/>
          <w:szCs w:val="20"/>
          <w:color w:val="auto"/>
        </w:rPr>
      </w:pPr>
    </w:p>
    <w:p>
      <w:pPr>
        <w:ind w:left="180" w:right="519" w:firstLine="346"/>
        <w:spacing w:after="0" w:line="261" w:lineRule="auto"/>
        <w:rPr>
          <w:sz w:val="20"/>
          <w:szCs w:val="20"/>
          <w:color w:val="auto"/>
        </w:rPr>
      </w:pPr>
      <w:r>
        <w:rPr>
          <w:rFonts w:ascii="Times New Roman" w:cs="Times New Roman" w:eastAsia="Times New Roman" w:hAnsi="Times New Roman"/>
          <w:sz w:val="14"/>
          <w:szCs w:val="14"/>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43" w:lineRule="exact"/>
        <w:rPr>
          <w:sz w:val="20"/>
          <w:szCs w:val="20"/>
          <w:color w:val="auto"/>
        </w:rPr>
      </w:pPr>
    </w:p>
    <w:p>
      <w:pPr>
        <w:ind w:left="180" w:right="219" w:firstLine="346"/>
        <w:spacing w:after="0" w:line="26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w:t>
      </w:r>
    </w:p>
    <w:p>
      <w:pPr>
        <w:spacing w:after="0" w:line="142" w:lineRule="exact"/>
        <w:rPr>
          <w:sz w:val="20"/>
          <w:szCs w:val="20"/>
          <w:color w:val="auto"/>
        </w:rPr>
      </w:pPr>
    </w:p>
    <w:p>
      <w:pPr>
        <w:ind w:left="180" w:right="219" w:firstLine="346"/>
        <w:spacing w:after="0" w:line="286" w:lineRule="auto"/>
        <w:rPr>
          <w:sz w:val="20"/>
          <w:szCs w:val="20"/>
          <w:color w:val="auto"/>
        </w:rPr>
      </w:pPr>
      <w:r>
        <w:rPr>
          <w:rFonts w:ascii="Times New Roman" w:cs="Times New Roman" w:eastAsia="Times New Roman" w:hAnsi="Times New Roman"/>
          <w:sz w:val="14"/>
          <w:szCs w:val="14"/>
          <w:color w:val="auto"/>
        </w:rPr>
        <w:t>In this prospectus, Williams (which includes The Williams Companies, Inc. and, unless the context otherwise requires, all of our subsidiaries) is at times referred to in the first person as “we,” “us,” or “our.” We also sometimes refer to Williams as the “Company.”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THE WILLIAMS COMPANIES, INC.</w:t>
      </w:r>
    </w:p>
    <w:p>
      <w:pPr>
        <w:spacing w:after="0" w:line="180" w:lineRule="exact"/>
        <w:rPr>
          <w:sz w:val="20"/>
          <w:szCs w:val="20"/>
          <w:color w:val="auto"/>
        </w:rPr>
      </w:pPr>
    </w:p>
    <w:p>
      <w:pPr>
        <w:ind w:left="180" w:right="359" w:firstLine="346"/>
        <w:spacing w:after="0" w:line="286" w:lineRule="auto"/>
        <w:rPr>
          <w:sz w:val="20"/>
          <w:szCs w:val="20"/>
          <w:color w:val="auto"/>
        </w:rPr>
      </w:pPr>
      <w:r>
        <w:rPr>
          <w:rFonts w:ascii="Times New Roman" w:cs="Times New Roman" w:eastAsia="Times New Roman" w:hAnsi="Times New Roman"/>
          <w:sz w:val="14"/>
          <w:szCs w:val="14"/>
          <w:color w:val="auto"/>
        </w:rPr>
        <w:t>We are an energy company committed to being the leader in providing infrastructure that safely delivers natural gas products to reliably fuel the clean energy economy. Our operations are located in the United States.</w:t>
      </w:r>
    </w:p>
    <w:p>
      <w:pPr>
        <w:spacing w:after="0" w:line="125" w:lineRule="exact"/>
        <w:rPr>
          <w:sz w:val="20"/>
          <w:szCs w:val="20"/>
          <w:color w:val="auto"/>
        </w:rPr>
      </w:pPr>
    </w:p>
    <w:p>
      <w:pPr>
        <w:ind w:left="180" w:right="319" w:firstLine="346"/>
        <w:spacing w:after="0" w:line="269" w:lineRule="auto"/>
        <w:rPr>
          <w:sz w:val="20"/>
          <w:szCs w:val="20"/>
          <w:color w:val="auto"/>
        </w:rPr>
      </w:pPr>
      <w:r>
        <w:rPr>
          <w:rFonts w:ascii="Times New Roman" w:cs="Times New Roman" w:eastAsia="Times New Roman" w:hAnsi="Times New Roman"/>
          <w:sz w:val="14"/>
          <w:szCs w:val="14"/>
          <w:color w:val="auto"/>
        </w:rPr>
        <w:t>We were founded in 1908, originally incorporated under the laws of the state of Nevada in 1949 and reincorporated under the laws of the state of Delaware in 1987. Our principal executive offices are located at One Williams Center, Tulsa, Oklahoma 74172, and our telephone number is 800-945-5426 (800-WILLIAMS).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80" w:right="199" w:firstLine="346"/>
        <w:spacing w:after="0" w:line="263" w:lineRule="auto"/>
        <w:rPr>
          <w:sz w:val="20"/>
          <w:szCs w:val="20"/>
          <w:color w:val="auto"/>
        </w:rPr>
      </w:pPr>
      <w:r>
        <w:rPr>
          <w:rFonts w:ascii="Times New Roman" w:cs="Times New Roman" w:eastAsia="Times New Roman" w:hAnsi="Times New Roman"/>
          <w:sz w:val="14"/>
          <w:szCs w:val="14"/>
          <w:color w:val="auto"/>
        </w:rPr>
        <w:t>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jc w:val="both"/>
        <w:ind w:left="180" w:right="239" w:firstLine="346"/>
        <w:spacing w:after="0" w:line="263"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Unless specifically listed under “Incorporation by Reference” below, the information contained on the SEC website is not intended to be incorporated by reference into this prospectus and you should not consider that information a part of this prospectus.</w:t>
      </w:r>
    </w:p>
    <w:p>
      <w:pPr>
        <w:spacing w:after="0" w:line="142" w:lineRule="exact"/>
        <w:rPr>
          <w:sz w:val="20"/>
          <w:szCs w:val="20"/>
          <w:color w:val="auto"/>
        </w:rPr>
      </w:pPr>
    </w:p>
    <w:p>
      <w:pPr>
        <w:ind w:left="180" w:right="259" w:firstLine="346"/>
        <w:spacing w:after="0" w:line="269" w:lineRule="auto"/>
        <w:rPr>
          <w:sz w:val="20"/>
          <w:szCs w:val="20"/>
          <w:color w:val="auto"/>
        </w:rPr>
      </w:pPr>
      <w:r>
        <w:rPr>
          <w:rFonts w:ascii="Times New Roman" w:cs="Times New Roman" w:eastAsia="Times New Roman" w:hAnsi="Times New Roman"/>
          <w:sz w:val="14"/>
          <w:szCs w:val="14"/>
          <w:color w:val="auto"/>
        </w:rPr>
        <w:t>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Williams Companies,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One Williams Center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Tulsa, Oklahoma 74172-0172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800-945-5426 (800-WILLIAMS)</w:t>
      </w:r>
    </w:p>
    <w:p>
      <w:pPr>
        <w:spacing w:after="0" w:line="162" w:lineRule="exact"/>
        <w:rPr>
          <w:sz w:val="20"/>
          <w:szCs w:val="20"/>
          <w:color w:val="auto"/>
        </w:rPr>
      </w:pPr>
    </w:p>
    <w:p>
      <w:pPr>
        <w:ind w:left="180" w:right="299" w:firstLine="346"/>
        <w:spacing w:after="0" w:line="264" w:lineRule="auto"/>
        <w:rPr>
          <w:sz w:val="20"/>
          <w:szCs w:val="20"/>
          <w:color w:val="auto"/>
        </w:rPr>
      </w:pPr>
      <w:r>
        <w:rPr>
          <w:rFonts w:ascii="Times New Roman" w:cs="Times New Roman" w:eastAsia="Times New Roman" w:hAnsi="Times New Roman"/>
          <w:sz w:val="14"/>
          <w:szCs w:val="14"/>
          <w:color w:val="auto"/>
        </w:rPr>
        <w:t xml:space="preserve">We make available free of charge on or through our Internet website, </w:t>
      </w:r>
      <w:r>
        <w:rPr>
          <w:rFonts w:ascii="Times New Roman" w:cs="Times New Roman" w:eastAsia="Times New Roman" w:hAnsi="Times New Roman"/>
          <w:sz w:val="14"/>
          <w:szCs w:val="14"/>
          <w:i w:val="1"/>
          <w:iCs w:val="1"/>
          <w:color w:val="auto"/>
        </w:rPr>
        <w:t>http://www.williams.com</w:t>
      </w:r>
      <w:r>
        <w:rPr>
          <w:rFonts w:ascii="Times New Roman" w:cs="Times New Roman" w:eastAsia="Times New Roman" w:hAnsi="Times New Roman"/>
          <w:sz w:val="14"/>
          <w:szCs w:val="14"/>
          <w:color w:val="auto"/>
        </w:rPr>
        <w:t>,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INCORPORATION BY REFERENCE</w:t>
      </w:r>
    </w:p>
    <w:p>
      <w:pPr>
        <w:spacing w:after="0" w:line="180" w:lineRule="exact"/>
        <w:rPr>
          <w:sz w:val="20"/>
          <w:szCs w:val="20"/>
          <w:color w:val="auto"/>
        </w:rPr>
      </w:pPr>
    </w:p>
    <w:p>
      <w:pPr>
        <w:ind w:left="180" w:right="199" w:firstLine="346"/>
        <w:spacing w:after="0" w:line="261" w:lineRule="auto"/>
        <w:rPr>
          <w:sz w:val="20"/>
          <w:szCs w:val="20"/>
          <w:color w:val="auto"/>
        </w:rPr>
      </w:pPr>
      <w:r>
        <w:rPr>
          <w:rFonts w:ascii="Times New Roman" w:cs="Times New Roman" w:eastAsia="Times New Roman" w:hAnsi="Times New Roman"/>
          <w:sz w:val="14"/>
          <w:szCs w:val="14"/>
          <w:color w:val="auto"/>
        </w:rPr>
        <w:t>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incorporating by reference the following documents that we have filed with the SEC:</w:t>
      </w:r>
    </w:p>
    <w:p>
      <w:pPr>
        <w:spacing w:after="0" w:line="104" w:lineRule="exact"/>
        <w:rPr>
          <w:sz w:val="20"/>
          <w:szCs w:val="20"/>
          <w:color w:val="auto"/>
        </w:rPr>
      </w:pPr>
    </w:p>
    <w:p>
      <w:pPr>
        <w:ind w:left="940" w:right="199" w:hanging="333"/>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1-04174) for the fiscal year ended December 31, 2025 filed with the SEC on February 24, 2026 (the “2025 Form 10-K”);</w:t>
      </w:r>
    </w:p>
    <w:p>
      <w:pPr>
        <w:spacing w:after="0" w:line="50" w:lineRule="exact"/>
        <w:rPr>
          <w:rFonts w:ascii="Times New Roman" w:cs="Times New Roman" w:eastAsia="Times New Roman" w:hAnsi="Times New Roman"/>
          <w:sz w:val="14"/>
          <w:szCs w:val="14"/>
          <w:color w:val="auto"/>
        </w:rPr>
      </w:pPr>
    </w:p>
    <w:p>
      <w:pPr>
        <w:ind w:left="940" w:right="299" w:hanging="333"/>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33">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18, 2026 that are incorporated by reference into the 2025 Form 10-K (other than information furnished rather than filed);</w:t>
      </w:r>
    </w:p>
    <w:p>
      <w:pPr>
        <w:spacing w:after="0" w:line="50" w:lineRule="exact"/>
        <w:rPr>
          <w:rFonts w:ascii="Times New Roman" w:cs="Times New Roman" w:eastAsia="Times New Roman" w:hAnsi="Times New Roman"/>
          <w:sz w:val="14"/>
          <w:szCs w:val="14"/>
          <w:color w:val="auto"/>
        </w:rPr>
      </w:pPr>
    </w:p>
    <w:p>
      <w:pPr>
        <w:ind w:left="940" w:right="459" w:hanging="333"/>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(File No. 1-04174) for the quarterly periods ended </w:t>
      </w:r>
      <w:hyperlink r:id="rId30">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xml:space="preserve">, filed with the SEC on May 4, 2026, </w:t>
      </w:r>
      <w:hyperlink r:id="rId31">
        <w:r>
          <w:rPr>
            <w:rFonts w:ascii="Times New Roman" w:cs="Times New Roman" w:eastAsia="Times New Roman" w:hAnsi="Times New Roman"/>
            <w:sz w:val="14"/>
            <w:szCs w:val="14"/>
            <w:u w:val="single" w:color="auto"/>
            <w:color w:val="0000EE"/>
          </w:rPr>
          <w:t>June 30, 2026</w:t>
        </w:r>
      </w:hyperlink>
      <w:r>
        <w:rPr>
          <w:rFonts w:ascii="Times New Roman" w:cs="Times New Roman" w:eastAsia="Times New Roman" w:hAnsi="Times New Roman"/>
          <w:sz w:val="14"/>
          <w:szCs w:val="14"/>
          <w:color w:val="auto"/>
        </w:rPr>
        <w:t xml:space="preserve">, filed with the SEC on August 3, 2026, and </w:t>
      </w:r>
      <w:hyperlink r:id="rId32">
        <w:r>
          <w:rPr>
            <w:rFonts w:ascii="Times New Roman" w:cs="Times New Roman" w:eastAsia="Times New Roman" w:hAnsi="Times New Roman"/>
            <w:sz w:val="14"/>
            <w:szCs w:val="14"/>
            <w:u w:val="single" w:color="auto"/>
            <w:color w:val="0000EE"/>
          </w:rPr>
          <w:t>September 30, 2026</w:t>
        </w:r>
      </w:hyperlink>
      <w:r>
        <w:rPr>
          <w:rFonts w:ascii="Times New Roman" w:cs="Times New Roman" w:eastAsia="Times New Roman" w:hAnsi="Times New Roman"/>
          <w:sz w:val="14"/>
          <w:szCs w:val="14"/>
          <w:color w:val="auto"/>
        </w:rPr>
        <w:t>, filed with the SEC on November 2, 2026;</w:t>
      </w:r>
    </w:p>
    <w:p>
      <w:pPr>
        <w:spacing w:after="0" w:line="50" w:lineRule="exact"/>
        <w:rPr>
          <w:rFonts w:ascii="Times New Roman" w:cs="Times New Roman" w:eastAsia="Times New Roman" w:hAnsi="Times New Roman"/>
          <w:sz w:val="14"/>
          <w:szCs w:val="14"/>
          <w:color w:val="auto"/>
        </w:rPr>
      </w:pPr>
    </w:p>
    <w:p>
      <w:pPr>
        <w:ind w:left="940" w:right="239" w:hanging="333"/>
        <w:spacing w:after="0" w:line="269" w:lineRule="auto"/>
        <w:tabs>
          <w:tab w:leader="none" w:pos="940" w:val="left"/>
        </w:tabs>
        <w:numPr>
          <w:ilvl w:val="0"/>
          <w:numId w:val="8"/>
        </w:numPr>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auto"/>
          </w:rPr>
          <w:t xml:space="preserve">our Current Reports on Form 8-K (File No. 1-04174) filed with the SEC on </w:t>
        </w:r>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color w:val="auto"/>
          </w:rPr>
          <w:t xml:space="preserve"> (Item 8.01 only), </w:t>
        </w:r>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26,</w:t>
        </w:r>
      </w:hyperlink>
      <w:r>
        <w:rPr>
          <w:rFonts w:ascii="Times New Roman" w:cs="Times New Roman" w:eastAsia="Times New Roman" w:hAnsi="Times New Roman"/>
          <w:sz w:val="14"/>
          <w:szCs w:val="14"/>
          <w:color w:val="auto"/>
        </w:rPr>
        <w:t xml:space="preserve"> </w:t>
      </w:r>
      <w:hyperlink r:id="rId54">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5">
        <w:r>
          <w:rPr>
            <w:rFonts w:ascii="Times New Roman" w:cs="Times New Roman" w:eastAsia="Times New Roman" w:hAnsi="Times New Roman"/>
            <w:sz w:val="14"/>
            <w:szCs w:val="14"/>
            <w:u w:val="single" w:color="auto"/>
            <w:color w:val="0000EE"/>
          </w:rPr>
          <w:t xml:space="preserve">May 4, 2026 </w:t>
        </w:r>
      </w:hyperlink>
      <w:hyperlink r:id="rId54">
        <w:r>
          <w:rPr>
            <w:rFonts w:ascii="Times New Roman" w:cs="Times New Roman" w:eastAsia="Times New Roman" w:hAnsi="Times New Roman"/>
            <w:sz w:val="14"/>
            <w:szCs w:val="14"/>
            <w:color w:val="000000"/>
          </w:rPr>
          <w:t>(Item 5.02 and Item 5.07 only),</w:t>
        </w:r>
        <w:r>
          <w:rPr>
            <w:rFonts w:ascii="Times New Roman" w:cs="Times New Roman" w:eastAsia="Times New Roman" w:hAnsi="Times New Roman"/>
            <w:sz w:val="14"/>
            <w:szCs w:val="14"/>
            <w:color w:val="0000EE"/>
          </w:rPr>
          <w:t xml:space="preserve"> </w:t>
        </w:r>
      </w:hyperlink>
      <w:hyperlink r:id="rId56">
        <w:r>
          <w:rPr>
            <w:rFonts w:ascii="Times New Roman" w:cs="Times New Roman" w:eastAsia="Times New Roman" w:hAnsi="Times New Roman"/>
            <w:sz w:val="14"/>
            <w:szCs w:val="14"/>
            <w:u w:val="single" w:color="auto"/>
            <w:color w:val="0000EE"/>
          </w:rPr>
          <w:t>May 20, 2026</w:t>
        </w:r>
      </w:hyperlink>
      <w:hyperlink r:id="rId5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57">
        <w:r>
          <w:rPr>
            <w:rFonts w:ascii="Times New Roman" w:cs="Times New Roman" w:eastAsia="Times New Roman" w:hAnsi="Times New Roman"/>
            <w:sz w:val="14"/>
            <w:szCs w:val="14"/>
            <w:u w:val="single" w:color="auto"/>
            <w:color w:val="0000EE"/>
          </w:rPr>
          <w:t xml:space="preserve">July 1, 2026 </w:t>
        </w:r>
      </w:hyperlink>
      <w:hyperlink r:id="rId54">
        <w:r>
          <w:rPr>
            <w:rFonts w:ascii="Times New Roman" w:cs="Times New Roman" w:eastAsia="Times New Roman" w:hAnsi="Times New Roman"/>
            <w:sz w:val="14"/>
            <w:szCs w:val="14"/>
            <w:color w:val="000000"/>
          </w:rPr>
          <w:t>(Item 5.02 only),</w:t>
        </w:r>
        <w:r>
          <w:rPr>
            <w:rFonts w:ascii="Times New Roman" w:cs="Times New Roman" w:eastAsia="Times New Roman" w:hAnsi="Times New Roman"/>
            <w:sz w:val="14"/>
            <w:szCs w:val="14"/>
            <w:color w:val="0000EE"/>
          </w:rPr>
          <w:t xml:space="preserve"> </w:t>
        </w:r>
      </w:hyperlink>
      <w:hyperlink r:id="rId40">
        <w:r>
          <w:rPr>
            <w:rFonts w:ascii="Times New Roman" w:cs="Times New Roman" w:eastAsia="Times New Roman" w:hAnsi="Times New Roman"/>
            <w:sz w:val="14"/>
            <w:szCs w:val="14"/>
            <w:u w:val="single" w:color="auto"/>
            <w:color w:val="0000EE"/>
          </w:rPr>
          <w:t>August 21, 2026</w:t>
        </w:r>
      </w:hyperlink>
      <w:hyperlink r:id="rId5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1">
        <w:r>
          <w:rPr>
            <w:rFonts w:ascii="Times New Roman" w:cs="Times New Roman" w:eastAsia="Times New Roman" w:hAnsi="Times New Roman"/>
            <w:sz w:val="14"/>
            <w:szCs w:val="14"/>
            <w:u w:val="single" w:color="auto"/>
            <w:color w:val="0000EE"/>
          </w:rPr>
          <w:t>September 3, 2026</w:t>
        </w:r>
      </w:hyperlink>
      <w:hyperlink r:id="rId54">
        <w:r>
          <w:rPr>
            <w:rFonts w:ascii="Times New Roman" w:cs="Times New Roman" w:eastAsia="Times New Roman" w:hAnsi="Times New Roman"/>
            <w:sz w:val="14"/>
            <w:szCs w:val="14"/>
            <w:color w:val="000000"/>
          </w:rPr>
          <w:t>,</w:t>
        </w:r>
      </w:hyperlink>
      <w:r>
        <w:rPr>
          <w:rFonts w:ascii="Times New Roman" w:cs="Times New Roman" w:eastAsia="Times New Roman" w:hAnsi="Times New Roman"/>
          <w:sz w:val="14"/>
          <w:szCs w:val="14"/>
          <w:color w:val="0000EE"/>
        </w:rPr>
        <w:t xml:space="preserve"> </w:t>
      </w:r>
      <w:hyperlink r:id="rId58">
        <w:r>
          <w:rPr>
            <w:rFonts w:ascii="Times New Roman" w:cs="Times New Roman" w:eastAsia="Times New Roman" w:hAnsi="Times New Roman"/>
            <w:sz w:val="14"/>
            <w:szCs w:val="14"/>
            <w:u w:val="single" w:color="auto"/>
            <w:color w:val="0000EE"/>
          </w:rPr>
          <w:t>September 10,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(Item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8.01 only) and</w:t>
      </w:r>
      <w:r>
        <w:rPr>
          <w:rFonts w:ascii="Times New Roman" w:cs="Times New Roman" w:eastAsia="Times New Roman" w:hAnsi="Times New Roman"/>
          <w:sz w:val="14"/>
          <w:szCs w:val="14"/>
          <w:color w:val="0000EE"/>
        </w:rPr>
        <w:t xml:space="preserve"> </w:t>
      </w:r>
      <w:hyperlink r:id="rId59">
        <w:r>
          <w:rPr>
            <w:rFonts w:ascii="Times New Roman" w:cs="Times New Roman" w:eastAsia="Times New Roman" w:hAnsi="Times New Roman"/>
            <w:sz w:val="14"/>
            <w:szCs w:val="14"/>
            <w:u w:val="single" w:color="auto"/>
            <w:color w:val="0000EE"/>
          </w:rPr>
          <w:t>September 10, 2026</w:t>
        </w:r>
      </w:hyperlink>
      <w:r>
        <w:rPr>
          <w:rFonts w:ascii="Times New Roman" w:cs="Times New Roman" w:eastAsia="Times New Roman" w:hAnsi="Times New Roman"/>
          <w:sz w:val="14"/>
          <w:szCs w:val="14"/>
          <w:color w:val="000000"/>
        </w:rPr>
        <w:t>.</w:t>
      </w:r>
    </w:p>
    <w:p>
      <w:pPr>
        <w:spacing w:after="0" w:line="62" w:lineRule="exact"/>
        <w:rPr>
          <w:rFonts w:ascii="Times New Roman" w:cs="Times New Roman" w:eastAsia="Times New Roman" w:hAnsi="Times New Roman"/>
          <w:sz w:val="14"/>
          <w:szCs w:val="14"/>
          <w:color w:val="0000EE"/>
        </w:rPr>
      </w:pPr>
    </w:p>
    <w:p>
      <w:pPr>
        <w:ind w:left="940" w:right="299" w:hanging="333"/>
        <w:spacing w:after="0" w:line="263"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par value $1.00 per share, contained in our Registration Statement on Form 8-B filed on August 20, 1987 (File No. 001-04174), as updated by the description of our common stock filed as </w:t>
      </w:r>
      <w:hyperlink r:id="rId60">
        <w:r>
          <w:rPr>
            <w:rFonts w:ascii="Times New Roman" w:cs="Times New Roman" w:eastAsia="Times New Roman" w:hAnsi="Times New Roman"/>
            <w:sz w:val="14"/>
            <w:szCs w:val="14"/>
            <w:u w:val="single" w:color="auto"/>
            <w:color w:val="0000EE"/>
          </w:rPr>
          <w:t>Exhibit 4.35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2022, and any amendments or reports filed for the purpose of updating the description of our common stock; and</w:t>
      </w:r>
    </w:p>
    <w:p>
      <w:pPr>
        <w:spacing w:after="0" w:line="67" w:lineRule="exact"/>
        <w:rPr>
          <w:rFonts w:ascii="Times New Roman" w:cs="Times New Roman" w:eastAsia="Times New Roman" w:hAnsi="Times New Roman"/>
          <w:sz w:val="14"/>
          <w:szCs w:val="14"/>
          <w:color w:val="auto"/>
        </w:rPr>
      </w:pPr>
    </w:p>
    <w:p>
      <w:pPr>
        <w:ind w:left="940" w:right="459" w:hanging="333"/>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Series B Preferred Stock contained in our Current Report on </w:t>
      </w:r>
      <w:hyperlink r:id="rId61">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July 17, 2018 (File No. 001-04174).</w:t>
      </w:r>
    </w:p>
    <w:p>
      <w:pPr>
        <w:spacing w:after="0" w:line="125" w:lineRule="exact"/>
        <w:rPr>
          <w:rFonts w:ascii="Times New Roman" w:cs="Times New Roman" w:eastAsia="Times New Roman" w:hAnsi="Times New Roman"/>
          <w:sz w:val="14"/>
          <w:szCs w:val="14"/>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documents contain important information about us, our financial condition and our results of operations.</w:t>
      </w:r>
    </w:p>
    <w:p>
      <w:pPr>
        <w:spacing w:after="0" w:line="178" w:lineRule="exact"/>
        <w:rPr>
          <w:rFonts w:ascii="Times New Roman" w:cs="Times New Roman" w:eastAsia="Times New Roman" w:hAnsi="Times New Roman"/>
          <w:sz w:val="14"/>
          <w:szCs w:val="14"/>
          <w:color w:val="auto"/>
        </w:rPr>
      </w:pPr>
    </w:p>
    <w:p>
      <w:pPr>
        <w:ind w:left="180" w:right="219" w:firstLine="346"/>
        <w:spacing w:after="0" w:line="263" w:lineRule="auto"/>
        <w:rPr>
          <w:sz w:val="20"/>
          <w:szCs w:val="20"/>
          <w:color w:val="auto"/>
        </w:rPr>
      </w:pPr>
      <w:r>
        <w:rPr>
          <w:rFonts w:ascii="Times New Roman" w:cs="Times New Roman" w:eastAsia="Times New Roman" w:hAnsi="Times New Roman"/>
          <w:sz w:val="14"/>
          <w:szCs w:val="14"/>
          <w:color w:val="auto"/>
        </w:rPr>
        <w:t>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w:t>
      </w:r>
    </w:p>
    <w:p>
      <w:pPr>
        <w:spacing w:after="0" w:line="8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SPECIAL NOTE REGARDING FORWARD-LOOKING STATEMENTS</w:t>
      </w:r>
    </w:p>
    <w:p>
      <w:pPr>
        <w:spacing w:after="0" w:line="180" w:lineRule="exact"/>
        <w:rPr>
          <w:sz w:val="20"/>
          <w:szCs w:val="20"/>
          <w:color w:val="auto"/>
        </w:rPr>
      </w:pPr>
    </w:p>
    <w:p>
      <w:pPr>
        <w:ind w:left="180" w:right="279" w:firstLine="346"/>
        <w:spacing w:after="0" w:line="261" w:lineRule="auto"/>
        <w:rPr>
          <w:sz w:val="20"/>
          <w:szCs w:val="20"/>
          <w:color w:val="auto"/>
        </w:rPr>
      </w:pPr>
      <w:r>
        <w:rPr>
          <w:rFonts w:ascii="Times New Roman" w:cs="Times New Roman" w:eastAsia="Times New Roman" w:hAnsi="Times New Roman"/>
          <w:sz w:val="14"/>
          <w:szCs w:val="14"/>
          <w:color w:val="auto"/>
        </w:rPr>
        <w:t>Certain matters contained or incorporated by reference in this prospectus and the applicable prospectus supplement include “forward-looking statements” within the meaning of Section 27A of the Securities Act of 1933, as amended (the “Securities Act”), and Section 21E of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w:t>
      </w:r>
    </w:p>
    <w:p>
      <w:pPr>
        <w:spacing w:after="0" w:line="141" w:lineRule="exact"/>
        <w:rPr>
          <w:sz w:val="20"/>
          <w:szCs w:val="20"/>
          <w:color w:val="auto"/>
        </w:rPr>
      </w:pPr>
    </w:p>
    <w:p>
      <w:pPr>
        <w:ind w:left="180" w:right="239" w:firstLine="346"/>
        <w:spacing w:after="0" w:line="259" w:lineRule="auto"/>
        <w:rPr>
          <w:sz w:val="20"/>
          <w:szCs w:val="20"/>
          <w:color w:val="auto"/>
        </w:rPr>
      </w:pPr>
      <w:r>
        <w:rPr>
          <w:rFonts w:ascii="Times New Roman" w:cs="Times New Roman" w:eastAsia="Times New Roman" w:hAnsi="Times New Roman"/>
          <w:sz w:val="14"/>
          <w:szCs w:val="14"/>
          <w:color w:val="auto"/>
        </w:rPr>
        <w:t>All statements, other than statements of historical facts, included in this prospectus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165" w:lineRule="exact"/>
        <w:rPr>
          <w:sz w:val="20"/>
          <w:szCs w:val="20"/>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dividends to Williams stockholders;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credit ratings of Williams and its affiliates;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and nature of future capital expenditures;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and growth of our business and operations;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in-service dates for capital projects;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condition and liquidity;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strategy;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operations or results of operations;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case filings;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of certain business components;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natural gas liquids, and crude oil prices, supply, and demand;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services.</w:t>
      </w:r>
    </w:p>
    <w:p>
      <w:pPr>
        <w:spacing w:after="0" w:line="178" w:lineRule="exact"/>
        <w:rPr>
          <w:sz w:val="20"/>
          <w:szCs w:val="20"/>
          <w:color w:val="auto"/>
        </w:rPr>
      </w:pPr>
    </w:p>
    <w:p>
      <w:pPr>
        <w:ind w:left="180" w:right="279" w:firstLine="346"/>
        <w:spacing w:after="0" w:line="263" w:lineRule="auto"/>
        <w:rPr>
          <w:sz w:val="20"/>
          <w:szCs w:val="20"/>
          <w:color w:val="auto"/>
        </w:rPr>
      </w:pPr>
      <w:r>
        <w:rPr>
          <w:rFonts w:ascii="Times New Roman" w:cs="Times New Roman" w:eastAsia="Times New Roman" w:hAnsi="Times New Roman"/>
          <w:sz w:val="14"/>
          <w:szCs w:val="14"/>
          <w:color w:val="auto"/>
        </w:rPr>
        <w:t>Forward-looking statements are based on numerous assumptions, uncertainties, and risks that could cause future events or results to be materially different from those stated or implied in this prospectus or in the documents incorporated herein by reference. Many of the factors that will determine these results are beyond our ability to control or predict. Specific factors that could cause actual results to differ from results contemplated by the forward-looking statements include, among others, the following:</w:t>
      </w:r>
    </w:p>
    <w:p>
      <w:pPr>
        <w:spacing w:after="0" w:line="163" w:lineRule="exact"/>
        <w:rPr>
          <w:sz w:val="20"/>
          <w:szCs w:val="20"/>
          <w:color w:val="auto"/>
        </w:rPr>
      </w:pPr>
    </w:p>
    <w:p>
      <w:pPr>
        <w:ind w:left="940" w:hanging="333"/>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supplies, market demand, and volatility of prices;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and rate of adoption of alternative energy sources;</w:t>
      </w:r>
    </w:p>
    <w:p>
      <w:pPr>
        <w:spacing w:after="0" w:line="103" w:lineRule="exact"/>
        <w:rPr>
          <w:rFonts w:ascii="Times New Roman" w:cs="Times New Roman" w:eastAsia="Times New Roman" w:hAnsi="Times New Roman"/>
          <w:sz w:val="14"/>
          <w:szCs w:val="14"/>
          <w:color w:val="auto"/>
        </w:rPr>
      </w:pPr>
    </w:p>
    <w:p>
      <w:pPr>
        <w:ind w:left="940" w:right="439" w:hanging="333"/>
        <w:spacing w:after="0" w:line="269" w:lineRule="auto"/>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w:t>
      </w:r>
    </w:p>
    <w:p>
      <w:pPr>
        <w:spacing w:after="0" w:line="62"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credit risk of our customers and counterparties;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24" w:name="page25"/>
    <w:bookmarkEnd w:id="24"/>
    <w:p>
      <w:pPr>
        <w:ind w:left="940" w:right="379" w:hanging="333"/>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our ability to acquire new businesses and assets and successfully integrate those operations and assets into existing businesses as well as successfully expand our facilities, and to consummate asset sales on acceptable terms;</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successfully identify, evaluate, and timely execute our capital projects and investment opportunities;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and financial resources of our competitors and the effects of competition;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distributions from and capital requirements of our investments and joint ventures in which we participate;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able to effectively execute our financing plan;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and changing expectations from stakeholders with respect to our environmental, social, and governance practices;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physical and financial risks associated with climate change;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operational and developmental hazards and unforeseen interruptions;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resulting from outbreaks or other public health crises;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weather and natural phenomena, including climate conditions and physical damage to our facilities;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cybersecurity incidents, and related disruptions;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costs and funding obligations for defined benefit pension plans and other postretirement benefit plans;</w:t>
      </w:r>
    </w:p>
    <w:p>
      <w:pPr>
        <w:spacing w:after="0" w:line="103" w:lineRule="exact"/>
        <w:rPr>
          <w:rFonts w:ascii="Times New Roman" w:cs="Times New Roman" w:eastAsia="Times New Roman" w:hAnsi="Times New Roman"/>
          <w:sz w:val="14"/>
          <w:szCs w:val="14"/>
          <w:color w:val="auto"/>
        </w:rPr>
      </w:pPr>
    </w:p>
    <w:p>
      <w:pPr>
        <w:ind w:left="940" w:right="539" w:hanging="333"/>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maintenance and construction costs, as well as our ability to obtain sufficient construction-related inputs, including skilled labor;</w:t>
      </w:r>
    </w:p>
    <w:p>
      <w:pPr>
        <w:spacing w:after="0" w:line="50" w:lineRule="exact"/>
        <w:rPr>
          <w:rFonts w:ascii="Times New Roman" w:cs="Times New Roman" w:eastAsia="Times New Roman" w:hAnsi="Times New Roman"/>
          <w:sz w:val="14"/>
          <w:szCs w:val="14"/>
          <w:color w:val="auto"/>
        </w:rPr>
      </w:pPr>
    </w:p>
    <w:p>
      <w:pPr>
        <w:ind w:left="940" w:right="219" w:hanging="333"/>
        <w:spacing w:after="0" w:line="269"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rates, tariffs on foreign-made materials and goods (including steel and steel pipes) necessary to conduct our business, and general economic conditions (including future disruptions and volatility in the global credit markets and the impact of these events on customers and suppliers);</w:t>
      </w:r>
    </w:p>
    <w:p>
      <w:pPr>
        <w:spacing w:after="0" w:line="62" w:lineRule="exact"/>
        <w:rPr>
          <w:rFonts w:ascii="Times New Roman" w:cs="Times New Roman" w:eastAsia="Times New Roman" w:hAnsi="Times New Roman"/>
          <w:sz w:val="14"/>
          <w:szCs w:val="14"/>
          <w:color w:val="auto"/>
        </w:rPr>
      </w:pPr>
    </w:p>
    <w:p>
      <w:pPr>
        <w:ind w:left="940" w:right="739" w:hanging="333"/>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financing, including restrictions stemming from debt agreements, future changes in credit ratings as determined by nationally recognized credit rating agencies, and the availability and cost of capital;</w:t>
      </w:r>
    </w:p>
    <w:p>
      <w:pPr>
        <w:spacing w:after="0" w:line="50" w:lineRule="exact"/>
        <w:rPr>
          <w:rFonts w:ascii="Times New Roman" w:cs="Times New Roman" w:eastAsia="Times New Roman" w:hAnsi="Times New Roman"/>
          <w:sz w:val="14"/>
          <w:szCs w:val="14"/>
          <w:color w:val="auto"/>
        </w:rPr>
      </w:pPr>
    </w:p>
    <w:p>
      <w:pPr>
        <w:ind w:left="940" w:right="259" w:hanging="333"/>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members of the Organization of Petroleum Exporting Countries (“OPEC”) and other oil exporting nations to agree to and maintain oil price and production controls and the impact on domestic production;</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current geopolitical situation;</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governmental administration and policies;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pay current and expected levels of dividends;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described in our filings with the SEC.</w:t>
      </w:r>
    </w:p>
    <w:p>
      <w:pPr>
        <w:spacing w:after="0" w:line="178" w:lineRule="exact"/>
        <w:rPr>
          <w:sz w:val="20"/>
          <w:szCs w:val="20"/>
          <w:color w:val="auto"/>
        </w:rPr>
      </w:pPr>
    </w:p>
    <w:p>
      <w:pPr>
        <w:ind w:left="180" w:right="439" w:firstLine="346"/>
        <w:spacing w:after="0" w:line="269" w:lineRule="auto"/>
        <w:rPr>
          <w:sz w:val="20"/>
          <w:szCs w:val="20"/>
          <w:color w:val="auto"/>
        </w:rPr>
      </w:pPr>
      <w:r>
        <w:rPr>
          <w:rFonts w:ascii="Times New Roman" w:cs="Times New Roman" w:eastAsia="Times New Roman" w:hAnsi="Times New Roman"/>
          <w:sz w:val="14"/>
          <w:szCs w:val="14"/>
          <w:color w:val="auto"/>
        </w:rPr>
        <w:t>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w:t>
      </w:r>
    </w:p>
    <w:p>
      <w:pPr>
        <w:spacing w:after="0" w:line="136" w:lineRule="exact"/>
        <w:rPr>
          <w:sz w:val="20"/>
          <w:szCs w:val="20"/>
          <w:color w:val="auto"/>
        </w:rPr>
      </w:pPr>
    </w:p>
    <w:p>
      <w:pPr>
        <w:ind w:left="180" w:right="439" w:firstLine="346"/>
        <w:spacing w:after="0" w:line="286" w:lineRule="auto"/>
        <w:rPr>
          <w:sz w:val="20"/>
          <w:szCs w:val="20"/>
          <w:color w:val="auto"/>
        </w:rPr>
      </w:pPr>
      <w:r>
        <w:rPr>
          <w:rFonts w:ascii="Times New Roman" w:cs="Times New Roman" w:eastAsia="Times New Roman" w:hAnsi="Times New Roman"/>
          <w:sz w:val="14"/>
          <w:szCs w:val="14"/>
          <w:color w:val="auto"/>
        </w:rPr>
        <w:t>In addition to causing our actual results to differ, the factors listed above and described in the documents incorporated by reference herein may cause our intentions to change from those statements of intention set forth</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25" w:name="page26"/>
    <w:bookmarkEnd w:id="25"/>
    <w:p>
      <w:pPr>
        <w:ind w:left="180" w:right="35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w:t>
      </w:r>
    </w:p>
    <w:p>
      <w:pPr>
        <w:spacing w:after="0" w:line="125" w:lineRule="exact"/>
        <w:rPr>
          <w:sz w:val="20"/>
          <w:szCs w:val="20"/>
          <w:color w:val="auto"/>
        </w:rPr>
      </w:pPr>
    </w:p>
    <w:p>
      <w:pPr>
        <w:ind w:left="180" w:right="299" w:firstLine="346"/>
        <w:spacing w:after="0" w:line="263" w:lineRule="auto"/>
        <w:rPr>
          <w:sz w:val="20"/>
          <w:szCs w:val="20"/>
          <w:color w:val="auto"/>
        </w:rPr>
      </w:pPr>
      <w:r>
        <w:rPr>
          <w:rFonts w:ascii="Times New Roman" w:cs="Times New Roman" w:eastAsia="Times New Roman" w:hAnsi="Times New Roman"/>
          <w:sz w:val="14"/>
          <w:szCs w:val="14"/>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80" w:lineRule="exact"/>
        <w:rPr>
          <w:sz w:val="20"/>
          <w:szCs w:val="20"/>
          <w:color w:val="auto"/>
        </w:rPr>
      </w:pPr>
    </w:p>
    <w:p>
      <w:pPr>
        <w:ind w:left="180" w:right="459" w:firstLine="346"/>
        <w:spacing w:after="0" w:line="286" w:lineRule="auto"/>
        <w:rPr>
          <w:sz w:val="20"/>
          <w:szCs w:val="20"/>
          <w:color w:val="auto"/>
        </w:rPr>
      </w:pPr>
      <w:r>
        <w:rPr>
          <w:rFonts w:ascii="Times New Roman" w:cs="Times New Roman" w:eastAsia="Times New Roman" w:hAnsi="Times New Roman"/>
          <w:sz w:val="14"/>
          <w:szCs w:val="14"/>
          <w:color w:val="auto"/>
        </w:rPr>
        <w:t>We intend to use the net proceeds we receive from the sale of securities by us as set forth in the applicable prospectus supplement. We will not receive any proceeds from the sale of securities by selling securityholders.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DEBT SECURITIES</w:t>
      </w:r>
    </w:p>
    <w:p>
      <w:pPr>
        <w:spacing w:after="0" w:line="180" w:lineRule="exact"/>
        <w:rPr>
          <w:sz w:val="20"/>
          <w:szCs w:val="20"/>
          <w:color w:val="auto"/>
        </w:rPr>
      </w:pPr>
    </w:p>
    <w:p>
      <w:pPr>
        <w:ind w:left="180" w:right="199" w:firstLine="346"/>
        <w:spacing w:after="0" w:line="269" w:lineRule="auto"/>
        <w:rPr>
          <w:sz w:val="20"/>
          <w:szCs w:val="20"/>
          <w:color w:val="auto"/>
        </w:rPr>
      </w:pPr>
      <w:r>
        <w:rPr>
          <w:rFonts w:ascii="Times New Roman" w:cs="Times New Roman" w:eastAsia="Times New Roman" w:hAnsi="Times New Roman"/>
          <w:sz w:val="14"/>
          <w:szCs w:val="14"/>
          <w:color w:val="auto"/>
        </w:rPr>
        <w:t>The following sets forth certain general terms and provisions of the base indenture under which the debt securities are to be issued, unless otherwise specified in a prospectus supplement. The particular terms of the debt securities to be sold will be set forth in a prospectus supplement relating to such debt securities.</w:t>
      </w:r>
    </w:p>
    <w:p>
      <w:pPr>
        <w:spacing w:after="0" w:line="136" w:lineRule="exact"/>
        <w:rPr>
          <w:sz w:val="20"/>
          <w:szCs w:val="20"/>
          <w:color w:val="auto"/>
        </w:rPr>
      </w:pPr>
    </w:p>
    <w:p>
      <w:pPr>
        <w:ind w:left="180" w:right="259" w:firstLine="346"/>
        <w:spacing w:after="0" w:line="257" w:lineRule="auto"/>
        <w:rPr>
          <w:sz w:val="20"/>
          <w:szCs w:val="20"/>
          <w:color w:val="auto"/>
        </w:rPr>
      </w:pPr>
      <w:r>
        <w:rPr>
          <w:rFonts w:ascii="Times New Roman" w:cs="Times New Roman" w:eastAsia="Times New Roman" w:hAnsi="Times New Roman"/>
          <w:sz w:val="14"/>
          <w:szCs w:val="14"/>
          <w:color w:val="auto"/>
        </w:rPr>
        <w:t>The debt securities will represent unsecured general obligations of the Company, unless otherwise provided in the prospectus supplement. As indicated in the applicable prospectus supplement, the debt securities will either be senior debt or subordinated debt. Unless otherwise specified in the applicable prospectus supplement, the debt securities will be issued under an indenture, dated as of December 18, 2012, between us and The Bank of New York Mellon Trust Company, N.A. that has been filed as an exhibit to the registration statement of which this prospectus is a part, subject to such amendments or supplemental indentures as are adopted from time to time. The following summary of certain provisions of that indenture does not purport to be complete and is subject to, and qualified in its entirety by, reference to all the provisions of that indenture, including the definitions therein of certain terms. Wherever particular sections or defined terms of the indenture are referred to, it is intended that such sections or defined terms shall be incorporated herein by reference.</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80" w:right="419" w:firstLine="346"/>
        <w:spacing w:after="0" w:line="286"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The applicable prospectus supplement with respect to any debt securities will set forth the following terms of the debt securities offered pursuant thereto:</w:t>
      </w:r>
    </w:p>
    <w:p>
      <w:pPr>
        <w:spacing w:after="0" w:line="146" w:lineRule="exact"/>
        <w:rPr>
          <w:sz w:val="20"/>
          <w:szCs w:val="20"/>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series of such debt securities;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such debt securities of such series;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in global or other form;</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and method or methods by which principal and any premium on such debt securities is payable;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(or method by which such rate will be determined), if any;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any such interest will be payable and the method of payment;</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any additional amounts are payable with respect to such debt securities;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if any, to holders of such debt securities regarding the determination of interest on a floating rate debt security;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on such debt securities shall be calculated, if other than that of a 360 day year of twelve 30-day months;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interest or additional amounts, if any, on such debt securities will be payable;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or the terms of any repurchase at the option of the holder of the debt securities;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such debt securities, if other than $1,000 and integral multiples thereof;</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rights of the holders of such debt securities to convert the debt securities into other securities or property;</w:t>
      </w:r>
    </w:p>
    <w:p>
      <w:pPr>
        <w:spacing w:after="0" w:line="103" w:lineRule="exact"/>
        <w:rPr>
          <w:rFonts w:ascii="Times New Roman" w:cs="Times New Roman" w:eastAsia="Times New Roman" w:hAnsi="Times New Roman"/>
          <w:sz w:val="14"/>
          <w:szCs w:val="14"/>
          <w:color w:val="auto"/>
        </w:rPr>
      </w:pPr>
    </w:p>
    <w:p>
      <w:pPr>
        <w:ind w:left="940" w:right="219" w:hanging="333"/>
        <w:spacing w:after="0" w:line="286" w:lineRule="auto"/>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payment of principal or any premium, interest or additional amounts on such debt securities will be payable in a currency other than U.S. dollars;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28" w:name="page29"/>
    <w:bookmarkEnd w:id="28"/>
    <w:p>
      <w:pPr>
        <w:ind w:left="940" w:right="199" w:hanging="333"/>
        <w:spacing w:after="0" w:line="286" w:lineRule="auto"/>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terms, if any, by which the amount of payments of principal or any premium, interest or additional amounts on such debt securities may be determined by reference to an index, formula, financial or economic measure or other methods;</w:t>
      </w:r>
    </w:p>
    <w:p>
      <w:pPr>
        <w:spacing w:after="0" w:line="50" w:lineRule="exact"/>
        <w:rPr>
          <w:rFonts w:ascii="Times New Roman" w:cs="Times New Roman" w:eastAsia="Times New Roman" w:hAnsi="Times New Roman"/>
          <w:sz w:val="14"/>
          <w:szCs w:val="14"/>
          <w:color w:val="auto"/>
        </w:rPr>
      </w:pPr>
    </w:p>
    <w:p>
      <w:pPr>
        <w:ind w:left="940" w:right="279" w:hanging="333"/>
        <w:spacing w:after="0" w:line="286" w:lineRule="auto"/>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such debt securities that will be payable upon declaration of acceleration of the maturity thereof or provable in bankruptcy;</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or covenants in addition to or in lieu of those described herein and remedies therefor;</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subject to defeasance or covenant defeasance;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such debt securities are to be issuable upon the exercise of warrants;</w:t>
      </w:r>
    </w:p>
    <w:p>
      <w:pPr>
        <w:spacing w:after="0" w:line="103" w:lineRule="exact"/>
        <w:rPr>
          <w:rFonts w:ascii="Times New Roman" w:cs="Times New Roman" w:eastAsia="Times New Roman" w:hAnsi="Times New Roman"/>
          <w:sz w:val="14"/>
          <w:szCs w:val="14"/>
          <w:color w:val="auto"/>
        </w:rPr>
      </w:pPr>
    </w:p>
    <w:p>
      <w:pPr>
        <w:ind w:left="940" w:right="379" w:hanging="333"/>
        <w:spacing w:after="0" w:line="286" w:lineRule="auto"/>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other than The Bank of New York Mellon Trust Company, N.A., and any authenticating or paying agents, transfer agents or registrars or any other agents with respect to such debt securities;</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such debt securities will be subordinate to other debt of the Company;</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guaranteed and the terms thereof;</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secured by collateral and the terms of such security; and</w:t>
      </w:r>
    </w:p>
    <w:p>
      <w:pPr>
        <w:spacing w:after="0" w:line="103" w:lineRule="exact"/>
        <w:rPr>
          <w:rFonts w:ascii="Times New Roman" w:cs="Times New Roman" w:eastAsia="Times New Roman" w:hAnsi="Times New Roman"/>
          <w:sz w:val="14"/>
          <w:szCs w:val="14"/>
          <w:color w:val="auto"/>
        </w:rPr>
      </w:pPr>
    </w:p>
    <w:p>
      <w:pPr>
        <w:ind w:left="940" w:right="299" w:hanging="333"/>
        <w:spacing w:after="0" w:line="286" w:lineRule="auto"/>
        <w:tabs>
          <w:tab w:leader="none" w:pos="9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such debt securities and any other deletions from or additions to or modifications of the indenture with respect to such debt securities.</w:t>
      </w:r>
    </w:p>
    <w:p>
      <w:pPr>
        <w:spacing w:after="0" w:line="125" w:lineRule="exact"/>
        <w:rPr>
          <w:sz w:val="20"/>
          <w:szCs w:val="20"/>
          <w:color w:val="auto"/>
        </w:rPr>
      </w:pPr>
    </w:p>
    <w:p>
      <w:pPr>
        <w:ind w:left="180" w:right="319" w:firstLine="346"/>
        <w:spacing w:after="0" w:line="269" w:lineRule="auto"/>
        <w:rPr>
          <w:sz w:val="20"/>
          <w:szCs w:val="20"/>
          <w:color w:val="auto"/>
        </w:rPr>
      </w:pPr>
      <w:r>
        <w:rPr>
          <w:rFonts w:ascii="Times New Roman" w:cs="Times New Roman" w:eastAsia="Times New Roman" w:hAnsi="Times New Roman"/>
          <w:sz w:val="14"/>
          <w:szCs w:val="14"/>
          <w:color w:val="auto"/>
        </w:rPr>
        <w:t>Debt securities may be presented for exchange, conversion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w:t>
      </w:r>
    </w:p>
    <w:p>
      <w:pPr>
        <w:spacing w:after="0" w:line="136" w:lineRule="exact"/>
        <w:rPr>
          <w:sz w:val="20"/>
          <w:szCs w:val="20"/>
          <w:color w:val="auto"/>
        </w:rPr>
      </w:pPr>
    </w:p>
    <w:p>
      <w:pPr>
        <w:ind w:left="180" w:right="359" w:firstLine="346"/>
        <w:spacing w:after="0" w:line="269" w:lineRule="auto"/>
        <w:rPr>
          <w:sz w:val="20"/>
          <w:szCs w:val="20"/>
          <w:color w:val="auto"/>
        </w:rPr>
      </w:pPr>
      <w:r>
        <w:rPr>
          <w:rFonts w:ascii="Times New Roman" w:cs="Times New Roman" w:eastAsia="Times New Roman" w:hAnsi="Times New Roman"/>
          <w:sz w:val="14"/>
          <w:szCs w:val="14"/>
          <w:color w:val="auto"/>
        </w:rPr>
        <w:t>The indenture does not contain any covenant or other specific provision affording protection to holders of the debt securities in the event of a highly leveraged transaction or a change in control of the Company, except to the limited extent described below under “—Consolidation, Merger and Sale of Assets.”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5" w:lineRule="exact"/>
        <w:rPr>
          <w:sz w:val="20"/>
          <w:szCs w:val="20"/>
          <w:color w:val="auto"/>
        </w:rPr>
      </w:pPr>
    </w:p>
    <w:p>
      <w:pPr>
        <w:ind w:left="180" w:right="199" w:firstLine="346"/>
        <w:spacing w:after="0" w:line="259" w:lineRule="auto"/>
        <w:rPr>
          <w:sz w:val="20"/>
          <w:szCs w:val="20"/>
          <w:color w:val="auto"/>
        </w:rPr>
      </w:pPr>
      <w:r>
        <w:rPr>
          <w:rFonts w:ascii="Times New Roman" w:cs="Times New Roman" w:eastAsia="Times New Roman" w:hAnsi="Times New Roman"/>
          <w:sz w:val="14"/>
          <w:szCs w:val="14"/>
          <w:color w:val="auto"/>
        </w:rPr>
        <w:t>The indenture provides that supplements to the indenture and the applicable supplemental indentures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w:t>
      </w:r>
    </w:p>
    <w:p>
      <w:pPr>
        <w:spacing w:after="0" w:line="70" w:lineRule="exact"/>
        <w:rPr>
          <w:sz w:val="20"/>
          <w:szCs w:val="20"/>
          <w:color w:val="auto"/>
        </w:rPr>
      </w:pPr>
    </w:p>
    <w:p>
      <w:pPr>
        <w:ind w:left="940" w:right="299" w:hanging="418"/>
        <w:spacing w:after="0" w:line="254" w:lineRule="auto"/>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premium or installment of interest on or any additional amounts with respect to, any such debt securities, or reduce the principal amount thereof, or reduce the rate or extend the time of payment of interest or any additional amounts thereon, or reduce any premium payable on redemption thereof or otherwise,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the currency in which the principal of, or any premium, interest or additional amounts with respect to any debt security is payable, or impair the right of any holder of debt securities to institute suit for the payment after such payment is due (except a rescission and annulment of acceleration with respect to a series of debt securities by the holders of at least a majority in aggregate principal amount of the then</w:t>
      </w:r>
    </w:p>
    <w:p>
      <w:pPr>
        <w:spacing w:after="0" w:line="5" w:lineRule="exact"/>
        <w:rPr>
          <w:rFonts w:ascii="Times New Roman" w:cs="Times New Roman" w:eastAsia="Times New Roman" w:hAnsi="Times New Roman"/>
          <w:sz w:val="14"/>
          <w:szCs w:val="14"/>
          <w:color w:val="auto"/>
        </w:rPr>
      </w:pPr>
    </w:p>
    <w:p>
      <w:pPr>
        <w:ind w:left="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debt securities of such series and a waiver of the payment default that resulted from such acceleration);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29" w:name="page30"/>
    <w:bookmarkEnd w:id="29"/>
    <w:p>
      <w:pPr>
        <w:ind w:left="940" w:right="279" w:hanging="418"/>
        <w:spacing w:after="0" w:line="286"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reduce the percentage in principal amount of the outstanding debt securities of any series, the consent of the holders of which is required for any such supplemental indenture, or the consent of whose holders is required for any waiver or reduce the quorum required for voting;</w:t>
      </w:r>
    </w:p>
    <w:p>
      <w:pPr>
        <w:spacing w:after="0" w:line="50" w:lineRule="exact"/>
        <w:rPr>
          <w:rFonts w:ascii="Times New Roman" w:cs="Times New Roman" w:eastAsia="Times New Roman" w:hAnsi="Times New Roman"/>
          <w:sz w:val="14"/>
          <w:szCs w:val="14"/>
          <w:color w:val="auto"/>
        </w:rPr>
      </w:pPr>
    </w:p>
    <w:p>
      <w:pPr>
        <w:ind w:left="940" w:right="279" w:hanging="418"/>
        <w:spacing w:after="0" w:line="269"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the sections of such indenture relating to supplemental indentures with the consent of the holders, waivers of past defaults or securities redeemed in part, except to increase any percentage set forth in such sections or to provide that certain other provisions of such indenture cannot be modified or waived without the consent of each holder affected thereby; or</w:t>
      </w:r>
    </w:p>
    <w:p>
      <w:pPr>
        <w:spacing w:after="0" w:line="62" w:lineRule="exact"/>
        <w:rPr>
          <w:rFonts w:ascii="Times New Roman" w:cs="Times New Roman" w:eastAsia="Times New Roman" w:hAnsi="Times New Roman"/>
          <w:sz w:val="14"/>
          <w:szCs w:val="14"/>
          <w:color w:val="auto"/>
        </w:rPr>
      </w:pPr>
    </w:p>
    <w:p>
      <w:pPr>
        <w:ind w:left="940" w:right="319" w:hanging="418"/>
        <w:spacing w:after="0" w:line="286"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adversely affects the right to convert or exchange any security into or for common stock or other securities, cash or other property in accordance with the terms of the applicable debt security.</w:t>
      </w:r>
    </w:p>
    <w:p>
      <w:pPr>
        <w:spacing w:after="0" w:line="125" w:lineRule="exact"/>
        <w:rPr>
          <w:sz w:val="20"/>
          <w:szCs w:val="20"/>
          <w:color w:val="auto"/>
        </w:rPr>
      </w:pPr>
    </w:p>
    <w:p>
      <w:pPr>
        <w:ind w:left="180" w:right="199" w:firstLine="346"/>
        <w:spacing w:after="0" w:line="266" w:lineRule="auto"/>
        <w:rPr>
          <w:sz w:val="20"/>
          <w:szCs w:val="20"/>
          <w:color w:val="auto"/>
        </w:rPr>
      </w:pPr>
      <w:r>
        <w:rPr>
          <w:rFonts w:ascii="Times New Roman" w:cs="Times New Roman" w:eastAsia="Times New Roman" w:hAnsi="Times New Roman"/>
          <w:sz w:val="14"/>
          <w:szCs w:val="14"/>
          <w:color w:val="auto"/>
        </w:rPr>
        <w:t>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w:t>
      </w:r>
    </w:p>
    <w:p>
      <w:pPr>
        <w:spacing w:after="0" w:line="312" w:lineRule="exact"/>
        <w:rPr>
          <w:sz w:val="20"/>
          <w:szCs w:val="20"/>
          <w:color w:val="auto"/>
        </w:rPr>
      </w:pPr>
    </w:p>
    <w:p>
      <w:pPr>
        <w:ind w:left="180" w:right="279" w:firstLine="346"/>
        <w:spacing w:after="0" w:line="286" w:lineRule="auto"/>
        <w:rPr>
          <w:sz w:val="20"/>
          <w:szCs w:val="20"/>
          <w:color w:val="auto"/>
        </w:rPr>
      </w:pPr>
      <w:r>
        <w:rPr>
          <w:rFonts w:ascii="Times New Roman" w:cs="Times New Roman" w:eastAsia="Times New Roman" w:hAnsi="Times New Roman"/>
          <w:sz w:val="14"/>
          <w:szCs w:val="14"/>
          <w:color w:val="auto"/>
        </w:rPr>
        <w:t>The indenture provides that the Company and the applicable trustee may, without the consent of the holders of any series of debt securities issued thereunder, enter into additional supplemental indentures for one of the following purposes:</w:t>
      </w:r>
    </w:p>
    <w:p>
      <w:pPr>
        <w:spacing w:after="0" w:line="51" w:lineRule="exact"/>
        <w:rPr>
          <w:sz w:val="20"/>
          <w:szCs w:val="20"/>
          <w:color w:val="auto"/>
        </w:rPr>
      </w:pPr>
    </w:p>
    <w:p>
      <w:pPr>
        <w:ind w:left="940" w:right="299" w:hanging="418"/>
        <w:spacing w:after="0" w:line="286"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the Company and the assumption by any such successor of the covenants of the Company in such indenture and in the debt securities issued thereunder;</w:t>
      </w:r>
    </w:p>
    <w:p>
      <w:pPr>
        <w:spacing w:after="0" w:line="50" w:lineRule="exact"/>
        <w:rPr>
          <w:rFonts w:ascii="Times New Roman" w:cs="Times New Roman" w:eastAsia="Times New Roman" w:hAnsi="Times New Roman"/>
          <w:sz w:val="14"/>
          <w:szCs w:val="14"/>
          <w:color w:val="auto"/>
        </w:rPr>
      </w:pPr>
    </w:p>
    <w:p>
      <w:pPr>
        <w:ind w:left="940" w:right="539" w:hanging="418"/>
        <w:spacing w:after="0" w:line="286"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debt securities or to surrender any right or power conferred on the Company pursuant to the indenture;</w:t>
      </w:r>
    </w:p>
    <w:p>
      <w:pPr>
        <w:spacing w:after="0" w:line="50"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and terms of debt securities issued thereunder;</w:t>
      </w:r>
    </w:p>
    <w:p>
      <w:pPr>
        <w:spacing w:after="0" w:line="103" w:lineRule="exact"/>
        <w:rPr>
          <w:rFonts w:ascii="Times New Roman" w:cs="Times New Roman" w:eastAsia="Times New Roman" w:hAnsi="Times New Roman"/>
          <w:sz w:val="14"/>
          <w:szCs w:val="14"/>
          <w:color w:val="auto"/>
        </w:rPr>
      </w:pPr>
    </w:p>
    <w:p>
      <w:pPr>
        <w:ind w:left="940" w:right="259" w:hanging="418"/>
        <w:spacing w:after="0" w:line="286"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a successor trustee under such indenture with respect to one or more series of debt securities issued thereunder or to provide for or facilitate the administration of the trusts under such indenture by more than one trustee;</w:t>
      </w:r>
    </w:p>
    <w:p>
      <w:pPr>
        <w:spacing w:after="0" w:line="50" w:lineRule="exact"/>
        <w:rPr>
          <w:rFonts w:ascii="Times New Roman" w:cs="Times New Roman" w:eastAsia="Times New Roman" w:hAnsi="Times New Roman"/>
          <w:sz w:val="14"/>
          <w:szCs w:val="14"/>
          <w:color w:val="auto"/>
        </w:rPr>
      </w:pPr>
    </w:p>
    <w:p>
      <w:pPr>
        <w:ind w:left="940" w:right="239" w:hanging="418"/>
        <w:spacing w:after="0" w:line="263"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debt securities issued thereunder in any material respect;</w:t>
      </w:r>
    </w:p>
    <w:p>
      <w:pPr>
        <w:spacing w:after="0" w:line="67" w:lineRule="exact"/>
        <w:rPr>
          <w:rFonts w:ascii="Times New Roman" w:cs="Times New Roman" w:eastAsia="Times New Roman" w:hAnsi="Times New Roman"/>
          <w:sz w:val="14"/>
          <w:szCs w:val="14"/>
          <w:color w:val="auto"/>
        </w:rPr>
      </w:pPr>
    </w:p>
    <w:p>
      <w:pPr>
        <w:ind w:left="940" w:right="879" w:hanging="418"/>
        <w:spacing w:after="0" w:line="286"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under the indenture;</w:t>
      </w:r>
    </w:p>
    <w:p>
      <w:pPr>
        <w:spacing w:after="0" w:line="50"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with respect to all or any series of debt securities;</w:t>
      </w:r>
    </w:p>
    <w:p>
      <w:pPr>
        <w:spacing w:after="0" w:line="103" w:lineRule="exact"/>
        <w:rPr>
          <w:rFonts w:ascii="Times New Roman" w:cs="Times New Roman" w:eastAsia="Times New Roman" w:hAnsi="Times New Roman"/>
          <w:sz w:val="14"/>
          <w:szCs w:val="14"/>
          <w:color w:val="auto"/>
        </w:rPr>
      </w:pPr>
    </w:p>
    <w:p>
      <w:pPr>
        <w:ind w:left="940" w:right="279" w:hanging="418"/>
        <w:spacing w:after="0" w:line="269" w:lineRule="auto"/>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w:t>
      </w:r>
    </w:p>
    <w:p>
      <w:pPr>
        <w:spacing w:after="0" w:line="62"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provisions with respect to the conversion or exchange rights of holders of debt securities of any series;</w:t>
      </w:r>
    </w:p>
    <w:p>
      <w:pPr>
        <w:spacing w:after="0" w:line="103"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transfer, assign, mortgage or pledge to the trustee as security for the debt securities of any series any property or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30" w:name="page31"/>
    <w:bookmarkEnd w:id="30"/>
    <w:p>
      <w:pPr>
        <w:ind w:left="940" w:hanging="418"/>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add guarantees in respect of the debt securities of one or more series and to provide for the terms and conditions of release thereof;</w:t>
      </w:r>
    </w:p>
    <w:p>
      <w:pPr>
        <w:spacing w:after="0" w:line="103" w:lineRule="exact"/>
        <w:rPr>
          <w:rFonts w:ascii="Times New Roman" w:cs="Times New Roman" w:eastAsia="Times New Roman" w:hAnsi="Times New Roman"/>
          <w:sz w:val="14"/>
          <w:szCs w:val="14"/>
          <w:color w:val="auto"/>
        </w:rPr>
      </w:pPr>
    </w:p>
    <w:p>
      <w:pPr>
        <w:ind w:left="940" w:right="319" w:hanging="418"/>
        <w:spacing w:after="0" w:line="269" w:lineRule="auto"/>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w:t>
      </w:r>
    </w:p>
    <w:p>
      <w:pPr>
        <w:spacing w:after="0" w:line="62"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certificated securities in addition to or in place of global securities;</w:t>
      </w:r>
    </w:p>
    <w:p>
      <w:pPr>
        <w:spacing w:after="0" w:line="103"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qualify such indenture under the Trust Indenture Act of 1939, as amended;</w:t>
      </w:r>
    </w:p>
    <w:p>
      <w:pPr>
        <w:spacing w:after="0" w:line="103" w:lineRule="exact"/>
        <w:rPr>
          <w:rFonts w:ascii="Times New Roman" w:cs="Times New Roman" w:eastAsia="Times New Roman" w:hAnsi="Times New Roman"/>
          <w:sz w:val="14"/>
          <w:szCs w:val="14"/>
          <w:color w:val="auto"/>
        </w:rPr>
      </w:pPr>
    </w:p>
    <w:p>
      <w:pPr>
        <w:ind w:left="940" w:right="239" w:hanging="418"/>
        <w:spacing w:after="0" w:line="263" w:lineRule="auto"/>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w:t>
      </w:r>
    </w:p>
    <w:p>
      <w:pPr>
        <w:spacing w:after="0" w:line="67" w:lineRule="exact"/>
        <w:rPr>
          <w:rFonts w:ascii="Times New Roman" w:cs="Times New Roman" w:eastAsia="Times New Roman" w:hAnsi="Times New Roman"/>
          <w:sz w:val="14"/>
          <w:szCs w:val="14"/>
          <w:color w:val="auto"/>
        </w:rPr>
      </w:pPr>
    </w:p>
    <w:p>
      <w:pPr>
        <w:ind w:left="940" w:right="619" w:hanging="418"/>
        <w:spacing w:after="0" w:line="286" w:lineRule="auto"/>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does not adversely affect the rights of holders of any series of debt securities issued thereunder in any material respect.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5" w:lineRule="exact"/>
        <w:rPr>
          <w:sz w:val="20"/>
          <w:szCs w:val="20"/>
          <w:color w:val="auto"/>
        </w:rPr>
      </w:pPr>
    </w:p>
    <w:p>
      <w:pPr>
        <w:ind w:left="180" w:right="239" w:firstLine="346"/>
        <w:spacing w:after="0" w:line="286" w:lineRule="auto"/>
        <w:rPr>
          <w:sz w:val="20"/>
          <w:szCs w:val="20"/>
          <w:color w:val="auto"/>
        </w:rPr>
      </w:pPr>
      <w:r>
        <w:rPr>
          <w:rFonts w:ascii="Times New Roman" w:cs="Times New Roman" w:eastAsia="Times New Roman" w:hAnsi="Times New Roman"/>
          <w:sz w:val="14"/>
          <w:szCs w:val="14"/>
          <w:color w:val="auto"/>
        </w:rPr>
        <w:t>Unless otherwise provided in any prospectus supplement, the following will be events of default under the indenture with respect to each series of debt securities issued thereunder:</w:t>
      </w:r>
    </w:p>
    <w:p>
      <w:pPr>
        <w:spacing w:after="0" w:line="51" w:lineRule="exact"/>
        <w:rPr>
          <w:sz w:val="20"/>
          <w:szCs w:val="20"/>
          <w:color w:val="auto"/>
        </w:rPr>
      </w:pPr>
    </w:p>
    <w:p>
      <w:pPr>
        <w:ind w:left="940" w:hanging="418"/>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the payment when due of interest on, or any additional amount in respect of, any series of debt securities;</w:t>
      </w:r>
    </w:p>
    <w:p>
      <w:pPr>
        <w:spacing w:after="0" w:line="103"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or any premium on any series of the debt securities outstanding under the indenture when due;</w:t>
      </w:r>
    </w:p>
    <w:p>
      <w:pPr>
        <w:spacing w:after="0" w:line="103" w:lineRule="exact"/>
        <w:rPr>
          <w:rFonts w:ascii="Times New Roman" w:cs="Times New Roman" w:eastAsia="Times New Roman" w:hAnsi="Times New Roman"/>
          <w:sz w:val="14"/>
          <w:szCs w:val="14"/>
          <w:color w:val="auto"/>
        </w:rPr>
      </w:pPr>
    </w:p>
    <w:p>
      <w:pPr>
        <w:ind w:left="940" w:right="299" w:hanging="418"/>
        <w:spacing w:after="0" w:line="286"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deposit, if any, of any sinking fund payment when and as due by the terms of any debt security of such series, subject to any cure period that may be specified in any debt security of such series;</w:t>
      </w:r>
    </w:p>
    <w:p>
      <w:pPr>
        <w:spacing w:after="0" w:line="50" w:lineRule="exact"/>
        <w:rPr>
          <w:rFonts w:ascii="Times New Roman" w:cs="Times New Roman" w:eastAsia="Times New Roman" w:hAnsi="Times New Roman"/>
          <w:sz w:val="14"/>
          <w:szCs w:val="14"/>
          <w:color w:val="auto"/>
        </w:rPr>
      </w:pPr>
    </w:p>
    <w:p>
      <w:pPr>
        <w:ind w:left="940" w:right="239" w:hanging="418"/>
        <w:spacing w:after="0" w:line="258"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the Company to observe or perform any other of the covenants or agreements with respect to that series contained in such debt securities for 60 days after receipt of written notice from the trustee upon instruction from holders of at least 25% in principal amount of the then outstanding debt securities of such series to comply with any of the other agreements in the indenture and stating that such notice is a “Notice of Default” under the indenture; provided, that if such failure cannot be remedied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generally accepted accounting principles shall not be deemed to be an event of default;</w:t>
      </w:r>
    </w:p>
    <w:p>
      <w:pPr>
        <w:spacing w:after="0" w:line="69"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the Company; and</w:t>
      </w:r>
    </w:p>
    <w:p>
      <w:pPr>
        <w:spacing w:after="0" w:line="103" w:lineRule="exact"/>
        <w:rPr>
          <w:rFonts w:ascii="Times New Roman" w:cs="Times New Roman" w:eastAsia="Times New Roman" w:hAnsi="Times New Roman"/>
          <w:sz w:val="14"/>
          <w:szCs w:val="14"/>
          <w:color w:val="auto"/>
        </w:rPr>
      </w:pPr>
    </w:p>
    <w:p>
      <w:pPr>
        <w:ind w:left="940" w:right="339" w:hanging="418"/>
        <w:spacing w:after="0" w:line="286"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or pursuant to the indenture with respect to a particular series of debt securities, provided that such event of default that results from a change in generally accepted accounting principles shall not be deemed to be an event of default.</w:t>
      </w:r>
    </w:p>
    <w:p>
      <w:pPr>
        <w:spacing w:after="0" w:line="125" w:lineRule="exact"/>
        <w:rPr>
          <w:sz w:val="20"/>
          <w:szCs w:val="20"/>
          <w:color w:val="auto"/>
        </w:rPr>
      </w:pPr>
    </w:p>
    <w:p>
      <w:pPr>
        <w:ind w:left="180" w:right="219" w:firstLine="346"/>
        <w:spacing w:after="0" w:line="263" w:lineRule="auto"/>
        <w:rPr>
          <w:sz w:val="20"/>
          <w:szCs w:val="20"/>
          <w:color w:val="auto"/>
        </w:rPr>
      </w:pPr>
      <w:r>
        <w:rPr>
          <w:rFonts w:ascii="Times New Roman" w:cs="Times New Roman" w:eastAsia="Times New Roman" w:hAnsi="Times New Roman"/>
          <w:sz w:val="14"/>
          <w:szCs w:val="14"/>
          <w:color w:val="auto"/>
        </w:rPr>
        <w:t>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31" w:name="page32"/>
    <w:bookmarkEnd w:id="31"/>
    <w:p>
      <w:pPr>
        <w:ind w:left="180" w:right="3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such series to be due and payable immediately. If an event of default described in (e) above shall occur and be continuing then the principal (or, in the case of discounted debt securities, the amount specified in the terms thereof) of all the debt securities outstanding shall automatically become due and payable, without notice or other action by any holder or the applicable trustee, to the full extent permitted by law. Any past or existing default or event of default with respect to particular series of debt securities and its consequences under such indenture may be waived by the holders of a majority in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w:t>
      </w:r>
    </w:p>
    <w:p>
      <w:pPr>
        <w:spacing w:after="0" w:line="144" w:lineRule="exact"/>
        <w:rPr>
          <w:sz w:val="20"/>
          <w:szCs w:val="20"/>
          <w:color w:val="auto"/>
        </w:rPr>
      </w:pPr>
    </w:p>
    <w:p>
      <w:pPr>
        <w:ind w:left="180" w:right="219" w:firstLine="346"/>
        <w:spacing w:after="0" w:line="263" w:lineRule="auto"/>
        <w:rPr>
          <w:sz w:val="20"/>
          <w:szCs w:val="20"/>
          <w:color w:val="auto"/>
        </w:rPr>
      </w:pPr>
      <w:r>
        <w:rPr>
          <w:rFonts w:ascii="Times New Roman" w:cs="Times New Roman" w:eastAsia="Times New Roman" w:hAnsi="Times New Roman"/>
          <w:sz w:val="14"/>
          <w:szCs w:val="14"/>
          <w:color w:val="auto"/>
        </w:rPr>
        <w:t>The indenture provides that the applicable trustee may withhold notice to the holders of any default with respect to any series of debt securities (except in payment of principal of or interest or premium on, or additional amounts or sinking fund or purchase fund installment in respect of, the debt securities) if the board of directors, the executive committee or a trust committee of directors or responsible officers of the applicable trustee considers it in the interest of holders to do so.</w:t>
      </w:r>
    </w:p>
    <w:p>
      <w:pPr>
        <w:spacing w:after="0" w:line="142" w:lineRule="exact"/>
        <w:rPr>
          <w:sz w:val="20"/>
          <w:szCs w:val="20"/>
          <w:color w:val="auto"/>
        </w:rPr>
      </w:pPr>
    </w:p>
    <w:p>
      <w:pPr>
        <w:ind w:left="180" w:right="199" w:firstLine="346"/>
        <w:spacing w:after="0" w:line="255" w:lineRule="auto"/>
        <w:rPr>
          <w:sz w:val="20"/>
          <w:szCs w:val="20"/>
          <w:color w:val="auto"/>
        </w:rPr>
      </w:pPr>
      <w:r>
        <w:rPr>
          <w:rFonts w:ascii="Times New Roman" w:cs="Times New Roman" w:eastAsia="Times New Roman" w:hAnsi="Times New Roman"/>
          <w:sz w:val="14"/>
          <w:szCs w:val="14"/>
          <w:color w:val="auto"/>
        </w:rPr>
        <w:t>The indenture contains a provision entitling the applicable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applicable trustee or exercising any trust or power conferred upon the applicable trustee with respect to the debt securities of such series; provided, however, that the applicable trustee may decline to follow any such direction if, among other reasons, the applicable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applicable trustee to exercise its powers under such indenture, indemnify the applicable trustee and afford the applicable trustee reasonable opportunity to act. Notwithstanding the foregoing, the holder has an absolute right to receipt of the principal of, premium, if any, and interest or additional amounts when due on the debt securities, to require conversion of debt securities if such indenture provides for convertibility at the option of the holder and to institute suit for the enforcement thereof.</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5" w:lineRule="exact"/>
        <w:rPr>
          <w:sz w:val="20"/>
          <w:szCs w:val="20"/>
          <w:color w:val="auto"/>
        </w:rPr>
      </w:pPr>
    </w:p>
    <w:p>
      <w:pPr>
        <w:ind w:left="180" w:right="279" w:firstLine="346"/>
        <w:spacing w:after="0" w:line="259" w:lineRule="auto"/>
        <w:rPr>
          <w:sz w:val="20"/>
          <w:szCs w:val="20"/>
          <w:color w:val="auto"/>
        </w:rPr>
      </w:pPr>
      <w:r>
        <w:rPr>
          <w:rFonts w:ascii="Times New Roman" w:cs="Times New Roman" w:eastAsia="Times New Roman" w:hAnsi="Times New Roman"/>
          <w:sz w:val="14"/>
          <w:szCs w:val="14"/>
          <w:color w:val="auto"/>
        </w:rPr>
        <w:t>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Payment of Principal, any Premium, Interest or Additional Amounts</w:t>
      </w:r>
    </w:p>
    <w:p>
      <w:pPr>
        <w:spacing w:after="0" w:line="95" w:lineRule="exact"/>
        <w:rPr>
          <w:sz w:val="20"/>
          <w:szCs w:val="20"/>
          <w:color w:val="auto"/>
        </w:rPr>
      </w:pPr>
    </w:p>
    <w:p>
      <w:pPr>
        <w:ind w:left="180" w:right="339" w:firstLine="346"/>
        <w:spacing w:after="0" w:line="286" w:lineRule="auto"/>
        <w:rPr>
          <w:sz w:val="20"/>
          <w:szCs w:val="20"/>
          <w:color w:val="auto"/>
        </w:rPr>
      </w:pPr>
      <w:r>
        <w:rPr>
          <w:rFonts w:ascii="Times New Roman" w:cs="Times New Roman" w:eastAsia="Times New Roman" w:hAnsi="Times New Roman"/>
          <w:sz w:val="14"/>
          <w:szCs w:val="14"/>
          <w:color w:val="auto"/>
        </w:rPr>
        <w:t>The Company will duly and punctually pay the principal of, and premium and interest on or any additional amounts payable with respect to, any debt securities of any series in accordance with their terms.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Maintenance of Office or Agency</w:t>
      </w:r>
    </w:p>
    <w:p>
      <w:pPr>
        <w:spacing w:after="0" w:line="95" w:lineRule="exact"/>
        <w:rPr>
          <w:sz w:val="20"/>
          <w:szCs w:val="20"/>
          <w:color w:val="auto"/>
        </w:rPr>
      </w:pPr>
    </w:p>
    <w:p>
      <w:pPr>
        <w:ind w:left="180" w:right="359" w:firstLine="346"/>
        <w:spacing w:after="0" w:line="286" w:lineRule="auto"/>
        <w:rPr>
          <w:sz w:val="20"/>
          <w:szCs w:val="20"/>
          <w:color w:val="auto"/>
        </w:rPr>
      </w:pPr>
      <w:r>
        <w:rPr>
          <w:rFonts w:ascii="Times New Roman" w:cs="Times New Roman" w:eastAsia="Times New Roman" w:hAnsi="Times New Roman"/>
          <w:sz w:val="14"/>
          <w:szCs w:val="14"/>
          <w:color w:val="auto"/>
        </w:rPr>
        <w:t>The Company will be required to maintain an office or agency in each place of payment for each series of debt securities for notice and demand purposes and for the purposes of presenting or surrendering debt securities for payment, registration of transfer, or exchange.</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Reports</w:t>
      </w:r>
    </w:p>
    <w:p>
      <w:pPr>
        <w:spacing w:after="0" w:line="95" w:lineRule="exact"/>
        <w:rPr>
          <w:sz w:val="20"/>
          <w:szCs w:val="20"/>
          <w:color w:val="auto"/>
        </w:rPr>
      </w:pPr>
    </w:p>
    <w:p>
      <w:pPr>
        <w:jc w:val="both"/>
        <w:ind w:left="180" w:right="259" w:firstLine="346"/>
        <w:spacing w:after="0" w:line="257" w:lineRule="auto"/>
        <w:rPr>
          <w:sz w:val="20"/>
          <w:szCs w:val="20"/>
          <w:color w:val="auto"/>
        </w:rPr>
      </w:pPr>
      <w:r>
        <w:rPr>
          <w:rFonts w:ascii="Times New Roman" w:cs="Times New Roman" w:eastAsia="Times New Roman" w:hAnsi="Times New Roman"/>
          <w:sz w:val="14"/>
          <w:szCs w:val="14"/>
          <w:color w:val="auto"/>
        </w:rPr>
        <w:t>So long as any debt securities of a particular series are outstanding, the Company will 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w:t>
      </w:r>
    </w:p>
    <w:p>
      <w:pPr>
        <w:spacing w:after="0" w:line="3" w:lineRule="exact"/>
        <w:rPr>
          <w:sz w:val="20"/>
          <w:szCs w:val="20"/>
          <w:color w:val="auto"/>
        </w:rPr>
      </w:pPr>
    </w:p>
    <w:p>
      <w:pPr>
        <w:ind w:left="180" w:right="259"/>
        <w:spacing w:after="0" w:line="256" w:lineRule="auto"/>
        <w:rPr>
          <w:sz w:val="20"/>
          <w:szCs w:val="20"/>
          <w:color w:val="auto"/>
        </w:rPr>
      </w:pPr>
      <w:r>
        <w:rPr>
          <w:rFonts w:ascii="Times New Roman" w:cs="Times New Roman" w:eastAsia="Times New Roman" w:hAnsi="Times New Roman"/>
          <w:sz w:val="14"/>
          <w:szCs w:val="14"/>
          <w:color w:val="auto"/>
        </w:rPr>
        <w:t>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Additional Covenants</w:t>
      </w:r>
    </w:p>
    <w:p>
      <w:pPr>
        <w:spacing w:after="0" w:line="95" w:lineRule="exact"/>
        <w:rPr>
          <w:sz w:val="20"/>
          <w:szCs w:val="20"/>
          <w:color w:val="auto"/>
        </w:rPr>
      </w:pPr>
    </w:p>
    <w:p>
      <w:pPr>
        <w:ind w:left="180" w:right="579" w:firstLine="346"/>
        <w:spacing w:after="0" w:line="286" w:lineRule="auto"/>
        <w:rPr>
          <w:sz w:val="20"/>
          <w:szCs w:val="20"/>
          <w:color w:val="auto"/>
        </w:rPr>
      </w:pPr>
      <w:r>
        <w:rPr>
          <w:rFonts w:ascii="Times New Roman" w:cs="Times New Roman" w:eastAsia="Times New Roman" w:hAnsi="Times New Roman"/>
          <w:sz w:val="14"/>
          <w:szCs w:val="14"/>
          <w:color w:val="auto"/>
        </w:rPr>
        <w:t>Any additional covenants of the Company with respect to any series of debt securities will be set forth in the prospectus supplement relating thereto.</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95" w:lineRule="exact"/>
        <w:rPr>
          <w:sz w:val="20"/>
          <w:szCs w:val="20"/>
          <w:color w:val="auto"/>
        </w:rPr>
      </w:pPr>
    </w:p>
    <w:p>
      <w:pPr>
        <w:ind w:left="180" w:right="439" w:firstLine="346"/>
        <w:spacing w:after="0" w:line="263" w:lineRule="auto"/>
        <w:rPr>
          <w:sz w:val="20"/>
          <w:szCs w:val="20"/>
          <w:color w:val="auto"/>
        </w:rPr>
      </w:pPr>
      <w:r>
        <w:rPr>
          <w:rFonts w:ascii="Times New Roman" w:cs="Times New Roman" w:eastAsia="Times New Roman" w:hAnsi="Times New Roman"/>
          <w:sz w:val="14"/>
          <w:szCs w:val="14"/>
          <w:color w:val="auto"/>
        </w:rPr>
        <w:t>The terms and conditions, if any, upon which the debt securities are convertible into common stock or preferred stock will be set forth in the applicable prospectus supplement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Redemption; Repurchase at the Option of the Holder; Sinking Fund</w:t>
      </w:r>
    </w:p>
    <w:p>
      <w:pPr>
        <w:spacing w:after="0" w:line="95" w:lineRule="exact"/>
        <w:rPr>
          <w:sz w:val="20"/>
          <w:szCs w:val="20"/>
          <w:color w:val="auto"/>
        </w:rPr>
      </w:pPr>
    </w:p>
    <w:p>
      <w:pPr>
        <w:ind w:left="180" w:right="279" w:firstLine="346"/>
        <w:spacing w:after="0" w:line="269" w:lineRule="auto"/>
        <w:rPr>
          <w:sz w:val="20"/>
          <w:szCs w:val="20"/>
          <w:color w:val="auto"/>
        </w:rPr>
      </w:pPr>
      <w:r>
        <w:rPr>
          <w:rFonts w:ascii="Times New Roman" w:cs="Times New Roman" w:eastAsia="Times New Roman" w:hAnsi="Times New Roman"/>
          <w:sz w:val="14"/>
          <w:szCs w:val="14"/>
          <w:color w:val="auto"/>
        </w:rPr>
        <w:t>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relating thereto.</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Repurchases on the Open Market</w:t>
      </w:r>
    </w:p>
    <w:p>
      <w:pPr>
        <w:spacing w:after="0" w:line="95" w:lineRule="exact"/>
        <w:rPr>
          <w:sz w:val="20"/>
          <w:szCs w:val="20"/>
          <w:color w:val="auto"/>
        </w:rPr>
      </w:pPr>
    </w:p>
    <w:p>
      <w:pPr>
        <w:ind w:left="180" w:right="259" w:firstLine="346"/>
        <w:spacing w:after="0" w:line="269" w:lineRule="auto"/>
        <w:rPr>
          <w:sz w:val="20"/>
          <w:szCs w:val="20"/>
          <w:color w:val="auto"/>
        </w:rPr>
      </w:pPr>
      <w:r>
        <w:rPr>
          <w:rFonts w:ascii="Times New Roman" w:cs="Times New Roman" w:eastAsia="Times New Roman" w:hAnsi="Times New Roman"/>
          <w:sz w:val="14"/>
          <w:szCs w:val="14"/>
          <w:color w:val="auto"/>
        </w:rPr>
        <w:t>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95" w:lineRule="exact"/>
        <w:rPr>
          <w:sz w:val="20"/>
          <w:szCs w:val="20"/>
          <w:color w:val="auto"/>
        </w:rPr>
      </w:pPr>
    </w:p>
    <w:p>
      <w:pPr>
        <w:ind w:left="180" w:right="199" w:firstLine="346"/>
        <w:spacing w:after="0" w:line="286" w:lineRule="auto"/>
        <w:rPr>
          <w:sz w:val="20"/>
          <w:szCs w:val="20"/>
          <w:color w:val="auto"/>
        </w:rPr>
      </w:pPr>
      <w:r>
        <w:rPr>
          <w:rFonts w:ascii="Times New Roman" w:cs="Times New Roman" w:eastAsia="Times New Roman" w:hAnsi="Times New Roman"/>
          <w:sz w:val="14"/>
          <w:szCs w:val="14"/>
          <w:color w:val="auto"/>
        </w:rPr>
        <w:t>The indenture provides, with respect to each series of debt securities issued thereunder, that the Company may satisfy and discharge its obligations under such debt securities of a series and such indenture with respect to debt securities of such series if:</w:t>
      </w:r>
    </w:p>
    <w:p>
      <w:pPr>
        <w:spacing w:after="0" w:line="51" w:lineRule="exact"/>
        <w:rPr>
          <w:sz w:val="20"/>
          <w:szCs w:val="20"/>
          <w:color w:val="auto"/>
        </w:rPr>
      </w:pPr>
    </w:p>
    <w:p>
      <w:pPr>
        <w:ind w:left="940" w:right="519" w:hanging="418"/>
        <w:spacing w:after="0" w:line="286" w:lineRule="auto"/>
        <w:tabs>
          <w:tab w:leader="none" w:pos="9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previously authenticated and delivered, with certain exceptions, have been accepted by the applicable trustee for cancellation; 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33" w:name="page34"/>
    <w:bookmarkEnd w:id="33"/>
    <w:p>
      <w:pPr>
        <w:ind w:left="940" w:right="219" w:hanging="418"/>
        <w:spacing w:after="0" w:line="258"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 the debt securities of such series have become due and payable, will become due and payable at their stated maturity within one year, or are to be called for redemption within one year under arrangements satisfactory to the applicable trustee for giving the notice of redemption and the Company irrevocably deposits in trust with the applicable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applicable trustee) to pay and discharge the entire indebtedness on the debt securities of such series to the date of such deposit or to the maturity, as the case may be, and pays all other sums payable by it under such indenture; and</w:t>
      </w:r>
    </w:p>
    <w:p>
      <w:pPr>
        <w:spacing w:after="0" w:line="59" w:lineRule="exact"/>
        <w:rPr>
          <w:rFonts w:ascii="Times New Roman" w:cs="Times New Roman" w:eastAsia="Times New Roman" w:hAnsi="Times New Roman"/>
          <w:sz w:val="14"/>
          <w:szCs w:val="14"/>
          <w:color w:val="auto"/>
        </w:rPr>
      </w:pPr>
    </w:p>
    <w:p>
      <w:pPr>
        <w:ind w:left="960" w:right="259" w:firstLine="1"/>
        <w:spacing w:after="0" w:line="269" w:lineRule="auto"/>
        <w:tabs>
          <w:tab w:leader="none" w:pos="116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the applicable trustee an officers’ certificate and an opinion of counsel, in each case stating that all conditions precedent provided for in such indenture relating to the satisfaction and discharge of such indenture with respect to the debt securities of such series have been complied with.</w:t>
      </w:r>
    </w:p>
    <w:p>
      <w:pPr>
        <w:spacing w:after="0" w:line="136" w:lineRule="exact"/>
        <w:rPr>
          <w:sz w:val="20"/>
          <w:szCs w:val="20"/>
          <w:color w:val="auto"/>
        </w:rPr>
      </w:pPr>
    </w:p>
    <w:p>
      <w:pPr>
        <w:ind w:left="180" w:right="339" w:firstLine="346"/>
        <w:spacing w:after="0" w:line="259" w:lineRule="auto"/>
        <w:rPr>
          <w:sz w:val="20"/>
          <w:szCs w:val="20"/>
          <w:color w:val="auto"/>
        </w:rPr>
      </w:pPr>
      <w:r>
        <w:rPr>
          <w:rFonts w:ascii="Times New Roman" w:cs="Times New Roman" w:eastAsia="Times New Roman" w:hAnsi="Times New Roman"/>
          <w:sz w:val="14"/>
          <w:szCs w:val="14"/>
          <w:color w:val="auto"/>
        </w:rPr>
        <w:t>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w:t>
      </w:r>
    </w:p>
    <w:p>
      <w:pPr>
        <w:spacing w:after="0" w:line="144" w:lineRule="exact"/>
        <w:rPr>
          <w:sz w:val="20"/>
          <w:szCs w:val="20"/>
          <w:color w:val="auto"/>
        </w:rPr>
      </w:pPr>
    </w:p>
    <w:p>
      <w:pPr>
        <w:ind w:left="180" w:right="219" w:firstLine="346"/>
        <w:spacing w:after="0" w:line="257" w:lineRule="auto"/>
        <w:rPr>
          <w:sz w:val="20"/>
          <w:szCs w:val="20"/>
          <w:color w:val="auto"/>
        </w:rPr>
      </w:pPr>
      <w:r>
        <w:rPr>
          <w:rFonts w:ascii="Times New Roman" w:cs="Times New Roman" w:eastAsia="Times New Roman" w:hAnsi="Times New Roman"/>
          <w:sz w:val="14"/>
          <w:szCs w:val="14"/>
          <w:color w:val="auto"/>
        </w:rPr>
        <w:t>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“—Consolidation, Merger and Sale of Assets” and any other additional covenants established pursuant to the terms of such series, and such omission shall be deemed not to be an event of default under clause (d) or (f) of the first paragraph of “—Events of Default” and (2) the occurrence of any event described in clause (f) of the first paragraph of “—Events of Default” shall not be deemed to be an event of default, in each case with respect to the outstanding debt securities of such series ((1) and (2) of this clause (ii), “covenant defeasance”); provided that the following conditions shall have been satisfied with respect to such series:</w:t>
      </w:r>
    </w:p>
    <w:p>
      <w:pPr>
        <w:spacing w:after="0" w:line="72" w:lineRule="exact"/>
        <w:rPr>
          <w:sz w:val="20"/>
          <w:szCs w:val="20"/>
          <w:color w:val="auto"/>
        </w:rPr>
      </w:pPr>
    </w:p>
    <w:p>
      <w:pPr>
        <w:ind w:left="940" w:right="199" w:hanging="418"/>
        <w:spacing w:after="0" w:line="258"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irrevocably deposited in trust with the applicable trustee as trust funds solely for the benefit of the holders of the debt securities of such series, for the purpose of making the following payments, money or government obligations or a combination thereof sufficient (in the opinion of a nationally recognized independent registered public accounting firm expressed in a written certification thereof delivered to the applicable trustee), without consideration of any reinvestment, to pay and discharge (i) the principal of and accrued interest or additional amounts on the outstanding debt securities of such series to maturity or earlier redemption (irrevocably provided for under arrangements satisfactory to the applicable trustee), as the case may be or (ii) any mandatory sinking fund payments applicable to the outstanding debt securities;</w:t>
      </w:r>
    </w:p>
    <w:p>
      <w:pPr>
        <w:spacing w:after="0" w:line="69" w:lineRule="exact"/>
        <w:rPr>
          <w:rFonts w:ascii="Times New Roman" w:cs="Times New Roman" w:eastAsia="Times New Roman" w:hAnsi="Times New Roman"/>
          <w:sz w:val="14"/>
          <w:szCs w:val="14"/>
          <w:color w:val="auto"/>
        </w:rPr>
      </w:pPr>
    </w:p>
    <w:p>
      <w:pPr>
        <w:ind w:left="940" w:right="219" w:hanging="418"/>
        <w:spacing w:after="0" w:line="286"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will not result in a breach or violation of, or constitute a default under, such indenture or any other material agreement or instrument to which the Company is a party or by which it is bound;</w:t>
      </w:r>
    </w:p>
    <w:p>
      <w:pPr>
        <w:spacing w:after="0" w:line="50" w:lineRule="exact"/>
        <w:rPr>
          <w:rFonts w:ascii="Times New Roman" w:cs="Times New Roman" w:eastAsia="Times New Roman" w:hAnsi="Times New Roman"/>
          <w:sz w:val="14"/>
          <w:szCs w:val="14"/>
          <w:color w:val="auto"/>
        </w:rPr>
      </w:pPr>
    </w:p>
    <w:p>
      <w:pPr>
        <w:ind w:left="940" w:right="439" w:hanging="418"/>
        <w:spacing w:after="0" w:line="286"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which with notice or lapse of time would become an event of default with respect to such debt securities of such series shall have occurred and be continuing on the date of such deposit;</w:t>
      </w:r>
    </w:p>
    <w:p>
      <w:pPr>
        <w:spacing w:after="0" w:line="50" w:lineRule="exact"/>
        <w:rPr>
          <w:rFonts w:ascii="Times New Roman" w:cs="Times New Roman" w:eastAsia="Times New Roman" w:hAnsi="Times New Roman"/>
          <w:sz w:val="14"/>
          <w:szCs w:val="14"/>
          <w:color w:val="auto"/>
        </w:rPr>
      </w:pPr>
    </w:p>
    <w:p>
      <w:pPr>
        <w:ind w:left="940" w:right="419" w:hanging="418"/>
        <w:spacing w:after="0" w:line="286"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such trustee an opinion of counsel as described in the indenture to the effect that the holders of the debt securities of such series will not recognize income, gain or loss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34" w:name="page35"/>
    <w:bookmarkEnd w:id="34"/>
    <w:p>
      <w:pPr>
        <w:jc w:val="both"/>
        <w:ind w:left="960" w:right="57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w:t>
      </w:r>
    </w:p>
    <w:p>
      <w:pPr>
        <w:spacing w:after="0" w:line="62" w:lineRule="exact"/>
        <w:rPr>
          <w:sz w:val="20"/>
          <w:szCs w:val="20"/>
          <w:color w:val="auto"/>
        </w:rPr>
      </w:pPr>
    </w:p>
    <w:p>
      <w:pPr>
        <w:ind w:left="940" w:right="799" w:hanging="418"/>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applicable trustee an officers’ certificate and an opinion of counsel, in each case stating that all conditions precedent provided for in such indenture relating to the defeasance contemplated have been complied with;</w:t>
      </w:r>
    </w:p>
    <w:p>
      <w:pPr>
        <w:spacing w:after="0" w:line="50" w:lineRule="exact"/>
        <w:rPr>
          <w:rFonts w:ascii="Times New Roman" w:cs="Times New Roman" w:eastAsia="Times New Roman" w:hAnsi="Times New Roman"/>
          <w:sz w:val="14"/>
          <w:szCs w:val="14"/>
          <w:color w:val="auto"/>
        </w:rPr>
      </w:pPr>
    </w:p>
    <w:p>
      <w:pPr>
        <w:ind w:left="940" w:right="279" w:hanging="418"/>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to be redeemed prior to their maturity, notice of such redemption shall have been duly given or in another manner satisfactory to the trustee; and</w:t>
      </w:r>
    </w:p>
    <w:p>
      <w:pPr>
        <w:spacing w:after="0" w:line="50" w:lineRule="exact"/>
        <w:rPr>
          <w:rFonts w:ascii="Times New Roman" w:cs="Times New Roman" w:eastAsia="Times New Roman" w:hAnsi="Times New Roman"/>
          <w:sz w:val="14"/>
          <w:szCs w:val="14"/>
          <w:color w:val="auto"/>
        </w:rPr>
      </w:pPr>
    </w:p>
    <w:p>
      <w:pPr>
        <w:ind w:left="940" w:right="419" w:hanging="418"/>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defeasance or covenant defeasance shall comply with any additional or substitute terms provided for by the terms of such debt securities of such series.</w:t>
      </w:r>
    </w:p>
    <w:p>
      <w:pPr>
        <w:spacing w:after="0" w:line="125" w:lineRule="exact"/>
        <w:rPr>
          <w:sz w:val="20"/>
          <w:szCs w:val="20"/>
          <w:color w:val="auto"/>
        </w:rPr>
      </w:pPr>
    </w:p>
    <w:p>
      <w:pPr>
        <w:ind w:left="180" w:right="299" w:firstLine="346"/>
        <w:spacing w:after="0" w:line="269" w:lineRule="auto"/>
        <w:rPr>
          <w:sz w:val="20"/>
          <w:szCs w:val="20"/>
          <w:color w:val="auto"/>
        </w:rPr>
      </w:pPr>
      <w:r>
        <w:rPr>
          <w:rFonts w:ascii="Times New Roman" w:cs="Times New Roman" w:eastAsia="Times New Roman" w:hAnsi="Times New Roman"/>
          <w:sz w:val="14"/>
          <w:szCs w:val="14"/>
          <w:color w:val="auto"/>
        </w:rPr>
        <w:t>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w:t>
      </w:r>
    </w:p>
    <w:p>
      <w:pPr>
        <w:spacing w:after="0" w:line="62" w:lineRule="exact"/>
        <w:rPr>
          <w:sz w:val="20"/>
          <w:szCs w:val="20"/>
          <w:color w:val="auto"/>
        </w:rPr>
      </w:pPr>
    </w:p>
    <w:p>
      <w:pPr>
        <w:ind w:left="940" w:right="219" w:hanging="418"/>
        <w:spacing w:after="0" w:line="269" w:lineRule="auto"/>
        <w:tabs>
          <w:tab w:leader="none" w:pos="9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w:t>
      </w:r>
    </w:p>
    <w:p>
      <w:pPr>
        <w:spacing w:after="0" w:line="62" w:lineRule="exact"/>
        <w:rPr>
          <w:rFonts w:ascii="Times New Roman" w:cs="Times New Roman" w:eastAsia="Times New Roman" w:hAnsi="Times New Roman"/>
          <w:sz w:val="14"/>
          <w:szCs w:val="14"/>
          <w:color w:val="auto"/>
        </w:rPr>
      </w:pPr>
    </w:p>
    <w:p>
      <w:pPr>
        <w:ind w:left="940" w:right="199" w:hanging="418"/>
        <w:spacing w:after="0" w:line="286" w:lineRule="auto"/>
        <w:tabs>
          <w:tab w:leader="none" w:pos="9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temporary debt securities, the registration, transfer and exchange of debt securities, the replacement of mutilated, destroyed, lost or stolen debt securities and the maintenance of an office or agency for payment and holding payments in trust;</w:t>
      </w:r>
    </w:p>
    <w:p>
      <w:pPr>
        <w:spacing w:after="0" w:line="50"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 the Company’s obligations in connection therewith; and</w:t>
      </w:r>
    </w:p>
    <w:p>
      <w:pPr>
        <w:spacing w:after="0" w:line="103" w:lineRule="exact"/>
        <w:rPr>
          <w:rFonts w:ascii="Times New Roman" w:cs="Times New Roman" w:eastAsia="Times New Roman" w:hAnsi="Times New Roman"/>
          <w:sz w:val="14"/>
          <w:szCs w:val="14"/>
          <w:color w:val="auto"/>
        </w:rPr>
      </w:pPr>
    </w:p>
    <w:p>
      <w:pPr>
        <w:ind w:left="940" w:hanging="418"/>
        <w:spacing w:after="0"/>
        <w:tabs>
          <w:tab w:leader="none" w:pos="9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or covenant defeasance provisions of the indenture.</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Applicable Law</w:t>
      </w:r>
    </w:p>
    <w:p>
      <w:pPr>
        <w:spacing w:after="0" w:line="95" w:lineRule="exact"/>
        <w:rPr>
          <w:sz w:val="20"/>
          <w:szCs w:val="20"/>
          <w:color w:val="auto"/>
        </w:rPr>
      </w:pPr>
    </w:p>
    <w:p>
      <w:pPr>
        <w:ind w:left="180" w:right="439" w:firstLine="346"/>
        <w:spacing w:after="0" w:line="286" w:lineRule="auto"/>
        <w:rPr>
          <w:sz w:val="20"/>
          <w:szCs w:val="20"/>
          <w:color w:val="auto"/>
        </w:rPr>
      </w:pPr>
      <w:r>
        <w:rPr>
          <w:rFonts w:ascii="Times New Roman" w:cs="Times New Roman" w:eastAsia="Times New Roman" w:hAnsi="Times New Roman"/>
          <w:sz w:val="14"/>
          <w:szCs w:val="14"/>
          <w:color w:val="auto"/>
        </w:rPr>
        <w:t>The indenture provides that the debt securities and the indenture will be governed by and construed in accordance with the laws of the State of New York.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About the Trustee</w:t>
      </w:r>
    </w:p>
    <w:p>
      <w:pPr>
        <w:spacing w:after="0" w:line="95" w:lineRule="exact"/>
        <w:rPr>
          <w:sz w:val="20"/>
          <w:szCs w:val="20"/>
          <w:color w:val="auto"/>
        </w:rPr>
      </w:pPr>
    </w:p>
    <w:p>
      <w:pPr>
        <w:ind w:left="180" w:right="299" w:firstLine="346"/>
        <w:spacing w:after="0" w:line="286"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Bank of New York Mellon Trust Company, N.A. is the trustee under the indenture.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CAPITAL STOCK</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5" w:lineRule="exact"/>
        <w:rPr>
          <w:sz w:val="20"/>
          <w:szCs w:val="20"/>
          <w:color w:val="auto"/>
        </w:rPr>
      </w:pPr>
    </w:p>
    <w:p>
      <w:pPr>
        <w:ind w:left="180" w:right="239" w:firstLine="346"/>
        <w:spacing w:after="0" w:line="286"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as amended and supplemented, we are authorized to issue up to 30,000,000 shares of preferred stock, par value $1.00 per share, in one or more series.</w:t>
      </w:r>
    </w:p>
    <w:p>
      <w:pPr>
        <w:spacing w:after="0" w:line="125" w:lineRule="exact"/>
        <w:rPr>
          <w:sz w:val="20"/>
          <w:szCs w:val="20"/>
          <w:color w:val="auto"/>
        </w:rPr>
      </w:pPr>
    </w:p>
    <w:p>
      <w:pPr>
        <w:ind w:left="180" w:right="559" w:firstLine="346"/>
        <w:spacing w:after="0" w:line="269" w:lineRule="auto"/>
        <w:rPr>
          <w:sz w:val="20"/>
          <w:szCs w:val="20"/>
          <w:color w:val="auto"/>
        </w:rPr>
      </w:pPr>
      <w:r>
        <w:rPr>
          <w:rFonts w:ascii="Times New Roman" w:cs="Times New Roman" w:eastAsia="Times New Roman" w:hAnsi="Times New Roman"/>
          <w:sz w:val="14"/>
          <w:szCs w:val="14"/>
          <w:color w:val="auto"/>
        </w:rPr>
        <w:t>As of October 30, 2026, there were 35,000 shares of Series B Non-Voting Perpetual Preferred Stock, par value $1.00 per share, issued and outstanding. The Certificate of Designations for the Series B Non-Voting Perpetual Preferred Stock has been filed as Exhibit 4.5 to the registration statement of which this prospectus is a part and is incorporated by reference herein.</w:t>
      </w:r>
    </w:p>
    <w:p>
      <w:pPr>
        <w:spacing w:after="0" w:line="136" w:lineRule="exact"/>
        <w:rPr>
          <w:sz w:val="20"/>
          <w:szCs w:val="20"/>
          <w:color w:val="auto"/>
        </w:rPr>
      </w:pPr>
    </w:p>
    <w:p>
      <w:pPr>
        <w:ind w:left="180" w:right="319" w:firstLine="346"/>
        <w:spacing w:after="0" w:line="259" w:lineRule="auto"/>
        <w:rPr>
          <w:sz w:val="20"/>
          <w:szCs w:val="20"/>
          <w:color w:val="auto"/>
        </w:rPr>
      </w:pPr>
      <w:r>
        <w:rPr>
          <w:rFonts w:ascii="Times New Roman" w:cs="Times New Roman" w:eastAsia="Times New Roman" w:hAnsi="Times New Roman"/>
          <w:sz w:val="14"/>
          <w:szCs w:val="14"/>
          <w:color w:val="auto"/>
        </w:rPr>
        <w:t>The following description of preferred stock sets forth certain general terms and provisions of the series of preferred stock to which any prospectus supplement may relate. The prospectus supplement relating to a particular series of preferred stock will describe certain other terms of such series of preferred stock. If so indicated in the prospectus supplement relating to a particular series of preferred stock, the terms of any such series of preferred stock may differ from the terms set forth below. The description of preferred stock set forth below and the description of the terms of a particular series of preferred stock set forth in the related prospectus supplement are not complete and are qualified in their entirety by reference to the certificate of incorporation and to the certificate of designation relating to that series of preferred stock.</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rights of the holders of each series of preferred stock will be subordinate to those of our general creditors.</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General Terms of the Preferred Stock</w:t>
      </w:r>
    </w:p>
    <w:p>
      <w:pPr>
        <w:spacing w:after="0" w:line="95" w:lineRule="exact"/>
        <w:rPr>
          <w:sz w:val="20"/>
          <w:szCs w:val="20"/>
          <w:color w:val="auto"/>
        </w:rPr>
      </w:pPr>
    </w:p>
    <w:p>
      <w:pPr>
        <w:ind w:left="180" w:right="259" w:firstLine="346"/>
        <w:spacing w:after="0" w:line="263" w:lineRule="auto"/>
        <w:rPr>
          <w:sz w:val="20"/>
          <w:szCs w:val="20"/>
          <w:color w:val="auto"/>
        </w:rPr>
      </w:pPr>
      <w:r>
        <w:rPr>
          <w:rFonts w:ascii="Times New Roman" w:cs="Times New Roman" w:eastAsia="Times New Roman" w:hAnsi="Times New Roman"/>
          <w:sz w:val="14"/>
          <w:szCs w:val="14"/>
          <w:color w:val="auto"/>
        </w:rPr>
        <w:t>The certificate of incorporation will set forth the designations, preferences, and relative, participating, optional and other special rights, and the qualifications, limitations, and restrictions of the preferred stock of each series. To the extent the certificate of incorporation does not set forth the rights and limitations, they will be fixed by the certificate of designation relating to the series. A prospectus supplement relating to each series will specify the terms of the preferred stock as follows:</w:t>
      </w:r>
    </w:p>
    <w:p>
      <w:pPr>
        <w:spacing w:after="0" w:line="67" w:lineRule="exact"/>
        <w:rPr>
          <w:sz w:val="20"/>
          <w:szCs w:val="20"/>
          <w:color w:val="auto"/>
        </w:rPr>
      </w:pPr>
    </w:p>
    <w:p>
      <w:pPr>
        <w:ind w:left="940" w:hanging="333"/>
        <w:spacing w:after="0"/>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distinctive designation of the series and the number of shares which shall constitute the series;</w:t>
      </w:r>
    </w:p>
    <w:p>
      <w:pPr>
        <w:spacing w:after="0" w:line="103" w:lineRule="exact"/>
        <w:rPr>
          <w:rFonts w:ascii="Times New Roman" w:cs="Times New Roman" w:eastAsia="Times New Roman" w:hAnsi="Times New Roman"/>
          <w:sz w:val="14"/>
          <w:szCs w:val="14"/>
          <w:color w:val="auto"/>
        </w:rPr>
      </w:pPr>
    </w:p>
    <w:p>
      <w:pPr>
        <w:ind w:left="940" w:right="439" w:hanging="333"/>
        <w:spacing w:after="0" w:line="286" w:lineRule="auto"/>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dividends, if any, payable on shares of the series, the date, if any, from which the dividends shall accrue, the conditions upon which and the date when the dividends shall be payable, and whether the dividends shall be cumulative or noncumulative;</w:t>
      </w:r>
    </w:p>
    <w:p>
      <w:pPr>
        <w:spacing w:after="0" w:line="50" w:lineRule="exact"/>
        <w:rPr>
          <w:rFonts w:ascii="Times New Roman" w:cs="Times New Roman" w:eastAsia="Times New Roman" w:hAnsi="Times New Roman"/>
          <w:sz w:val="14"/>
          <w:szCs w:val="14"/>
          <w:color w:val="auto"/>
        </w:rPr>
      </w:pPr>
    </w:p>
    <w:p>
      <w:pPr>
        <w:ind w:left="940" w:right="499" w:hanging="333"/>
        <w:spacing w:after="0" w:line="286" w:lineRule="auto"/>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which the holders of the preferred stock of the series shall be entitled to be paid in the event of a voluntary or involuntary liquidation, dissolution, or winding up of Williams; and</w:t>
      </w:r>
    </w:p>
    <w:p>
      <w:pPr>
        <w:spacing w:after="0" w:line="50" w:lineRule="exact"/>
        <w:rPr>
          <w:rFonts w:ascii="Times New Roman" w:cs="Times New Roman" w:eastAsia="Times New Roman" w:hAnsi="Times New Roman"/>
          <w:sz w:val="14"/>
          <w:szCs w:val="14"/>
          <w:color w:val="auto"/>
        </w:rPr>
      </w:pPr>
    </w:p>
    <w:p>
      <w:pPr>
        <w:ind w:left="940" w:right="679" w:hanging="333"/>
        <w:spacing w:after="0" w:line="286" w:lineRule="auto"/>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preferred stock of the series shall be redeemable and at what times and under what conditions and the amount or amounts payable thereon in the event of redemption.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prospectus supplement may, in a manner not inconsistent with the provisions of the certificate of incorporation:</w:t>
      </w:r>
    </w:p>
    <w:p>
      <w:pPr>
        <w:spacing w:after="0" w:line="104" w:lineRule="exact"/>
        <w:rPr>
          <w:sz w:val="20"/>
          <w:szCs w:val="20"/>
          <w:color w:val="auto"/>
        </w:rPr>
      </w:pPr>
    </w:p>
    <w:p>
      <w:pPr>
        <w:ind w:left="940" w:hanging="333"/>
        <w:spacing w:after="0"/>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number of shares of the series that may be issued;</w:t>
      </w:r>
    </w:p>
    <w:p>
      <w:pPr>
        <w:spacing w:after="0" w:line="103" w:lineRule="exact"/>
        <w:rPr>
          <w:rFonts w:ascii="Times New Roman" w:cs="Times New Roman" w:eastAsia="Times New Roman" w:hAnsi="Times New Roman"/>
          <w:sz w:val="14"/>
          <w:szCs w:val="14"/>
          <w:color w:val="auto"/>
        </w:rPr>
      </w:pPr>
    </w:p>
    <w:p>
      <w:pPr>
        <w:ind w:left="940" w:right="199" w:hanging="333"/>
        <w:spacing w:after="0" w:line="269"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sinking fund for the purchase or redemption or a purchase fund for the purchase of shares of the series, set forth the terms and provisions governing the operation of any fund, and establish the status as to reissue of shares of preferred stock purchased or otherwise reacquired or redeemed or retired through the operation of the sinking or purchase fund;</w:t>
      </w:r>
    </w:p>
    <w:p>
      <w:pPr>
        <w:spacing w:after="0" w:line="62" w:lineRule="exact"/>
        <w:rPr>
          <w:rFonts w:ascii="Times New Roman" w:cs="Times New Roman" w:eastAsia="Times New Roman" w:hAnsi="Times New Roman"/>
          <w:sz w:val="14"/>
          <w:szCs w:val="14"/>
          <w:color w:val="auto"/>
        </w:rPr>
      </w:pPr>
    </w:p>
    <w:p>
      <w:pPr>
        <w:ind w:left="940" w:right="819" w:hanging="333"/>
        <w:spacing w:after="0" w:line="286"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voting rights to the holder of shares of the series, in addition to and not inconsistent with those granted by the certificate of incorporation to the holders of preferred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36" w:name="page37"/>
    <w:bookmarkEnd w:id="36"/>
    <w:p>
      <w:pPr>
        <w:jc w:val="both"/>
        <w:ind w:left="940" w:right="459" w:hanging="333"/>
        <w:spacing w:after="0" w:line="286"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impose conditions or restrictions upon the creation of indebtedness of Williams or upon the issue of additional preferred stock or other capital stock ranking equally with or prior to the preferred stock or capital stock as to dividends or distribution of assets on liquidation;</w:t>
      </w:r>
    </w:p>
    <w:p>
      <w:pPr>
        <w:spacing w:after="0" w:line="50" w:lineRule="exact"/>
        <w:rPr>
          <w:rFonts w:ascii="Times New Roman" w:cs="Times New Roman" w:eastAsia="Times New Roman" w:hAnsi="Times New Roman"/>
          <w:sz w:val="14"/>
          <w:szCs w:val="14"/>
          <w:color w:val="auto"/>
        </w:rPr>
      </w:pPr>
    </w:p>
    <w:p>
      <w:pPr>
        <w:ind w:left="940" w:right="479" w:hanging="333"/>
        <w:spacing w:after="0" w:line="286"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conditions or restrictions upon the payment of dividends upon, the making of other distributions to, or the acquisition of junior stock;</w:t>
      </w:r>
    </w:p>
    <w:p>
      <w:pPr>
        <w:spacing w:after="0" w:line="50" w:lineRule="exact"/>
        <w:rPr>
          <w:rFonts w:ascii="Times New Roman" w:cs="Times New Roman" w:eastAsia="Times New Roman" w:hAnsi="Times New Roman"/>
          <w:sz w:val="14"/>
          <w:szCs w:val="14"/>
          <w:color w:val="auto"/>
        </w:rPr>
      </w:pPr>
    </w:p>
    <w:p>
      <w:pPr>
        <w:ind w:left="940" w:right="579" w:hanging="333"/>
        <w:spacing w:after="0" w:line="286"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to the holders of the preferred stock of the series the right to convert the preferred stock into shares of another series or class of capital stock; or</w:t>
      </w:r>
    </w:p>
    <w:p>
      <w:pPr>
        <w:spacing w:after="0" w:line="50" w:lineRule="exact"/>
        <w:rPr>
          <w:rFonts w:ascii="Times New Roman" w:cs="Times New Roman" w:eastAsia="Times New Roman" w:hAnsi="Times New Roman"/>
          <w:sz w:val="14"/>
          <w:szCs w:val="14"/>
          <w:color w:val="auto"/>
        </w:rPr>
      </w:pPr>
    </w:p>
    <w:p>
      <w:pPr>
        <w:ind w:left="940" w:right="259" w:hanging="333"/>
        <w:spacing w:after="0" w:line="286"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other special rights to the holders of shares of the series as the board of directors may determine and as shall not be inconsistent with the provisions of the certificate of incorporation.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5"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Holders of the preferred stock of any series shall be entitled to receive, when, as and if declared by the board of directors, preferential dividends in cash at the annual rate, if any, fixed for the series. Their entitlement will be subject to any limitations specified in the certificate of incorporation and in the certificate of designation providing for the issuance of a particular series of preferred stock. The certificate of designation providing for the issuance of preferred stock of the series may specify the date on which the preferential dividends are payable. The preferential dividends shall further be payable to stockholders of record on a date which precedes each dividend payment date which the board of directors has fixed in advance of each particular dividend.</w:t>
      </w:r>
    </w:p>
    <w:p>
      <w:pPr>
        <w:spacing w:after="0" w:line="144"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Each share of preferred stock shall rank on a parity with each other share of preferred stock, irrespective of series, with respect to preferential dividends accrued on the shares of the series. We will not declare or pay any dividend nor will we set apart a dividend for payment for the preferred stock of any series unless at the same time we declare, pay, or set apart a dividend in like proportion to the dividends accrued upon the preferred stock of each other series. This does not, however, prevent us from authorizing or issuing one or more series of preferred stock bearing dividends subject to contingencies as to the existence or amount of our earnings during one or more fiscal periods, or as to other events, to which dividends on other series of preferred stock are not subject.</w:t>
      </w:r>
    </w:p>
    <w:p>
      <w:pPr>
        <w:spacing w:after="0" w:line="144" w:lineRule="exact"/>
        <w:rPr>
          <w:sz w:val="20"/>
          <w:szCs w:val="20"/>
          <w:color w:val="auto"/>
        </w:rPr>
      </w:pPr>
    </w:p>
    <w:p>
      <w:pPr>
        <w:ind w:left="180" w:right="259" w:firstLine="346"/>
        <w:spacing w:after="0" w:line="286" w:lineRule="auto"/>
        <w:rPr>
          <w:sz w:val="20"/>
          <w:szCs w:val="20"/>
          <w:color w:val="auto"/>
        </w:rPr>
      </w:pPr>
      <w:r>
        <w:rPr>
          <w:rFonts w:ascii="Times New Roman" w:cs="Times New Roman" w:eastAsia="Times New Roman" w:hAnsi="Times New Roman"/>
          <w:sz w:val="14"/>
          <w:szCs w:val="14"/>
          <w:color w:val="auto"/>
        </w:rPr>
        <w:t>So long as any shares of preferred stock remain outstanding, we will not, unless all dividends accrued on outstanding shares of preferred stock for all past dividend periods shall have been paid or declared and a sum sufficient for the payment of the dividends set apart:</w:t>
      </w:r>
    </w:p>
    <w:p>
      <w:pPr>
        <w:spacing w:after="0" w:line="146" w:lineRule="exact"/>
        <w:rPr>
          <w:sz w:val="20"/>
          <w:szCs w:val="20"/>
          <w:color w:val="auto"/>
        </w:rPr>
      </w:pPr>
    </w:p>
    <w:p>
      <w:pPr>
        <w:ind w:left="940" w:hanging="333"/>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or declare any dividends whatsoever, whether in cash, stock, or otherwise;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distribution on any class of junior stock; or</w:t>
      </w:r>
    </w:p>
    <w:p>
      <w:pPr>
        <w:spacing w:after="0" w:line="103" w:lineRule="exact"/>
        <w:rPr>
          <w:rFonts w:ascii="Times New Roman" w:cs="Times New Roman" w:eastAsia="Times New Roman" w:hAnsi="Times New Roman"/>
          <w:sz w:val="14"/>
          <w:szCs w:val="14"/>
          <w:color w:val="auto"/>
        </w:rPr>
      </w:pPr>
    </w:p>
    <w:p>
      <w:pPr>
        <w:ind w:left="940" w:right="539" w:hanging="333"/>
        <w:spacing w:after="0" w:line="286" w:lineRule="auto"/>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retire, or otherwise acquire for valuable consideration any shares of preferred stock (subject to certain limitations) or junior stock.</w:t>
      </w:r>
    </w:p>
    <w:p>
      <w:pPr>
        <w:spacing w:after="0" w:line="125" w:lineRule="exact"/>
        <w:rPr>
          <w:sz w:val="20"/>
          <w:szCs w:val="20"/>
          <w:color w:val="auto"/>
        </w:rPr>
      </w:pPr>
    </w:p>
    <w:p>
      <w:pPr>
        <w:ind w:left="180" w:right="219" w:firstLine="346"/>
        <w:spacing w:after="0" w:line="269" w:lineRule="auto"/>
        <w:rPr>
          <w:sz w:val="20"/>
          <w:szCs w:val="20"/>
          <w:color w:val="auto"/>
        </w:rPr>
      </w:pPr>
      <w:r>
        <w:rPr>
          <w:rFonts w:ascii="Times New Roman" w:cs="Times New Roman" w:eastAsia="Times New Roman" w:hAnsi="Times New Roman"/>
          <w:sz w:val="14"/>
          <w:szCs w:val="14"/>
          <w:color w:val="auto"/>
        </w:rPr>
        <w:t>As a holding company, our ability to pay dividends on the preferred stock will depend upon the payment of dividends, interest, or other charges by our subsidiaries to us. Debt instruments of certain of our subsidiaries may limit the amount of payments to us, which could affect the amount of funds available to us to pay dividends on the preferred stock.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registrar, transfer agent, and dividend disbursing agent for the preferred stock will be named in the applicable prospectus supplement.</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5" w:lineRule="exact"/>
        <w:rPr>
          <w:sz w:val="20"/>
          <w:szCs w:val="20"/>
          <w:color w:val="auto"/>
        </w:rPr>
      </w:pPr>
    </w:p>
    <w:p>
      <w:pPr>
        <w:ind w:left="180" w:right="479" w:firstLine="346"/>
        <w:spacing w:after="0" w:line="286" w:lineRule="auto"/>
        <w:rPr>
          <w:sz w:val="20"/>
          <w:szCs w:val="20"/>
          <w:color w:val="auto"/>
        </w:rPr>
      </w:pPr>
      <w:r>
        <w:rPr>
          <w:rFonts w:ascii="Times New Roman" w:cs="Times New Roman" w:eastAsia="Times New Roman" w:hAnsi="Times New Roman"/>
          <w:sz w:val="14"/>
          <w:szCs w:val="14"/>
          <w:color w:val="auto"/>
        </w:rPr>
        <w:t>With the approval of our board of directors, we may redeem all or any part of the preferred stock of any series that by its terms is redeemable. Redemption will take place at the time or times and on the terms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37" w:name="page38"/>
    <w:bookmarkEnd w:id="37"/>
    <w:p>
      <w:pPr>
        <w:ind w:left="180" w:right="3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conditions fixed for the series. We must duly give notice in the manner provided in the certificate of designation providing for the series. We must pay for preferred stock in cash the sum fixed for the series, together, in each case, with an amount equal to accrued and unpaid dividends on the series of preferred stock. The certificate of designation providing for a series of preferred stock that is subject to redemption may provide, upon the two conditions discussed below, that the shares will no longer be deemed outstanding, and all rights with respect to the shares will cease, including the accrual of further dividends, other than the right to receive the redemption price of the shares without interest, when:</w:t>
      </w:r>
    </w:p>
    <w:p>
      <w:pPr>
        <w:spacing w:after="0" w:line="67" w:lineRule="exact"/>
        <w:rPr>
          <w:sz w:val="20"/>
          <w:szCs w:val="20"/>
          <w:color w:val="auto"/>
        </w:rPr>
      </w:pPr>
    </w:p>
    <w:p>
      <w:pPr>
        <w:ind w:left="940" w:hanging="333"/>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given notice of redemption of all or part of the shares of the series; and</w:t>
      </w:r>
    </w:p>
    <w:p>
      <w:pPr>
        <w:spacing w:after="0" w:line="103" w:lineRule="exact"/>
        <w:rPr>
          <w:rFonts w:ascii="Times New Roman" w:cs="Times New Roman" w:eastAsia="Times New Roman" w:hAnsi="Times New Roman"/>
          <w:sz w:val="14"/>
          <w:szCs w:val="14"/>
          <w:color w:val="auto"/>
        </w:rPr>
      </w:pPr>
    </w:p>
    <w:p>
      <w:pPr>
        <w:ind w:left="940" w:right="359" w:hanging="333"/>
        <w:spacing w:after="0" w:line="286" w:lineRule="auto"/>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set aside or deposited with a suitable depositary for the proportionate benefit of the shares called for redemption the redemption price of the shares, together with accrued dividends to the date fixed as the redemption date.</w:t>
      </w:r>
    </w:p>
    <w:p>
      <w:pPr>
        <w:spacing w:after="0" w:line="125" w:lineRule="exact"/>
        <w:rPr>
          <w:sz w:val="20"/>
          <w:szCs w:val="20"/>
          <w:color w:val="auto"/>
        </w:rPr>
      </w:pPr>
    </w:p>
    <w:p>
      <w:pPr>
        <w:ind w:left="180" w:right="279" w:firstLine="346"/>
        <w:spacing w:after="0" w:line="286" w:lineRule="auto"/>
        <w:rPr>
          <w:sz w:val="20"/>
          <w:szCs w:val="20"/>
          <w:color w:val="auto"/>
        </w:rPr>
      </w:pPr>
      <w:r>
        <w:rPr>
          <w:rFonts w:ascii="Times New Roman" w:cs="Times New Roman" w:eastAsia="Times New Roman" w:hAnsi="Times New Roman"/>
          <w:sz w:val="14"/>
          <w:szCs w:val="14"/>
          <w:color w:val="auto"/>
        </w:rPr>
        <w:t>Redemption will terminate the right of holders of the preferred stock to accrual of further dividends. Redemption will not, however, terminate the right of holders of the shares redeemed to receive the redemption price for the shares without interest.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5" w:lineRule="exact"/>
        <w:rPr>
          <w:sz w:val="20"/>
          <w:szCs w:val="20"/>
          <w:color w:val="auto"/>
        </w:rPr>
      </w:pPr>
    </w:p>
    <w:p>
      <w:pPr>
        <w:ind w:left="180" w:right="459" w:firstLine="346"/>
        <w:spacing w:after="0" w:line="286" w:lineRule="auto"/>
        <w:rPr>
          <w:sz w:val="20"/>
          <w:szCs w:val="20"/>
          <w:color w:val="auto"/>
        </w:rPr>
      </w:pPr>
      <w:r>
        <w:rPr>
          <w:rFonts w:ascii="Times New Roman" w:cs="Times New Roman" w:eastAsia="Times New Roman" w:hAnsi="Times New Roman"/>
          <w:sz w:val="14"/>
          <w:szCs w:val="14"/>
          <w:color w:val="auto"/>
        </w:rPr>
        <w:t>The preferred stock will have no right or power to vote on any question or in any proceeding or to be represented at or to receive notice of any meeting of stockholders, except as:</w:t>
      </w:r>
    </w:p>
    <w:p>
      <w:pPr>
        <w:spacing w:after="0" w:line="51" w:lineRule="exact"/>
        <w:rPr>
          <w:sz w:val="20"/>
          <w:szCs w:val="20"/>
          <w:color w:val="auto"/>
        </w:rPr>
      </w:pPr>
    </w:p>
    <w:p>
      <w:pPr>
        <w:ind w:left="940" w:hanging="333"/>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stated in this prospectus or the applicable prospectus supplement;</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provided by law; or</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in the certificate of designation of the series of preferred stock.</w:t>
      </w:r>
    </w:p>
    <w:p>
      <w:pPr>
        <w:spacing w:after="0" w:line="178" w:lineRule="exact"/>
        <w:rPr>
          <w:sz w:val="20"/>
          <w:szCs w:val="20"/>
          <w:color w:val="auto"/>
        </w:rPr>
      </w:pPr>
    </w:p>
    <w:p>
      <w:pPr>
        <w:ind w:left="180" w:right="339" w:firstLine="346"/>
        <w:spacing w:after="0" w:line="286" w:lineRule="auto"/>
        <w:rPr>
          <w:sz w:val="20"/>
          <w:szCs w:val="20"/>
          <w:color w:val="auto"/>
        </w:rPr>
      </w:pPr>
      <w:r>
        <w:rPr>
          <w:rFonts w:ascii="Times New Roman" w:cs="Times New Roman" w:eastAsia="Times New Roman" w:hAnsi="Times New Roman"/>
          <w:sz w:val="14"/>
          <w:szCs w:val="14"/>
          <w:color w:val="auto"/>
        </w:rPr>
        <w:t>On any matters on which the holders of the preferred stock or any series thereof shall be entitled to vote separately as a class or series, they shall be entitled to one vote for each share held.</w:t>
      </w:r>
    </w:p>
    <w:p>
      <w:pPr>
        <w:spacing w:after="0" w:line="125" w:lineRule="exact"/>
        <w:rPr>
          <w:sz w:val="20"/>
          <w:szCs w:val="20"/>
          <w:color w:val="auto"/>
        </w:rPr>
      </w:pPr>
    </w:p>
    <w:p>
      <w:pPr>
        <w:ind w:left="180" w:right="219" w:firstLine="346"/>
        <w:spacing w:after="0" w:line="261" w:lineRule="auto"/>
        <w:rPr>
          <w:sz w:val="20"/>
          <w:szCs w:val="20"/>
          <w:color w:val="auto"/>
        </w:rPr>
      </w:pPr>
      <w:r>
        <w:rPr>
          <w:rFonts w:ascii="Times New Roman" w:cs="Times New Roman" w:eastAsia="Times New Roman" w:hAnsi="Times New Roman"/>
          <w:sz w:val="14"/>
          <w:szCs w:val="14"/>
          <w:color w:val="auto"/>
        </w:rPr>
        <w:t>So long as any shares of preferred stock are outstanding, we must not, during the continuance of any default in the payment of dividends on the preferred stock, redeem or otherwise acquire for value any shares of the preferred stock or of any other stock ranking on a parity with the preferred stock concerning dividends or distribution of assets on liquidation. Holders of a majority of the number of shares of preferred stock outstanding at the time may, however, permit such a redemption by giving their consent in person or by proxy, either in writing or by vote at any annual meeting or any special meeting called for the purpose.</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95" w:lineRule="exact"/>
        <w:rPr>
          <w:sz w:val="20"/>
          <w:szCs w:val="20"/>
          <w:color w:val="auto"/>
        </w:rPr>
      </w:pPr>
    </w:p>
    <w:p>
      <w:pPr>
        <w:ind w:left="180" w:right="279" w:firstLine="346"/>
        <w:spacing w:after="0" w:line="286"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affairs of Williams, the holders of the preferred stock of the respective series are entitled to be paid in full the following amounts:</w:t>
      </w:r>
    </w:p>
    <w:p>
      <w:pPr>
        <w:spacing w:after="0" w:line="51" w:lineRule="exact"/>
        <w:rPr>
          <w:sz w:val="20"/>
          <w:szCs w:val="20"/>
          <w:color w:val="auto"/>
        </w:rPr>
      </w:pPr>
    </w:p>
    <w:p>
      <w:pPr>
        <w:ind w:left="940" w:hanging="333"/>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fixed in the certificate of designation providing for the issue of shares of the series; plus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 equal to all accrued and unpaid dividends on the shares of preferred stock to the date of payment of the dividends.</w:t>
      </w:r>
    </w:p>
    <w:p>
      <w:pPr>
        <w:spacing w:after="0" w:line="178" w:lineRule="exact"/>
        <w:rPr>
          <w:sz w:val="20"/>
          <w:szCs w:val="20"/>
          <w:color w:val="auto"/>
        </w:rPr>
      </w:pPr>
    </w:p>
    <w:p>
      <w:pPr>
        <w:ind w:left="180" w:right="199" w:firstLine="346"/>
        <w:spacing w:after="0" w:line="261" w:lineRule="auto"/>
        <w:rPr>
          <w:sz w:val="20"/>
          <w:szCs w:val="20"/>
          <w:color w:val="auto"/>
        </w:rPr>
      </w:pPr>
      <w:r>
        <w:rPr>
          <w:rFonts w:ascii="Times New Roman" w:cs="Times New Roman" w:eastAsia="Times New Roman" w:hAnsi="Times New Roman"/>
          <w:sz w:val="14"/>
          <w:szCs w:val="14"/>
          <w:color w:val="auto"/>
        </w:rPr>
        <w:t>We must have made this payment in full to the holders of the preferred stock before we may make any distribution or payment to the holders of any class of stock ranking junior to the preferred stock as to dividends or distribution of assets on liquidation. After we have made this payment in full to the holders of the preferred stock, our remaining assets and funds will be distributed among the holders of our stock ranking junior to the preferred stock according to their rights. If our assets available for distribution to holders of preferred stock are insufficient to make the payment required to be made in full, these assets will be distributed to the holders of shares of preferred stock proportionately to the amounts payable upon each share of preferred stock.</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Common Stock</w:t>
      </w:r>
    </w:p>
    <w:p>
      <w:pPr>
        <w:spacing w:after="0" w:line="95" w:lineRule="exact"/>
        <w:rPr>
          <w:sz w:val="20"/>
          <w:szCs w:val="20"/>
          <w:color w:val="auto"/>
        </w:rPr>
      </w:pPr>
    </w:p>
    <w:p>
      <w:pPr>
        <w:ind w:left="180" w:right="199" w:firstLine="346"/>
        <w:spacing w:after="0" w:line="257" w:lineRule="auto"/>
        <w:rPr>
          <w:sz w:val="20"/>
          <w:szCs w:val="20"/>
          <w:color w:val="auto"/>
        </w:rPr>
      </w:pPr>
      <w:r>
        <w:rPr>
          <w:rFonts w:ascii="Times New Roman" w:cs="Times New Roman" w:eastAsia="Times New Roman" w:hAnsi="Times New Roman"/>
          <w:sz w:val="14"/>
          <w:szCs w:val="14"/>
          <w:color w:val="auto"/>
        </w:rPr>
        <w:t>As of the date of this prospectus, we are authorized to issue up to 1,470,000,000 shares of common stock, par value $1.00 per share. As of October 30, 2026, we had 2,539,753,027 issued and outstanding shares of common stock. As of October 30, 2026, 61,461,205 shares of our common stock were reserved for issuance pursuant to existing and future stock awards under our stock incentive plans, of which 57,801,928 shares were available for future grants. As of October 30, 2026, 2,371,091 shares of our common stock were reserved for issuance pursuant to our employee stock purchase plan. The outstanding shares of common stock are fully paid and nonassessable. The holders of common stock are not entitled to preemptive or redemption rights. Shares of common stock are not convertible into shares of any other class of capital stock. Computershare Trust Company, N.A. (“Computershare”) is the transfer agent and registrar for our common stock. Our common stock is listed on the New York Stock Exchange under the ticker symbol “WMB.”</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5" w:lineRule="exact"/>
        <w:rPr>
          <w:sz w:val="20"/>
          <w:szCs w:val="20"/>
          <w:color w:val="auto"/>
        </w:rPr>
      </w:pPr>
    </w:p>
    <w:p>
      <w:pPr>
        <w:ind w:left="180" w:right="699" w:firstLine="346"/>
        <w:spacing w:after="0" w:line="286" w:lineRule="auto"/>
        <w:rPr>
          <w:sz w:val="20"/>
          <w:szCs w:val="20"/>
          <w:color w:val="auto"/>
        </w:rPr>
      </w:pPr>
      <w:r>
        <w:rPr>
          <w:rFonts w:ascii="Times New Roman" w:cs="Times New Roman" w:eastAsia="Times New Roman" w:hAnsi="Times New Roman"/>
          <w:sz w:val="14"/>
          <w:szCs w:val="14"/>
          <w:color w:val="auto"/>
        </w:rPr>
        <w:t>The holders of our common stock are entitled to receive dividends when, as, and if declared by our board of directors, out of funds legally available for their payment subject to the rights of holders of any outstanding preferred stock.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5" w:lineRule="exact"/>
        <w:rPr>
          <w:sz w:val="20"/>
          <w:szCs w:val="20"/>
          <w:color w:val="auto"/>
        </w:rPr>
      </w:pPr>
    </w:p>
    <w:p>
      <w:pPr>
        <w:ind w:left="180" w:right="259" w:firstLine="346"/>
        <w:spacing w:after="0" w:line="259" w:lineRule="auto"/>
        <w:rPr>
          <w:sz w:val="20"/>
          <w:szCs w:val="20"/>
          <w:color w:val="auto"/>
        </w:rPr>
      </w:pPr>
      <w:r>
        <w:rPr>
          <w:rFonts w:ascii="Times New Roman" w:cs="Times New Roman" w:eastAsia="Times New Roman" w:hAnsi="Times New Roman"/>
          <w:sz w:val="14"/>
          <w:szCs w:val="14"/>
          <w:color w:val="auto"/>
        </w:rPr>
        <w:t>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pacing w:after="0" w:line="95" w:lineRule="exact"/>
        <w:rPr>
          <w:sz w:val="20"/>
          <w:szCs w:val="20"/>
          <w:color w:val="auto"/>
        </w:rPr>
      </w:pPr>
    </w:p>
    <w:p>
      <w:pPr>
        <w:ind w:left="180" w:right="319" w:firstLine="346"/>
        <w:spacing w:after="0" w:line="269" w:lineRule="auto"/>
        <w:rPr>
          <w:sz w:val="20"/>
          <w:szCs w:val="20"/>
          <w:color w:val="auto"/>
        </w:rPr>
      </w:pPr>
      <w:r>
        <w:rPr>
          <w:rFonts w:ascii="Times New Roman" w:cs="Times New Roman" w:eastAsia="Times New Roman" w:hAnsi="Times New Roman"/>
          <w:sz w:val="14"/>
          <w:szCs w:val="14"/>
          <w:color w:val="auto"/>
        </w:rPr>
        <w:t>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currently have the following provisions in our charter or bylaws that could be considered to be “anti-takeover” provisions:</w:t>
      </w:r>
    </w:p>
    <w:p>
      <w:pPr>
        <w:spacing w:after="0" w:line="104" w:lineRule="exact"/>
        <w:rPr>
          <w:sz w:val="20"/>
          <w:szCs w:val="20"/>
          <w:color w:val="auto"/>
        </w:rPr>
      </w:pPr>
    </w:p>
    <w:p>
      <w:pPr>
        <w:ind w:left="940" w:right="399" w:hanging="333"/>
        <w:spacing w:after="0" w:line="286"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article in our charter requiring the affirmative vote of three-fourths of the outstanding shares of common stock for certain merger and asset sale transactions with holders of more than five percent of the voting power of Williams;</w:t>
      </w:r>
    </w:p>
    <w:p>
      <w:pPr>
        <w:spacing w:after="0" w:line="50" w:lineRule="exact"/>
        <w:rPr>
          <w:rFonts w:ascii="Times New Roman" w:cs="Times New Roman" w:eastAsia="Times New Roman" w:hAnsi="Times New Roman"/>
          <w:sz w:val="14"/>
          <w:szCs w:val="14"/>
          <w:color w:val="auto"/>
        </w:rPr>
      </w:pPr>
    </w:p>
    <w:p>
      <w:pPr>
        <w:ind w:left="940" w:right="559" w:hanging="333"/>
        <w:spacing w:after="0" w:line="286"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bylaw that only permits our chairman of the board, chief executive officer or a majority of the board to call a special meeting of the stockholders; and</w:t>
      </w:r>
    </w:p>
    <w:p>
      <w:pPr>
        <w:spacing w:after="0" w:line="50" w:lineRule="exact"/>
        <w:rPr>
          <w:rFonts w:ascii="Times New Roman" w:cs="Times New Roman" w:eastAsia="Times New Roman" w:hAnsi="Times New Roman"/>
          <w:sz w:val="14"/>
          <w:szCs w:val="14"/>
          <w:color w:val="auto"/>
        </w:rPr>
      </w:pPr>
    </w:p>
    <w:p>
      <w:pPr>
        <w:ind w:left="940" w:right="239" w:hanging="333"/>
        <w:spacing w:after="0" w:line="286"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bylaw requiring stockholders to provide prior notice for nominations for election to the board of directors or for proposing matters which can be acted upon at stockholders meetings.</w:t>
      </w:r>
    </w:p>
    <w:p>
      <w:pPr>
        <w:spacing w:after="0" w:line="125" w:lineRule="exact"/>
        <w:rPr>
          <w:sz w:val="20"/>
          <w:szCs w:val="20"/>
          <w:color w:val="auto"/>
        </w:rPr>
      </w:pPr>
    </w:p>
    <w:p>
      <w:pPr>
        <w:ind w:left="180" w:right="559" w:firstLine="346"/>
        <w:spacing w:after="0" w:line="286" w:lineRule="auto"/>
        <w:rPr>
          <w:sz w:val="20"/>
          <w:szCs w:val="20"/>
          <w:color w:val="auto"/>
        </w:rPr>
      </w:pPr>
      <w:r>
        <w:rPr>
          <w:rFonts w:ascii="Times New Roman" w:cs="Times New Roman" w:eastAsia="Times New Roman" w:hAnsi="Times New Roman"/>
          <w:sz w:val="14"/>
          <w:szCs w:val="14"/>
          <w:color w:val="auto"/>
        </w:rPr>
        <w:t>We are a Delaware corporation and are subject to Section 203 of the Delaware General Corporation Law (“DGCL”). In general, Section 203 prevents an interested stockholder, which is defined generally as a person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39" w:name="page40"/>
    <w:bookmarkEnd w:id="39"/>
    <w:p>
      <w:pPr>
        <w:ind w:left="180" w:right="41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owning 15% or more of our outstanding voting stock, from engaging in a business combination with us for three years following the date that person became an interested stockholder unless:</w:t>
      </w:r>
    </w:p>
    <w:p>
      <w:pPr>
        <w:spacing w:after="0" w:line="51" w:lineRule="exact"/>
        <w:rPr>
          <w:sz w:val="20"/>
          <w:szCs w:val="20"/>
          <w:color w:val="auto"/>
        </w:rPr>
      </w:pPr>
    </w:p>
    <w:p>
      <w:pPr>
        <w:ind w:left="940" w:right="419" w:hanging="333"/>
        <w:spacing w:after="0" w:line="286"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that person became an interested stockholder, our board of directors approved the transaction in which the interested stockholder became an interested stockholder or approved the business combination;</w:t>
      </w:r>
    </w:p>
    <w:p>
      <w:pPr>
        <w:spacing w:after="0" w:line="50" w:lineRule="exact"/>
        <w:rPr>
          <w:rFonts w:ascii="Times New Roman" w:cs="Times New Roman" w:eastAsia="Times New Roman" w:hAnsi="Times New Roman"/>
          <w:sz w:val="14"/>
          <w:szCs w:val="14"/>
          <w:color w:val="auto"/>
        </w:rPr>
      </w:pPr>
    </w:p>
    <w:p>
      <w:pPr>
        <w:ind w:left="940" w:right="379" w:hanging="333"/>
        <w:spacing w:after="0" w:line="269"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w:t>
      </w:r>
    </w:p>
    <w:p>
      <w:pPr>
        <w:spacing w:after="0" w:line="62" w:lineRule="exact"/>
        <w:rPr>
          <w:rFonts w:ascii="Times New Roman" w:cs="Times New Roman" w:eastAsia="Times New Roman" w:hAnsi="Times New Roman"/>
          <w:sz w:val="14"/>
          <w:szCs w:val="14"/>
          <w:color w:val="auto"/>
        </w:rPr>
      </w:pPr>
    </w:p>
    <w:p>
      <w:pPr>
        <w:ind w:left="940" w:right="419" w:hanging="333"/>
        <w:spacing w:after="0" w:line="269"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following the date on which that person became an interested stockholder, the business combination is approved by our board of directors and authorized at a meeting of stockholders by the affirmative vote of the holders of at least 662/3% of our outstanding voting stock (excluding shares held by the interested stockholder).</w:t>
      </w:r>
    </w:p>
    <w:p>
      <w:pPr>
        <w:spacing w:after="0" w:line="136" w:lineRule="exact"/>
        <w:rPr>
          <w:sz w:val="20"/>
          <w:szCs w:val="20"/>
          <w:color w:val="auto"/>
        </w:rPr>
      </w:pPr>
    </w:p>
    <w:p>
      <w:pPr>
        <w:jc w:val="center"/>
        <w:ind w:left="180" w:right="479"/>
        <w:spacing w:after="0" w:line="460" w:lineRule="auto"/>
        <w:rPr>
          <w:sz w:val="20"/>
          <w:szCs w:val="20"/>
          <w:color w:val="auto"/>
        </w:rPr>
      </w:pPr>
      <w:r>
        <w:rPr>
          <w:rFonts w:ascii="Times New Roman" w:cs="Times New Roman" w:eastAsia="Times New Roman" w:hAnsi="Times New Roman"/>
          <w:sz w:val="14"/>
          <w:szCs w:val="14"/>
          <w:color w:val="auto"/>
        </w:rPr>
        <w:t>A business combination includes mergers, asset sales and other transactions resulting in a financial benefit to the interested stockholder. 20</w:t>
      </w:r>
    </w:p>
    <w:p>
      <w:pPr>
        <w:sectPr>
          <w:pgSz w:w="11900" w:h="16838" w:orient="portrait"/>
          <w:cols w:equalWidth="0" w:num="1">
            <w:col w:w="9019"/>
          </w:cols>
          <w:pgMar w:left="1440" w:top="241" w:right="1440" w:bottom="1440" w:gutter="0" w:footer="0" w:header="0"/>
        </w:sectPr>
      </w:pPr>
    </w:p>
    <w:bookmarkStart w:id="40" w:name="page41"/>
    <w:bookmarkEnd w:id="40"/>
    <w:p>
      <w:pPr>
        <w:ind w:left="30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PURCHASE CONTRACTS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issue purchase contracts for the purchase or sale of:</w:t>
      </w:r>
    </w:p>
    <w:p>
      <w:pPr>
        <w:spacing w:after="0" w:line="104" w:lineRule="exact"/>
        <w:rPr>
          <w:sz w:val="20"/>
          <w:szCs w:val="20"/>
          <w:color w:val="auto"/>
        </w:rPr>
      </w:pPr>
    </w:p>
    <w:p>
      <w:pPr>
        <w:ind w:left="940" w:right="319" w:hanging="333"/>
        <w:spacing w:after="0" w:line="286" w:lineRule="auto"/>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currencies; or</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commodities.</w:t>
      </w:r>
    </w:p>
    <w:p>
      <w:pPr>
        <w:spacing w:after="0" w:line="178" w:lineRule="exact"/>
        <w:rPr>
          <w:sz w:val="20"/>
          <w:szCs w:val="20"/>
          <w:color w:val="auto"/>
        </w:rPr>
      </w:pPr>
    </w:p>
    <w:p>
      <w:pPr>
        <w:ind w:left="180" w:right="259" w:firstLine="346"/>
        <w:spacing w:after="0" w:line="258" w:lineRule="auto"/>
        <w:rPr>
          <w:sz w:val="20"/>
          <w:szCs w:val="20"/>
          <w:color w:val="auto"/>
        </w:rPr>
      </w:pPr>
      <w:r>
        <w:rPr>
          <w:rFonts w:ascii="Times New Roman" w:cs="Times New Roman" w:eastAsia="Times New Roman" w:hAnsi="Times New Roman"/>
          <w:sz w:val="14"/>
          <w:szCs w:val="14"/>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44"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 a copy of which is filed as an exhibit to the registration statement of which this prospectus is a part.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WARRANTS</w:t>
      </w:r>
    </w:p>
    <w:p>
      <w:pPr>
        <w:spacing w:after="0" w:line="180" w:lineRule="exact"/>
        <w:rPr>
          <w:sz w:val="20"/>
          <w:szCs w:val="20"/>
          <w:color w:val="auto"/>
        </w:rPr>
      </w:pPr>
    </w:p>
    <w:p>
      <w:pPr>
        <w:ind w:left="180" w:right="259" w:firstLine="346"/>
        <w:spacing w:after="0" w:line="261" w:lineRule="auto"/>
        <w:rPr>
          <w:sz w:val="20"/>
          <w:szCs w:val="20"/>
          <w:color w:val="auto"/>
        </w:rPr>
      </w:pPr>
      <w:r>
        <w:rPr>
          <w:rFonts w:ascii="Times New Roman" w:cs="Times New Roman" w:eastAsia="Times New Roman" w:hAnsi="Times New Roman"/>
          <w:sz w:val="14"/>
          <w:szCs w:val="14"/>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following terms of any warrants in respect of which this prospectus is being delivered:</w:t>
      </w:r>
    </w:p>
    <w:p>
      <w:pPr>
        <w:spacing w:after="0" w:line="104" w:lineRule="exact"/>
        <w:rPr>
          <w:sz w:val="20"/>
          <w:szCs w:val="20"/>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price of such warrants will be payable;</w:t>
      </w:r>
    </w:p>
    <w:p>
      <w:pPr>
        <w:spacing w:after="0" w:line="103" w:lineRule="exact"/>
        <w:rPr>
          <w:rFonts w:ascii="Times New Roman" w:cs="Times New Roman" w:eastAsia="Times New Roman" w:hAnsi="Times New Roman"/>
          <w:sz w:val="14"/>
          <w:szCs w:val="14"/>
          <w:color w:val="auto"/>
        </w:rPr>
      </w:pPr>
    </w:p>
    <w:p>
      <w:pPr>
        <w:ind w:left="940" w:right="279" w:hanging="333"/>
        <w:spacing w:after="0" w:line="286"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50" w:lineRule="exact"/>
        <w:rPr>
          <w:rFonts w:ascii="Times New Roman" w:cs="Times New Roman" w:eastAsia="Times New Roman" w:hAnsi="Times New Roman"/>
          <w:sz w:val="14"/>
          <w:szCs w:val="14"/>
          <w:color w:val="auto"/>
        </w:rPr>
      </w:pPr>
    </w:p>
    <w:p>
      <w:pPr>
        <w:ind w:left="940" w:right="219" w:hanging="333"/>
        <w:spacing w:after="0" w:line="286"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and the currency or currencies, in which the securities or other rights purchasable upon exercise of such warrants may be purchased;</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03" w:lineRule="exact"/>
        <w:rPr>
          <w:rFonts w:ascii="Times New Roman" w:cs="Times New Roman" w:eastAsia="Times New Roman" w:hAnsi="Times New Roman"/>
          <w:sz w:val="14"/>
          <w:szCs w:val="14"/>
          <w:color w:val="auto"/>
        </w:rPr>
      </w:pPr>
    </w:p>
    <w:p>
      <w:pPr>
        <w:ind w:left="940" w:right="299" w:hanging="333"/>
        <w:spacing w:after="0" w:line="286"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such warrants are issued and the number of such warrants issued with each such security;</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UNITS</w:t>
      </w:r>
    </w:p>
    <w:p>
      <w:pPr>
        <w:spacing w:after="0" w:line="180" w:lineRule="exact"/>
        <w:rPr>
          <w:sz w:val="20"/>
          <w:szCs w:val="20"/>
          <w:color w:val="auto"/>
        </w:rPr>
      </w:pPr>
    </w:p>
    <w:p>
      <w:pPr>
        <w:ind w:left="180" w:right="319" w:firstLine="346"/>
        <w:spacing w:after="0" w:line="286"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purchase contracts, warrants, debt securities, shares of preferred stock, shares of common stock, or any combination of such securities. The applicable prospectus supplement will describe:</w:t>
      </w:r>
    </w:p>
    <w:p>
      <w:pPr>
        <w:spacing w:after="0" w:line="51" w:lineRule="exact"/>
        <w:rPr>
          <w:sz w:val="20"/>
          <w:szCs w:val="20"/>
          <w:color w:val="auto"/>
        </w:rPr>
      </w:pPr>
    </w:p>
    <w:p>
      <w:pPr>
        <w:ind w:left="940" w:right="479" w:hanging="333"/>
        <w:spacing w:after="0" w:line="286"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purchase contracts, warrants, debt securities, preferred stock, and common stock comprising the units, including whether and under what circumstances the securities comprising the units may be traded separately;</w:t>
      </w:r>
    </w:p>
    <w:p>
      <w:pPr>
        <w:spacing w:after="0" w:line="50"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103" w:lineRule="exact"/>
        <w:rPr>
          <w:rFonts w:ascii="Times New Roman" w:cs="Times New Roman" w:eastAsia="Times New Roman" w:hAnsi="Times New Roman"/>
          <w:sz w:val="14"/>
          <w:szCs w:val="14"/>
          <w:color w:val="auto"/>
        </w:rPr>
      </w:pPr>
    </w:p>
    <w:p>
      <w:pPr>
        <w:ind w:left="940" w:hanging="333"/>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SELLING SECURITYHOLDERS</w:t>
      </w:r>
    </w:p>
    <w:p>
      <w:pPr>
        <w:spacing w:after="0" w:line="180" w:lineRule="exact"/>
        <w:rPr>
          <w:sz w:val="20"/>
          <w:szCs w:val="20"/>
          <w:color w:val="auto"/>
        </w:rPr>
      </w:pPr>
    </w:p>
    <w:p>
      <w:pPr>
        <w:ind w:left="180" w:right="479" w:firstLine="346"/>
        <w:spacing w:after="0" w:line="286"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80" w:right="379" w:firstLine="346"/>
        <w:spacing w:after="0" w:line="286" w:lineRule="auto"/>
        <w:rPr>
          <w:sz w:val="20"/>
          <w:szCs w:val="20"/>
          <w:color w:val="auto"/>
        </w:rPr>
      </w:pPr>
      <w:r>
        <w:rPr>
          <w:rFonts w:ascii="Times New Roman" w:cs="Times New Roman" w:eastAsia="Times New Roman" w:hAnsi="Times New Roman"/>
          <w:sz w:val="14"/>
          <w:szCs w:val="14"/>
          <w:color w:val="auto"/>
        </w:rPr>
        <w:t>Certain legal matters will be passed upon for us by Gibson, Dunn &amp; Crutcher LLP. Any agents or underwriters will be represented by their own legal counsel named in the applicable prospectus supplement.</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80" w:right="219" w:firstLine="346"/>
        <w:spacing w:after="0" w:line="256" w:lineRule="auto"/>
        <w:rPr>
          <w:sz w:val="20"/>
          <w:szCs w:val="20"/>
          <w:color w:val="auto"/>
        </w:rPr>
      </w:pPr>
      <w:r>
        <w:rPr>
          <w:rFonts w:ascii="Times New Roman" w:cs="Times New Roman" w:eastAsia="Times New Roman" w:hAnsi="Times New Roman"/>
          <w:sz w:val="14"/>
          <w:szCs w:val="14"/>
          <w:color w:val="auto"/>
        </w:rPr>
        <w:t>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2025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49" w:lineRule="exact"/>
        <w:rPr>
          <w:sz w:val="20"/>
          <w:szCs w:val="20"/>
          <w:color w:val="auto"/>
        </w:rPr>
      </w:pPr>
    </w:p>
    <w:p>
      <w:pPr>
        <w:ind w:left="180" w:right="259" w:firstLine="346"/>
        <w:spacing w:after="0" w:line="259" w:lineRule="auto"/>
        <w:rPr>
          <w:sz w:val="20"/>
          <w:szCs w:val="20"/>
          <w:color w:val="auto"/>
        </w:rPr>
      </w:pPr>
      <w:r>
        <w:rPr>
          <w:rFonts w:ascii="Times New Roman" w:cs="Times New Roman" w:eastAsia="Times New Roman" w:hAnsi="Times New Roman"/>
          <w:sz w:val="14"/>
          <w:szCs w:val="14"/>
          <w:color w:val="auto"/>
        </w:rPr>
        <w:t>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1033780</wp:posOffset>
            </wp:positionH>
            <wp:positionV relativeFrom="page">
              <wp:posOffset>182880</wp:posOffset>
            </wp:positionV>
            <wp:extent cx="548767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5487670" cy="13335"/>
                    </a:xfrm>
                    <a:prstGeom prst="rect">
                      <a:avLst/>
                    </a:prstGeom>
                    <a:noFill/>
                  </pic:spPr>
                </pic:pic>
              </a:graphicData>
            </a:graphic>
          </wp:anchor>
        </w:drawing>
        <w:drawing>
          <wp:anchor simplePos="0" relativeHeight="251657728" behindDoc="1" locked="0" layoutInCell="0" allowOverlap="1">
            <wp:simplePos x="0" y="0"/>
            <wp:positionH relativeFrom="page">
              <wp:posOffset>1033780</wp:posOffset>
            </wp:positionH>
            <wp:positionV relativeFrom="page">
              <wp:posOffset>223520</wp:posOffset>
            </wp:positionV>
            <wp:extent cx="548767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5487670" cy="6985"/>
                    </a:xfrm>
                    <a:prstGeom prst="rect">
                      <a:avLst/>
                    </a:prstGeom>
                    <a:noFill/>
                  </pic:spPr>
                </pic:pic>
              </a:graphicData>
            </a:graphic>
          </wp:anchor>
        </w:drawing>
        <w:drawing>
          <wp:anchor simplePos="0" relativeHeight="251657728" behindDoc="1" locked="0" layoutInCell="0" allowOverlap="1">
            <wp:simplePos x="0" y="0"/>
            <wp:positionH relativeFrom="page">
              <wp:posOffset>3286760</wp:posOffset>
            </wp:positionH>
            <wp:positionV relativeFrom="page">
              <wp:posOffset>499110</wp:posOffset>
            </wp:positionV>
            <wp:extent cx="975360" cy="517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975360" cy="51752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Up to 26,874,496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2336800</wp:posOffset>
            </wp:positionV>
            <wp:extent cx="114998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201295</wp:posOffset>
            </wp:positionV>
            <wp:extent cx="114998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271780</wp:posOffset>
            </wp:positionV>
            <wp:extent cx="548767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5487670" cy="698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325120</wp:posOffset>
            </wp:positionV>
            <wp:extent cx="548767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5487670"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5" w:name="page46"/>
    <w:bookmarkEnd w:id="45"/>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WILLIAMS COMPANIES,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1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7"/>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3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right"/>
              <w:ind w:right="2"/>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10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ind w:right="55"/>
              <w:spacing w:after="0" w:line="16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ind w:left="120"/>
              <w:spacing w:after="0" w:line="117" w:lineRule="exact"/>
              <w:rPr>
                <w:sz w:val="20"/>
                <w:szCs w:val="20"/>
                <w:color w:val="auto"/>
              </w:rPr>
            </w:pPr>
            <w:r>
              <w:rPr>
                <w:rFonts w:ascii="Arial" w:cs="Arial" w:eastAsia="Arial" w:hAnsi="Arial"/>
                <w:sz w:val="13"/>
                <w:szCs w:val="13"/>
                <w:b w:val="1"/>
                <w:bCs w:val="1"/>
                <w:color w:val="auto"/>
              </w:rPr>
              <w:t>Class</w:t>
            </w:r>
          </w:p>
        </w:tc>
        <w:tc>
          <w:tcPr>
            <w:tcW w:w="4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13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4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Rate</w:t>
            </w:r>
          </w:p>
        </w:tc>
        <w:tc>
          <w:tcPr>
            <w:tcW w:w="20" w:type="dxa"/>
            <w:vAlign w:val="bottom"/>
          </w:tcPr>
          <w:p>
            <w:pPr>
              <w:spacing w:after="0"/>
              <w:rPr>
                <w:sz w:val="10"/>
                <w:szCs w:val="10"/>
                <w:color w:val="auto"/>
              </w:rPr>
            </w:pPr>
          </w:p>
        </w:tc>
        <w:tc>
          <w:tcPr>
            <w:tcW w:w="102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104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80"/>
              <w:spacing w:after="0" w:line="169"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4"/>
                <w:szCs w:val="14"/>
                <w:color w:val="auto"/>
              </w:rPr>
            </w:pPr>
          </w:p>
        </w:tc>
        <w:tc>
          <w:tcPr>
            <w:tcW w:w="9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4"/>
                <w:szCs w:val="14"/>
                <w:color w:val="auto"/>
              </w:rPr>
            </w:pPr>
          </w:p>
        </w:tc>
        <w:tc>
          <w:tcPr>
            <w:tcW w:w="13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4"/>
                <w:szCs w:val="14"/>
                <w:color w:val="auto"/>
              </w:rPr>
            </w:pPr>
          </w:p>
        </w:tc>
        <w:tc>
          <w:tcPr>
            <w:tcW w:w="4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right"/>
              <w:ind w:right="282"/>
              <w:spacing w:after="0" w:line="16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4"/>
                <w:szCs w:val="14"/>
                <w:color w:val="auto"/>
              </w:rPr>
            </w:pPr>
          </w:p>
        </w:tc>
        <w:tc>
          <w:tcPr>
            <w:tcW w:w="104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10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jc w:val="center"/>
              <w:ind w:left="38"/>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vMerge w:val="continue"/>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jc w:val="center"/>
              <w:ind w:left="38"/>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5"/>
              </w:rPr>
              <w:t>Common</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right"/>
              <w:ind w:right="95"/>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26,874,496</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02/21/2024</w:t>
            </w:r>
          </w:p>
        </w:tc>
        <w:tc>
          <w:tcPr>
            <w:tcW w:w="20" w:type="dxa"/>
            <w:vAlign w:val="bottom"/>
          </w:tcPr>
          <w:p>
            <w:pPr>
              <w:spacing w:after="0"/>
              <w:rPr>
                <w:sz w:val="8"/>
                <w:szCs w:val="8"/>
                <w:color w:val="auto"/>
              </w:rPr>
            </w:pPr>
          </w:p>
        </w:tc>
        <w:tc>
          <w:tcPr>
            <w:tcW w:w="1040" w:type="dxa"/>
            <w:vAlign w:val="bottom"/>
            <w:tcBorders>
              <w:right w:val="single" w:sz="8" w:color="auto"/>
            </w:tcBorders>
            <w:vMerge w:val="continue"/>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w w:val="99"/>
              </w:rPr>
              <w:t>2,024,724,528.64</w:t>
            </w: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rPr>
              <w:t>277232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right w:val="single" w:sz="8" w:color="auto"/>
            </w:tcBorders>
            <w:shd w:val="clear" w:color="auto" w:fill="E7E7E2"/>
          </w:tcPr>
          <w:p>
            <w:pPr>
              <w:jc w:val="right"/>
              <w:spacing w:after="0" w:line="169" w:lineRule="exact"/>
              <w:rPr>
                <w:sz w:val="20"/>
                <w:szCs w:val="20"/>
                <w:color w:val="auto"/>
              </w:rPr>
            </w:pPr>
            <w:r>
              <w:rPr>
                <w:rFonts w:ascii="Arial" w:cs="Arial" w:eastAsia="Arial" w:hAnsi="Arial"/>
                <w:sz w:val="17"/>
                <w:szCs w:val="17"/>
                <w:color w:val="auto"/>
                <w:w w:val="98"/>
              </w:rPr>
              <w:t>1,279,614.46</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7" w:lineRule="exact"/>
              <w:rPr>
                <w:sz w:val="20"/>
                <w:szCs w:val="20"/>
                <w:color w:val="auto"/>
              </w:rPr>
            </w:pPr>
            <w:r>
              <w:rPr>
                <w:rFonts w:ascii="Arial" w:cs="Arial" w:eastAsia="Arial" w:hAnsi="Arial"/>
                <w:sz w:val="13"/>
                <w:szCs w:val="13"/>
                <w:color w:val="auto"/>
              </w:rPr>
              <w:t>Securities</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par</w:t>
            </w:r>
          </w:p>
        </w:tc>
        <w:tc>
          <w:tcPr>
            <w:tcW w:w="4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2,024,724,528.64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4"/>
        <w:spacing w:after="0" w:line="232" w:lineRule="auto"/>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(a) The amount registered represents (i) 26,874,496 shares of common stock. The proposed maximum offering price per unit was estimated solely for the purpose of computing the amount of the registration fee pursuant to Rule 457(c) under the Securities Act, based on the average of the high and low prices of the common stock on the New York Stock Exchange on September 1, 2026, which date is a date within five business days prior to the filing of the prospectus supplement dated September 3, 2026 to the Registration Statement on Form S-3 filed with the Securities and Exchange Commission (File No. 333-277232), which became effective February 21, 2024 (the "2024 Registration Statement"). (b) Pursuant to Rule 415(a)(6) this registration statement carries over 26,874,496 unsold shares of common stock of the 26,874,496 shares of common stock previously registered on the 2024 Registration Statement. As a result, the offering of unsold securities under the 2024 Registration Statement will be deemed terminated as of the date of effectiveness of the registration statement on Form S-3 to which this Exhibit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69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80" w:type="dxa"/>
            <w:vAlign w:val="bottom"/>
            <w:gridSpan w:val="3"/>
            <w:shd w:val="clear" w:color="auto" w:fill="9ADAF6"/>
          </w:tcPr>
          <w:p>
            <w:pPr>
              <w:jc w:val="center"/>
              <w:ind w:right="15"/>
              <w:spacing w:after="0" w:line="16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3"/>
          </w:tcPr>
          <w:p>
            <w:pPr>
              <w:jc w:val="center"/>
              <w:ind w:left="515"/>
              <w:spacing w:after="0"/>
              <w:rPr>
                <w:sz w:val="20"/>
                <w:szCs w:val="20"/>
                <w:color w:val="auto"/>
              </w:rPr>
            </w:pPr>
            <w:r>
              <w:rPr>
                <w:rFonts w:ascii="Arial" w:cs="Arial" w:eastAsia="Arial" w:hAnsi="Arial"/>
                <w:sz w:val="17"/>
                <w:szCs w:val="17"/>
                <w:b w:val="1"/>
                <w:bCs w:val="1"/>
                <w:color w:val="auto"/>
                <w:w w:val="98"/>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5"/>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5"/>
            <w:shd w:val="clear" w:color="auto" w:fill="9ADAF6"/>
          </w:tcPr>
          <w:p>
            <w:pPr>
              <w:jc w:val="center"/>
              <w:ind w:left="255"/>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jc w:val="center"/>
              <w:ind w:left="255"/>
              <w:spacing w:after="0" w:line="191"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jc w:val="center"/>
              <w:ind w:left="255"/>
              <w:spacing w:after="0" w:line="191"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maximum aggregate offering price of the securities to which the prospectus relates is $2,024,724,528.64. The prospectus is a final prospectus for</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2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2"/>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2"/>
    </w:lvl>
    <w:lvl w:ilvl="1">
      <w:lvlJc w:val="left"/>
      <w:lvlText w:val="(%2)"/>
      <w:numFmt w:val="lowerLetter"/>
      <w:start w:val="35"/>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jpe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jpe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29" Type="http://schemas.openxmlformats.org/officeDocument/2006/relationships/hyperlink" Target="http://www.sec.gov/ix?doc=/Archives/edgar/data/0000107263/000010726326000006/wmb-20251231.htm" TargetMode="External"/><Relationship Id="rId30" Type="http://schemas.openxmlformats.org/officeDocument/2006/relationships/hyperlink" Target="http://www.sec.gov/ix?doc=/Archives/edgar/data/0000107263/000010726326000017/wmb-20260331.htm" TargetMode="External"/><Relationship Id="rId31" Type="http://schemas.openxmlformats.org/officeDocument/2006/relationships/hyperlink" Target="http://www.sec.gov/ix?doc=/Archives/edgar/data/0000107263/000010726326000026/wmb-20260630.htm" TargetMode="External"/><Relationship Id="rId32" Type="http://schemas.openxmlformats.org/officeDocument/2006/relationships/hyperlink" Target="http://www.sec.gov/ix?doc=/Archives/edgar/data/0000107263/000010726326000036/wmb-20260930.htm" TargetMode="External"/><Relationship Id="rId33" Type="http://schemas.openxmlformats.org/officeDocument/2006/relationships/hyperlink" Target="http://www.sec.gov/ix?doc=/Archives/edgar/data/0000107263/000119312526112643/wmb-20260317.htm" TargetMode="External"/><Relationship Id="rId34" Type="http://schemas.openxmlformats.org/officeDocument/2006/relationships/hyperlink" Target="http://www.sec.gov/ix?doc=/Archives/edgar/data/107263/000119312526007085/d56301d8k.htm" TargetMode="External"/><Relationship Id="rId35" Type="http://schemas.openxmlformats.org/officeDocument/2006/relationships/hyperlink" Target="http://www.sec.gov/ix?doc=/Archives/edgar/data/107263/000119312526007722/d33935d8k.htm" TargetMode="External"/><Relationship Id="rId36" Type="http://schemas.openxmlformats.org/officeDocument/2006/relationships/hyperlink" Target="http://www.sec.gov/ix?doc=/Archives/edgar/data/107263/000010726326000008/wmb-20260326.htm" TargetMode="External"/><Relationship Id="rId37" Type="http://schemas.openxmlformats.org/officeDocument/2006/relationships/hyperlink" Target="http://www.sec.gov/ix?doc=/Archives/edgar/data/107263/000010726326000013/wmb-20260504.htm" TargetMode="External"/><Relationship Id="rId38" Type="http://schemas.openxmlformats.org/officeDocument/2006/relationships/hyperlink" Target="http://www.sec.gov/ix?doc=/Archives/edgar/data/99250/000119312526232714/d227957d8k.htm" TargetMode="External"/><Relationship Id="rId39" Type="http://schemas.openxmlformats.org/officeDocument/2006/relationships/hyperlink" Target="http://www.sec.gov/ix?doc=/Archives/edgar/data/107263/000010726326000020/wmb-20260701.htm" TargetMode="External"/><Relationship Id="rId40" Type="http://schemas.openxmlformats.org/officeDocument/2006/relationships/hyperlink" Target="http://www.sec.gov/ix?doc=/Archives/edgar/data/107263/000010726326000028/wmb-20260821.htm" TargetMode="External"/><Relationship Id="rId41" Type="http://schemas.openxmlformats.org/officeDocument/2006/relationships/hyperlink" Target="http://www.sec.gov/ix?doc=/Archives/edgar/data/107263/000119312526381926/d111572d8k.htm" TargetMode="External"/><Relationship Id="rId42" Type="http://schemas.openxmlformats.org/officeDocument/2006/relationships/hyperlink" Target="http://www.sec.gov/ix?doc=/Archives/edgar/data/107263/000119312526387359/d113424d8k.htm" TargetMode="External"/><Relationship Id="rId43" Type="http://schemas.openxmlformats.org/officeDocument/2006/relationships/hyperlink" Target="http://www.sec.gov/ix?doc=/Archives/edgar/data/107263/000119312526387930/d116217d8k.htm" TargetMode="External"/><Relationship Id="rId54" Type="http://schemas.openxmlformats.org/officeDocument/2006/relationships/hyperlink" Target="http://www.sec.gov/ix?doc=/Archives/edgar/data/0000107263/000010726326000008/wmb-20260326.htm" TargetMode="External"/><Relationship Id="rId55" Type="http://schemas.openxmlformats.org/officeDocument/2006/relationships/hyperlink" Target="http://www.sec.gov/ix?doc=/Archives/edgar/data/0000107263/000010726326000013/wmb-20260504.htm" TargetMode="External"/><Relationship Id="rId56" Type="http://schemas.openxmlformats.org/officeDocument/2006/relationships/hyperlink" Target="http://www.sec.gov/ix?doc=/Archives/edgar/data/0000107263/000119312526232714/d227957d8k.htm" TargetMode="External"/><Relationship Id="rId57" Type="http://schemas.openxmlformats.org/officeDocument/2006/relationships/hyperlink" Target="http://www.sec.gov/ix?doc=/Archives/edgar/data/0000107263/000010726326000020/wmb-20260701.htm" TargetMode="External"/><Relationship Id="rId58" Type="http://schemas.openxmlformats.org/officeDocument/2006/relationships/hyperlink" Target="http://www.sec.gov/ix?doc=/Archives/edgar/data/0000107263/000119312526387359/d113424d8k.htm" TargetMode="External"/><Relationship Id="rId59" Type="http://schemas.openxmlformats.org/officeDocument/2006/relationships/hyperlink" Target="http://www.sec.gov/ix?doc=/Archives/edgar/data/0000107263/000119312526387930/d116217d8k.htm" TargetMode="External"/><Relationship Id="rId60" Type="http://schemas.openxmlformats.org/officeDocument/2006/relationships/hyperlink" Target="http://www.sec.gov/Archives/edgar/data/107263/000010726323000007/wmb_20221231x10kxex435.htm" TargetMode="External"/><Relationship Id="rId61" Type="http://schemas.openxmlformats.org/officeDocument/2006/relationships/hyperlink" Target="http://www.sec.gov/Archives/edgar/data/107263/000119312518219725/d52272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2026-11-02T16:20:13Z</dcterms:created>
  <dcterms:modified xsi:type="dcterms:W3CDTF">2026-11-02T16:20:13Z</dcterms:modified>
</cp:coreProperties>
</file>