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November 2, 2026</w:t>
      </w:r>
    </w:p>
    <w:p>
      <w:pPr>
        <w:spacing w:after="0" w:line="30" w:lineRule="exact"/>
        <w:rPr>
          <w:sz w:val="24"/>
          <w:szCs w:val="24"/>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770255</wp:posOffset>
            </wp:positionH>
            <wp:positionV relativeFrom="paragraph">
              <wp:posOffset>62865</wp:posOffset>
            </wp:positionV>
            <wp:extent cx="56280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28005" cy="6985"/>
                    </a:xfrm>
                    <a:prstGeom prst="rect">
                      <a:avLst/>
                    </a:prstGeom>
                    <a:noFill/>
                  </pic:spPr>
                </pic:pic>
              </a:graphicData>
            </a:graphic>
          </wp:anchor>
        </w:drawing>
        <w:drawing>
          <wp:anchor simplePos="0" relativeHeight="251657728" behindDoc="1" locked="0" layoutInCell="0" allowOverlap="1">
            <wp:simplePos x="0" y="0"/>
            <wp:positionH relativeFrom="column">
              <wp:posOffset>770255</wp:posOffset>
            </wp:positionH>
            <wp:positionV relativeFrom="paragraph">
              <wp:posOffset>97155</wp:posOffset>
            </wp:positionV>
            <wp:extent cx="56280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28005" cy="6985"/>
                    </a:xfrm>
                    <a:prstGeom prst="rect">
                      <a:avLst/>
                    </a:prstGeom>
                    <a:noFill/>
                  </pic:spPr>
                </pic:pic>
              </a:graphicData>
            </a:graphic>
          </wp:anchor>
        </w:drawing>
      </w:r>
    </w:p>
    <w:p>
      <w:pPr>
        <w:spacing w:after="0" w:line="19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2990850</wp:posOffset>
            </wp:positionH>
            <wp:positionV relativeFrom="paragraph">
              <wp:posOffset>91440</wp:posOffset>
            </wp:positionV>
            <wp:extent cx="11861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1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6"/>
          <w:szCs w:val="26"/>
          <w:b w:val="1"/>
          <w:bCs w:val="1"/>
          <w:color w:val="auto"/>
        </w:rPr>
        <w:t>FORM S-3</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6"/>
          <w:szCs w:val="26"/>
          <w:b w:val="1"/>
          <w:bCs w:val="1"/>
          <w:color w:val="auto"/>
        </w:rPr>
        <w:t>REGISTRATION STATEMENT</w:t>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UNDER</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2990850</wp:posOffset>
            </wp:positionH>
            <wp:positionV relativeFrom="paragraph">
              <wp:posOffset>106680</wp:posOffset>
            </wp:positionV>
            <wp:extent cx="11861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5"/>
          <w:szCs w:val="35"/>
          <w:b w:val="1"/>
          <w:bCs w:val="1"/>
          <w:color w:val="auto"/>
        </w:rPr>
        <w:t>The Williams Companies, Inc.</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2990850</wp:posOffset>
            </wp:positionH>
            <wp:positionV relativeFrom="paragraph">
              <wp:posOffset>104140</wp:posOffset>
            </wp:positionV>
            <wp:extent cx="11861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214" w:lineRule="exact"/>
        <w:rPr>
          <w:sz w:val="24"/>
          <w:szCs w:val="24"/>
          <w:color w:val="auto"/>
        </w:rPr>
      </w:pPr>
    </w:p>
    <w:tbl>
      <w:tblPr>
        <w:tblLayout w:type="fixed"/>
        <w:tblInd w:w="2700" w:type="dxa"/>
        <w:tblCellMar>
          <w:top w:w="0" w:type="dxa"/>
          <w:left w:w="0" w:type="dxa"/>
          <w:bottom w:w="0" w:type="dxa"/>
          <w:right w:w="0" w:type="dxa"/>
        </w:tblCellMar>
      </w:tblPr>
      <w:tr>
        <w:trPr>
          <w:trHeight w:val="171"/>
        </w:trPr>
        <w:tc>
          <w:tcPr>
            <w:tcW w:w="3080" w:type="dxa"/>
            <w:vAlign w:val="bottom"/>
          </w:tcPr>
          <w:p>
            <w:pPr>
              <w:jc w:val="center"/>
              <w:ind w:right="1517"/>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720" w:type="dxa"/>
            <w:vAlign w:val="bottom"/>
          </w:tcPr>
          <w:p>
            <w:pPr>
              <w:jc w:val="center"/>
              <w:ind w:left="1517"/>
              <w:spacing w:after="0"/>
              <w:rPr>
                <w:sz w:val="20"/>
                <w:szCs w:val="20"/>
                <w:color w:val="auto"/>
              </w:rPr>
            </w:pPr>
            <w:r>
              <w:rPr>
                <w:rFonts w:ascii="Times New Roman" w:cs="Times New Roman" w:eastAsia="Times New Roman" w:hAnsi="Times New Roman"/>
                <w:sz w:val="14"/>
                <w:szCs w:val="14"/>
                <w:b w:val="1"/>
                <w:bCs w:val="1"/>
                <w:color w:val="auto"/>
              </w:rPr>
              <w:t>73-0569878</w:t>
            </w:r>
          </w:p>
        </w:tc>
      </w:tr>
      <w:tr>
        <w:trPr>
          <w:trHeight w:val="119"/>
        </w:trPr>
        <w:tc>
          <w:tcPr>
            <w:tcW w:w="3080" w:type="dxa"/>
            <w:vAlign w:val="bottom"/>
          </w:tcPr>
          <w:p>
            <w:pPr>
              <w:jc w:val="center"/>
              <w:ind w:right="1517"/>
              <w:spacing w:after="0" w:line="120" w:lineRule="exact"/>
              <w:rPr>
                <w:sz w:val="20"/>
                <w:szCs w:val="20"/>
                <w:color w:val="auto"/>
              </w:rPr>
            </w:pPr>
            <w:r>
              <w:rPr>
                <w:rFonts w:ascii="Times New Roman" w:cs="Times New Roman" w:eastAsia="Times New Roman" w:hAnsi="Times New Roman"/>
                <w:sz w:val="12"/>
                <w:szCs w:val="12"/>
                <w:b w:val="1"/>
                <w:bCs w:val="1"/>
                <w:color w:val="auto"/>
                <w:w w:val="97"/>
              </w:rPr>
              <w:t>(State or other jurisdiction of</w:t>
            </w:r>
          </w:p>
        </w:tc>
        <w:tc>
          <w:tcPr>
            <w:tcW w:w="2720" w:type="dxa"/>
            <w:vAlign w:val="bottom"/>
          </w:tcPr>
          <w:p>
            <w:pPr>
              <w:jc w:val="center"/>
              <w:ind w:left="1497"/>
              <w:spacing w:after="0" w:line="120" w:lineRule="exact"/>
              <w:rPr>
                <w:sz w:val="20"/>
                <w:szCs w:val="20"/>
                <w:color w:val="auto"/>
              </w:rPr>
            </w:pPr>
            <w:r>
              <w:rPr>
                <w:rFonts w:ascii="Times New Roman" w:cs="Times New Roman" w:eastAsia="Times New Roman" w:hAnsi="Times New Roman"/>
                <w:sz w:val="12"/>
                <w:szCs w:val="12"/>
                <w:b w:val="1"/>
                <w:bCs w:val="1"/>
                <w:color w:val="auto"/>
                <w:w w:val="96"/>
              </w:rPr>
              <w:t>(I.R.S. Employer</w:t>
            </w:r>
          </w:p>
        </w:tc>
      </w:tr>
      <w:tr>
        <w:trPr>
          <w:trHeight w:val="151"/>
        </w:trPr>
        <w:tc>
          <w:tcPr>
            <w:tcW w:w="3080" w:type="dxa"/>
            <w:vAlign w:val="bottom"/>
          </w:tcPr>
          <w:p>
            <w:pPr>
              <w:jc w:val="center"/>
              <w:ind w:right="1517"/>
              <w:spacing w:after="0"/>
              <w:rPr>
                <w:sz w:val="20"/>
                <w:szCs w:val="20"/>
                <w:color w:val="auto"/>
              </w:rPr>
            </w:pPr>
            <w:r>
              <w:rPr>
                <w:rFonts w:ascii="Times New Roman" w:cs="Times New Roman" w:eastAsia="Times New Roman" w:hAnsi="Times New Roman"/>
                <w:sz w:val="12"/>
                <w:szCs w:val="12"/>
                <w:b w:val="1"/>
                <w:bCs w:val="1"/>
                <w:color w:val="auto"/>
                <w:w w:val="95"/>
              </w:rPr>
              <w:t>incorporation or organization)</w:t>
            </w:r>
          </w:p>
        </w:tc>
        <w:tc>
          <w:tcPr>
            <w:tcW w:w="2720" w:type="dxa"/>
            <w:vAlign w:val="bottom"/>
          </w:tcPr>
          <w:p>
            <w:pPr>
              <w:jc w:val="center"/>
              <w:ind w:left="1517"/>
              <w:spacing w:after="0"/>
              <w:rPr>
                <w:sz w:val="20"/>
                <w:szCs w:val="20"/>
                <w:color w:val="auto"/>
              </w:rPr>
            </w:pPr>
            <w:r>
              <w:rPr>
                <w:rFonts w:ascii="Times New Roman" w:cs="Times New Roman" w:eastAsia="Times New Roman" w:hAnsi="Times New Roman"/>
                <w:sz w:val="12"/>
                <w:szCs w:val="12"/>
                <w:b w:val="1"/>
                <w:bCs w:val="1"/>
                <w:color w:val="auto"/>
                <w:w w:val="95"/>
              </w:rPr>
              <w:t>Identification Number)</w:t>
            </w:r>
          </w:p>
        </w:tc>
      </w:tr>
    </w:tbl>
    <w:p>
      <w:pPr>
        <w:spacing w:after="0" w:line="7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One Williams Center</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Tulsa, Oklahoma 74172-0172</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800-945-5426 (800-WILLIAMS)</w:t>
      </w:r>
    </w:p>
    <w:p>
      <w:pPr>
        <w:spacing w:after="0" w:line="13"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2990850</wp:posOffset>
            </wp:positionH>
            <wp:positionV relativeFrom="paragraph">
              <wp:posOffset>88900</wp:posOffset>
            </wp:positionV>
            <wp:extent cx="11861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1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T. Lane Wilson</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Senior Vice President and General Counsel</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One Williams Center, Suite 4900</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Tulsa, Oklahoma 74172-0172</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800-945-5426 (800-WILLIAMS)</w:t>
      </w:r>
    </w:p>
    <w:p>
      <w:pPr>
        <w:spacing w:after="0" w:line="13"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2990850</wp:posOffset>
            </wp:positionH>
            <wp:positionV relativeFrom="paragraph">
              <wp:posOffset>81915</wp:posOffset>
            </wp:positionV>
            <wp:extent cx="11861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15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With a copy to:</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Robyn E. Zolman</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Gibson, Dunn &amp; Crutcher LLP</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1900 Lawrence Street, Suite 3000</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Denver, Colorado 80202-2211</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(303) 298-5700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2990850</wp:posOffset>
            </wp:positionH>
            <wp:positionV relativeFrom="paragraph">
              <wp:posOffset>101600</wp:posOffset>
            </wp:positionV>
            <wp:extent cx="118618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182"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3"/>
          <w:szCs w:val="13"/>
          <w:b w:val="1"/>
          <w:bCs w:val="1"/>
          <w:color w:val="auto"/>
        </w:rPr>
        <w:t xml:space="preserve">Approximate date of commencement of proposed sale to the public: </w:t>
      </w:r>
      <w:r>
        <w:rPr>
          <w:rFonts w:ascii="Times New Roman" w:cs="Times New Roman" w:eastAsia="Times New Roman" w:hAnsi="Times New Roman"/>
          <w:sz w:val="13"/>
          <w:szCs w:val="13"/>
          <w:color w:val="auto"/>
        </w:rPr>
        <w:t>From time to time after the effective date of this registration statement.</w:t>
      </w:r>
    </w:p>
    <w:p>
      <w:pPr>
        <w:spacing w:after="0" w:line="30" w:lineRule="exact"/>
        <w:rPr>
          <w:sz w:val="24"/>
          <w:szCs w:val="24"/>
          <w:color w:val="auto"/>
        </w:rPr>
      </w:pPr>
    </w:p>
    <w:p>
      <w:pPr>
        <w:ind w:left="1560"/>
        <w:spacing w:after="0" w:line="150"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86" w:lineRule="exact"/>
        <w:rPr>
          <w:sz w:val="24"/>
          <w:szCs w:val="24"/>
          <w:color w:val="auto"/>
        </w:rPr>
      </w:pPr>
    </w:p>
    <w:p>
      <w:pPr>
        <w:ind w:left="1220" w:right="359" w:firstLine="354"/>
        <w:spacing w:after="0" w:line="177"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17" w:lineRule="exact"/>
        <w:rPr>
          <w:sz w:val="24"/>
          <w:szCs w:val="24"/>
          <w:color w:val="auto"/>
        </w:rPr>
      </w:pPr>
    </w:p>
    <w:p>
      <w:pPr>
        <w:ind w:left="1220" w:right="299" w:firstLine="354"/>
        <w:spacing w:after="0" w:line="177"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7" w:lineRule="exact"/>
        <w:rPr>
          <w:sz w:val="24"/>
          <w:szCs w:val="24"/>
          <w:color w:val="auto"/>
        </w:rPr>
      </w:pPr>
    </w:p>
    <w:p>
      <w:pPr>
        <w:ind w:left="1220" w:right="219" w:firstLine="354"/>
        <w:spacing w:after="0" w:line="17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7" w:lineRule="exact"/>
        <w:rPr>
          <w:sz w:val="24"/>
          <w:szCs w:val="24"/>
          <w:color w:val="auto"/>
        </w:rPr>
      </w:pPr>
    </w:p>
    <w:p>
      <w:pPr>
        <w:ind w:left="1220" w:right="199" w:firstLine="354"/>
        <w:spacing w:after="0" w:line="177"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7" w:lineRule="exact"/>
        <w:rPr>
          <w:sz w:val="24"/>
          <w:szCs w:val="24"/>
          <w:color w:val="auto"/>
        </w:rPr>
      </w:pPr>
    </w:p>
    <w:p>
      <w:pPr>
        <w:ind w:left="1220" w:right="219" w:firstLine="354"/>
        <w:spacing w:after="0" w:line="17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17" w:lineRule="exact"/>
        <w:rPr>
          <w:sz w:val="24"/>
          <w:szCs w:val="24"/>
          <w:color w:val="auto"/>
        </w:rPr>
      </w:pPr>
    </w:p>
    <w:p>
      <w:pPr>
        <w:ind w:left="1220" w:right="119"/>
        <w:spacing w:after="0" w:line="27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1220" w:type="dxa"/>
        <w:tblCellMar>
          <w:top w:w="0" w:type="dxa"/>
          <w:left w:w="0" w:type="dxa"/>
          <w:bottom w:w="0" w:type="dxa"/>
          <w:right w:w="0" w:type="dxa"/>
        </w:tblCellMar>
      </w:tblPr>
      <w:tr>
        <w:trPr>
          <w:trHeight w:val="206"/>
        </w:trPr>
        <w:tc>
          <w:tcPr>
            <w:tcW w:w="13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98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4280" w:type="dxa"/>
            <w:vAlign w:val="bottom"/>
          </w:tcPr>
          <w:p>
            <w:pPr>
              <w:ind w:left="2720"/>
              <w:spacing w:after="0"/>
              <w:rPr>
                <w:sz w:val="20"/>
                <w:szCs w:val="20"/>
                <w:color w:val="auto"/>
              </w:rPr>
            </w:pPr>
            <w:r>
              <w:rPr>
                <w:rFonts w:ascii="Times New Roman" w:cs="Times New Roman" w:eastAsia="Times New Roman" w:hAnsi="Times New Roman"/>
                <w:sz w:val="13"/>
                <w:szCs w:val="13"/>
                <w:color w:val="auto"/>
              </w:rPr>
              <w:t>Accelerated filer</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6"/>
        </w:trPr>
        <w:tc>
          <w:tcPr>
            <w:tcW w:w="13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98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4280" w:type="dxa"/>
            <w:vAlign w:val="bottom"/>
          </w:tcPr>
          <w:p>
            <w:pPr>
              <w:ind w:left="27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9"/>
        </w:trPr>
        <w:tc>
          <w:tcPr>
            <w:tcW w:w="13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80" w:type="dxa"/>
            <w:vAlign w:val="bottom"/>
          </w:tcPr>
          <w:p>
            <w:pPr>
              <w:ind w:left="2720"/>
              <w:spacing w:after="0"/>
              <w:rPr>
                <w:sz w:val="20"/>
                <w:szCs w:val="20"/>
                <w:color w:val="auto"/>
              </w:rPr>
            </w:pPr>
            <w:r>
              <w:rPr>
                <w:rFonts w:ascii="Times New Roman" w:cs="Times New Roman" w:eastAsia="Times New Roman" w:hAnsi="Times New Roman"/>
                <w:sz w:val="13"/>
                <w:szCs w:val="13"/>
                <w:color w:val="auto"/>
              </w:rPr>
              <w:t>Emerging growth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6" w:lineRule="exact"/>
        <w:rPr>
          <w:sz w:val="24"/>
          <w:szCs w:val="24"/>
          <w:color w:val="auto"/>
        </w:rPr>
      </w:pPr>
    </w:p>
    <w:p>
      <w:pPr>
        <w:ind w:left="1220" w:right="439" w:firstLine="354"/>
        <w:spacing w:after="0" w:line="17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770255</wp:posOffset>
            </wp:positionH>
            <wp:positionV relativeFrom="paragraph">
              <wp:posOffset>45085</wp:posOffset>
            </wp:positionV>
            <wp:extent cx="562800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8005" cy="6985"/>
                    </a:xfrm>
                    <a:prstGeom prst="rect">
                      <a:avLst/>
                    </a:prstGeom>
                    <a:noFill/>
                  </pic:spPr>
                </pic:pic>
              </a:graphicData>
            </a:graphic>
          </wp:anchor>
        </w:drawing>
        <w:drawing>
          <wp:anchor simplePos="0" relativeHeight="251657728" behindDoc="1" locked="0" layoutInCell="0" allowOverlap="1">
            <wp:simplePos x="0" y="0"/>
            <wp:positionH relativeFrom="column">
              <wp:posOffset>770255</wp:posOffset>
            </wp:positionH>
            <wp:positionV relativeFrom="paragraph">
              <wp:posOffset>79375</wp:posOffset>
            </wp:positionV>
            <wp:extent cx="562800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8005" cy="6985"/>
                    </a:xfrm>
                    <a:prstGeom prst="rect">
                      <a:avLst/>
                    </a:prstGeom>
                    <a:noFill/>
                  </pic:spPr>
                </pic:pic>
              </a:graphicData>
            </a:graphic>
          </wp:anchor>
        </w:drawing>
      </w:r>
    </w:p>
    <w:p>
      <w:pPr>
        <w:sectPr>
          <w:pgSz w:w="11900" w:h="16838" w:orient="portrait"/>
          <w:cols w:equalWidth="0" w:num="1">
            <w:col w:w="10159"/>
          </w:cols>
          <w:pgMar w:left="300" w:top="21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18415</wp:posOffset>
            </wp:positionV>
            <wp:extent cx="1020445" cy="544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0445" cy="54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5"/>
          <w:szCs w:val="35"/>
          <w:b w:val="1"/>
          <w:bCs w:val="1"/>
          <w:color w:val="auto"/>
        </w:rPr>
        <w:t>THE WILLIAMS COMPANIES, INC.</w:t>
      </w:r>
    </w:p>
    <w:p>
      <w:pPr>
        <w:spacing w:after="0" w:line="19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PURCHASE CONTRACTS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WARRANTS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2990850</wp:posOffset>
            </wp:positionH>
            <wp:positionV relativeFrom="paragraph">
              <wp:posOffset>182245</wp:posOffset>
            </wp:positionV>
            <wp:extent cx="118618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220" w:right="119" w:firstLine="354"/>
        <w:spacing w:after="0" w:line="269" w:lineRule="auto"/>
        <w:rPr>
          <w:sz w:val="20"/>
          <w:szCs w:val="20"/>
          <w:color w:val="auto"/>
        </w:rPr>
      </w:pPr>
      <w:r>
        <w:rPr>
          <w:rFonts w:ascii="Times New Roman" w:cs="Times New Roman" w:eastAsia="Times New Roman" w:hAnsi="Times New Roman"/>
          <w:sz w:val="14"/>
          <w:szCs w:val="14"/>
          <w:color w:val="auto"/>
        </w:rPr>
        <w:t>We or selling securityholders to be named in a prospectus supplement may from time to time offer to sell debt securities, preferred stock, common stock, purchase contracts, warrants, or units. This prospectus describes some of the general terms that may apply to these securities and the general manner in which they may be offered. Each time we or a selling securityholder sells securities pursuant to this prospectus, we will provide a supplement to this prospectus that contains specific information about the offering and the specific terms of the securities offered. You should read this prospectus, the applicable prospectus supplement and the documents incorporated by reference herein and therein carefully before you invest in our securities.</w:t>
      </w:r>
    </w:p>
    <w:p>
      <w:pPr>
        <w:spacing w:after="0" w:line="14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Our common stock is listed on the New York Stock Exchange under the ticker symbol “WMB.”</w:t>
      </w:r>
    </w:p>
    <w:p>
      <w:pPr>
        <w:spacing w:after="0" w:line="187" w:lineRule="exact"/>
        <w:rPr>
          <w:sz w:val="20"/>
          <w:szCs w:val="20"/>
          <w:color w:val="auto"/>
        </w:rPr>
      </w:pPr>
    </w:p>
    <w:p>
      <w:pPr>
        <w:ind w:left="1220" w:right="199" w:firstLine="354"/>
        <w:spacing w:after="0" w:line="300" w:lineRule="auto"/>
        <w:rPr>
          <w:sz w:val="20"/>
          <w:szCs w:val="20"/>
          <w:color w:val="auto"/>
        </w:rPr>
      </w:pPr>
      <w:r>
        <w:rPr>
          <w:rFonts w:ascii="Times New Roman" w:cs="Times New Roman" w:eastAsia="Times New Roman" w:hAnsi="Times New Roman"/>
          <w:sz w:val="14"/>
          <w:szCs w:val="14"/>
          <w:color w:val="auto"/>
        </w:rPr>
        <w:t>We or selling securityholders will sell these securities directly to investors, or through agents, dealers, or underwriters as designated from time to time, or through a combination of these methods, on a continuous or delayed basis.</w:t>
      </w:r>
    </w:p>
    <w:p>
      <w:pPr>
        <w:spacing w:after="0" w:line="11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This prospectus may not be used to sell our securities unless it is accompanied by the applicable prospectus supplement.</w:t>
      </w:r>
    </w:p>
    <w:p>
      <w:pPr>
        <w:spacing w:after="0" w:line="187" w:lineRule="exact"/>
        <w:rPr>
          <w:sz w:val="20"/>
          <w:szCs w:val="20"/>
          <w:color w:val="auto"/>
        </w:rPr>
      </w:pPr>
    </w:p>
    <w:p>
      <w:pPr>
        <w:ind w:left="1220" w:right="159" w:firstLine="354"/>
        <w:spacing w:after="0" w:line="266"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or to make any representation that is different from, or in addition to, the information contained in this prospectus or any prospectus supplement. We take no responsibility for, and can provide no assurances as to the reliability of, any other information that others may give you or representations that others may make. We are not making an offer to sell or soliciting an offer to buy any securities other than the securities described in this prospectus and any applicable prospectus supplement. We are not making an offer to sell or soliciting an offer to buy any of these securities in any state or jurisdiction where the offer is not permitted or in any circumstances in which such offer or solicitation is unlawful. You should not assume that the information contained or incorporated by reference in this prospectus or any prospectus supplement is accurate as of any date other than the date on the front of those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2990850</wp:posOffset>
            </wp:positionH>
            <wp:positionV relativeFrom="paragraph">
              <wp:posOffset>168275</wp:posOffset>
            </wp:positionV>
            <wp:extent cx="118618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220" w:right="479" w:firstLine="354"/>
        <w:spacing w:after="0" w:line="280"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contained in Page 2 herein, in the applicable prospectus supplement and in the documents incorporated by reference herein and therein.</w:t>
      </w:r>
    </w:p>
    <w:p>
      <w:pPr>
        <w:spacing w:after="0" w:line="117" w:lineRule="exact"/>
        <w:rPr>
          <w:sz w:val="20"/>
          <w:szCs w:val="20"/>
          <w:color w:val="auto"/>
        </w:rPr>
      </w:pPr>
    </w:p>
    <w:p>
      <w:pPr>
        <w:ind w:left="1220" w:right="199" w:firstLine="354"/>
        <w:spacing w:after="0" w:line="303"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representations to the contrary are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2990850</wp:posOffset>
            </wp:positionH>
            <wp:positionV relativeFrom="paragraph">
              <wp:posOffset>159385</wp:posOffset>
            </wp:positionV>
            <wp:extent cx="118618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39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The date of this prospectus is November 2, 2026.</w:t>
      </w:r>
    </w:p>
    <w:p>
      <w:pPr>
        <w:sectPr>
          <w:pgSz w:w="11900" w:h="16838" w:orient="portrait"/>
          <w:cols w:equalWidth="0" w:num="1">
            <w:col w:w="10159"/>
          </w:cols>
          <w:pgMar w:left="300" w:top="39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tbl>
      <w:tblPr>
        <w:tblLayout w:type="fixed"/>
        <w:tblInd w:w="1220" w:type="dxa"/>
        <w:tblCellMar>
          <w:top w:w="0" w:type="dxa"/>
          <w:left w:w="0" w:type="dxa"/>
          <w:bottom w:w="0" w:type="dxa"/>
          <w:right w:w="0" w:type="dxa"/>
        </w:tblCellMar>
      </w:tblPr>
      <w:tr>
        <w:trPr>
          <w:trHeight w:val="191"/>
        </w:trPr>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314"/>
        </w:trPr>
        <w:tc>
          <w:tcPr>
            <w:tcW w:w="132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2060" w:type="dxa"/>
            <w:vAlign w:val="bottom"/>
            <w:gridSpan w:val="10"/>
            <w:vMerge w:val="restart"/>
          </w:tcPr>
          <w:p>
            <w:pPr>
              <w:spacing w:after="0"/>
              <w:rPr>
                <w:sz w:val="24"/>
                <w:szCs w:val="24"/>
                <w:color w:val="auto"/>
              </w:rPr>
            </w:pPr>
          </w:p>
        </w:tc>
        <w:tc>
          <w:tcPr>
            <w:tcW w:w="520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7"/>
              </w:rPr>
              <w:t>Page</w:t>
            </w:r>
          </w:p>
        </w:tc>
        <w:tc>
          <w:tcPr>
            <w:tcW w:w="0" w:type="dxa"/>
            <w:vAlign w:val="bottom"/>
          </w:tcPr>
          <w:p>
            <w:pPr>
              <w:spacing w:after="0"/>
              <w:rPr>
                <w:sz w:val="1"/>
                <w:szCs w:val="1"/>
                <w:color w:val="auto"/>
              </w:rPr>
            </w:pPr>
          </w:p>
        </w:tc>
      </w:tr>
      <w:tr>
        <w:trPr>
          <w:trHeight w:val="126"/>
        </w:trPr>
        <w:tc>
          <w:tcPr>
            <w:tcW w:w="1320" w:type="dxa"/>
            <w:vAlign w:val="bottom"/>
            <w:tcBorders>
              <w:bottom w:val="single" w:sz="8" w:color="0000EE"/>
            </w:tcBorders>
            <w:gridSpan w:val="6"/>
            <w:vMerge w:val="continue"/>
          </w:tcPr>
          <w:p>
            <w:pPr>
              <w:spacing w:after="0"/>
              <w:rPr>
                <w:sz w:val="10"/>
                <w:szCs w:val="10"/>
                <w:color w:val="auto"/>
              </w:rPr>
            </w:pPr>
          </w:p>
        </w:tc>
        <w:tc>
          <w:tcPr>
            <w:tcW w:w="2060" w:type="dxa"/>
            <w:vAlign w:val="bottom"/>
            <w:gridSpan w:val="10"/>
            <w:vMerge w:val="continue"/>
          </w:tcPr>
          <w:p>
            <w:pPr>
              <w:spacing w:after="0"/>
              <w:rPr>
                <w:sz w:val="10"/>
                <w:szCs w:val="10"/>
                <w:color w:val="auto"/>
              </w:rPr>
            </w:pPr>
          </w:p>
        </w:tc>
        <w:tc>
          <w:tcPr>
            <w:tcW w:w="5200" w:type="dxa"/>
            <w:vAlign w:val="bottom"/>
          </w:tcPr>
          <w:p>
            <w:pPr>
              <w:spacing w:after="0"/>
              <w:rPr>
                <w:sz w:val="10"/>
                <w:szCs w:val="10"/>
                <w:color w:val="auto"/>
              </w:rPr>
            </w:pPr>
          </w:p>
        </w:tc>
        <w:tc>
          <w:tcPr>
            <w:tcW w:w="2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EE"/>
              </w:rPr>
              <w:t>About The Williams Companies, Inc.</w:t>
            </w:r>
          </w:p>
        </w:tc>
        <w:tc>
          <w:tcPr>
            <w:tcW w:w="1220" w:type="dxa"/>
            <w:vAlign w:val="bottom"/>
            <w:gridSpan w:val="3"/>
          </w:tcPr>
          <w:p>
            <w:pPr>
              <w:spacing w:after="0"/>
              <w:rPr>
                <w:sz w:val="14"/>
                <w:szCs w:val="14"/>
                <w:color w:val="auto"/>
              </w:rPr>
            </w:pPr>
          </w:p>
        </w:tc>
        <w:tc>
          <w:tcPr>
            <w:tcW w:w="54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54"/>
        </w:trPr>
        <w:tc>
          <w:tcPr>
            <w:tcW w:w="3380" w:type="dxa"/>
            <w:vAlign w:val="bottom"/>
            <w:gridSpan w:val="16"/>
          </w:tcPr>
          <w:p>
            <w:pPr>
              <w:spacing w:after="0" w:line="154" w:lineRule="exact"/>
              <w:rPr>
                <w:sz w:val="20"/>
                <w:szCs w:val="20"/>
                <w:color w:val="auto"/>
              </w:rPr>
            </w:pPr>
            <w:r>
              <w:rPr>
                <w:rFonts w:ascii="Times New Roman" w:cs="Times New Roman" w:eastAsia="Times New Roman" w:hAnsi="Times New Roman"/>
                <w:sz w:val="14"/>
                <w:szCs w:val="14"/>
                <w:color w:val="0000EE"/>
              </w:rPr>
              <w:t>Risk Factors</w:t>
            </w:r>
          </w:p>
        </w:tc>
        <w:tc>
          <w:tcPr>
            <w:tcW w:w="5460" w:type="dxa"/>
            <w:vAlign w:val="bottom"/>
            <w:gridSpan w:val="3"/>
          </w:tcPr>
          <w:p>
            <w:pPr>
              <w:jc w:val="right"/>
              <w:ind w:right="20"/>
              <w:spacing w:after="0" w:line="154"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300" w:type="dxa"/>
            <w:vAlign w:val="bottom"/>
            <w:tcBorders>
              <w:bottom w:val="single" w:sz="8" w:color="0000EE"/>
            </w:tcBorders>
            <w:gridSpan w:val="14"/>
          </w:tcPr>
          <w:p>
            <w:pPr>
              <w:spacing w:after="0" w:line="154"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080" w:type="dxa"/>
            <w:vAlign w:val="bottom"/>
            <w:gridSpan w:val="2"/>
          </w:tcPr>
          <w:p>
            <w:pPr>
              <w:spacing w:after="0"/>
              <w:rPr>
                <w:sz w:val="13"/>
                <w:szCs w:val="13"/>
                <w:color w:val="auto"/>
              </w:rPr>
            </w:pPr>
          </w:p>
        </w:tc>
        <w:tc>
          <w:tcPr>
            <w:tcW w:w="5460" w:type="dxa"/>
            <w:vAlign w:val="bottom"/>
            <w:gridSpan w:val="3"/>
          </w:tcPr>
          <w:p>
            <w:pPr>
              <w:jc w:val="right"/>
              <w:ind w:right="20"/>
              <w:spacing w:after="0" w:line="154"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54"/>
        </w:trPr>
        <w:tc>
          <w:tcPr>
            <w:tcW w:w="3380" w:type="dxa"/>
            <w:vAlign w:val="bottom"/>
            <w:gridSpan w:val="16"/>
          </w:tcPr>
          <w:p>
            <w:pPr>
              <w:spacing w:after="0" w:line="154" w:lineRule="exact"/>
              <w:rPr>
                <w:sz w:val="20"/>
                <w:szCs w:val="20"/>
                <w:color w:val="auto"/>
              </w:rPr>
            </w:pPr>
            <w:r>
              <w:rPr>
                <w:rFonts w:ascii="Times New Roman" w:cs="Times New Roman" w:eastAsia="Times New Roman" w:hAnsi="Times New Roman"/>
                <w:sz w:val="14"/>
                <w:szCs w:val="14"/>
                <w:color w:val="0000EE"/>
              </w:rPr>
              <w:t>Incorporation by Reference</w:t>
            </w:r>
          </w:p>
        </w:tc>
        <w:tc>
          <w:tcPr>
            <w:tcW w:w="5460" w:type="dxa"/>
            <w:vAlign w:val="bottom"/>
            <w:gridSpan w:val="3"/>
          </w:tcPr>
          <w:p>
            <w:pPr>
              <w:jc w:val="right"/>
              <w:ind w:right="20"/>
              <w:spacing w:after="0" w:line="154"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120" w:type="dxa"/>
            <w:vAlign w:val="bottom"/>
            <w:tcBorders>
              <w:bottom w:val="single" w:sz="8" w:color="0000EE"/>
            </w:tcBorders>
            <w:gridSpan w:val="15"/>
          </w:tcPr>
          <w:p>
            <w:pPr>
              <w:spacing w:after="0" w:line="154"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260" w:type="dxa"/>
            <w:vAlign w:val="bottom"/>
          </w:tcPr>
          <w:p>
            <w:pPr>
              <w:spacing w:after="0"/>
              <w:rPr>
                <w:sz w:val="13"/>
                <w:szCs w:val="13"/>
                <w:color w:val="auto"/>
              </w:rPr>
            </w:pPr>
          </w:p>
        </w:tc>
        <w:tc>
          <w:tcPr>
            <w:tcW w:w="5460" w:type="dxa"/>
            <w:vAlign w:val="bottom"/>
            <w:gridSpan w:val="3"/>
          </w:tcPr>
          <w:p>
            <w:pPr>
              <w:jc w:val="right"/>
              <w:ind w:right="20"/>
              <w:spacing w:after="0" w:line="154"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54"/>
        </w:trPr>
        <w:tc>
          <w:tcPr>
            <w:tcW w:w="940" w:type="dxa"/>
            <w:vAlign w:val="bottom"/>
            <w:tcBorders>
              <w:bottom w:val="single" w:sz="8" w:color="0000EE"/>
            </w:tcBorders>
            <w:gridSpan w:val="4"/>
          </w:tcPr>
          <w:p>
            <w:pPr>
              <w:spacing w:after="0" w:line="154" w:lineRule="exact"/>
              <w:rPr>
                <w:sz w:val="20"/>
                <w:szCs w:val="20"/>
                <w:color w:val="auto"/>
              </w:rPr>
            </w:pPr>
            <w:r>
              <w:rPr>
                <w:rFonts w:ascii="Times New Roman" w:cs="Times New Roman" w:eastAsia="Times New Roman" w:hAnsi="Times New Roman"/>
                <w:sz w:val="14"/>
                <w:szCs w:val="14"/>
                <w:color w:val="0000EE"/>
              </w:rPr>
              <w:t>Use of Proceeds</w:t>
            </w:r>
          </w:p>
        </w:tc>
        <w:tc>
          <w:tcPr>
            <w:tcW w:w="2440" w:type="dxa"/>
            <w:vAlign w:val="bottom"/>
            <w:gridSpan w:val="12"/>
          </w:tcPr>
          <w:p>
            <w:pPr>
              <w:spacing w:after="0"/>
              <w:rPr>
                <w:sz w:val="13"/>
                <w:szCs w:val="13"/>
                <w:color w:val="auto"/>
              </w:rPr>
            </w:pPr>
          </w:p>
        </w:tc>
        <w:tc>
          <w:tcPr>
            <w:tcW w:w="5460" w:type="dxa"/>
            <w:vAlign w:val="bottom"/>
            <w:gridSpan w:val="3"/>
          </w:tcPr>
          <w:p>
            <w:pPr>
              <w:jc w:val="right"/>
              <w:ind w:right="20"/>
              <w:spacing w:after="0" w:line="154"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54"/>
        </w:trPr>
        <w:tc>
          <w:tcPr>
            <w:tcW w:w="3380" w:type="dxa"/>
            <w:vAlign w:val="bottom"/>
            <w:gridSpan w:val="16"/>
          </w:tcPr>
          <w:p>
            <w:pPr>
              <w:spacing w:after="0" w:line="154"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5460" w:type="dxa"/>
            <w:vAlign w:val="bottom"/>
            <w:gridSpan w:val="3"/>
          </w:tcPr>
          <w:p>
            <w:pPr>
              <w:jc w:val="right"/>
              <w:ind w:right="20"/>
              <w:spacing w:after="0" w:line="154"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54"/>
        </w:trPr>
        <w:tc>
          <w:tcPr>
            <w:tcW w:w="1740" w:type="dxa"/>
            <w:vAlign w:val="bottom"/>
            <w:tcBorders>
              <w:top w:val="single" w:sz="8" w:color="0000EE"/>
            </w:tcBorders>
            <w:gridSpan w:val="11"/>
          </w:tcPr>
          <w:p>
            <w:pPr>
              <w:spacing w:after="0" w:line="154"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1640" w:type="dxa"/>
            <w:vAlign w:val="bottom"/>
            <w:gridSpan w:val="5"/>
          </w:tcPr>
          <w:p>
            <w:pPr>
              <w:spacing w:after="0"/>
              <w:rPr>
                <w:sz w:val="13"/>
                <w:szCs w:val="13"/>
                <w:color w:val="auto"/>
              </w:rPr>
            </w:pPr>
          </w:p>
        </w:tc>
        <w:tc>
          <w:tcPr>
            <w:tcW w:w="544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980" w:type="dxa"/>
            <w:vAlign w:val="bottom"/>
            <w:tcBorders>
              <w:bottom w:val="single" w:sz="8" w:color="0000EE"/>
            </w:tcBorders>
            <w:gridSpan w:val="12"/>
          </w:tcPr>
          <w:p>
            <w:pPr>
              <w:spacing w:after="0" w:line="154" w:lineRule="exact"/>
              <w:rPr>
                <w:sz w:val="20"/>
                <w:szCs w:val="20"/>
                <w:color w:val="auto"/>
              </w:rPr>
            </w:pPr>
            <w:r>
              <w:rPr>
                <w:rFonts w:ascii="Times New Roman" w:cs="Times New Roman" w:eastAsia="Times New Roman" w:hAnsi="Times New Roman"/>
                <w:sz w:val="14"/>
                <w:szCs w:val="14"/>
                <w:color w:val="0000EE"/>
              </w:rPr>
              <w:t>Description of Purchase Contracts</w:t>
            </w:r>
          </w:p>
        </w:tc>
        <w:tc>
          <w:tcPr>
            <w:tcW w:w="1400" w:type="dxa"/>
            <w:vAlign w:val="bottom"/>
            <w:gridSpan w:val="4"/>
          </w:tcPr>
          <w:p>
            <w:pPr>
              <w:spacing w:after="0"/>
              <w:rPr>
                <w:sz w:val="13"/>
                <w:szCs w:val="13"/>
                <w:color w:val="auto"/>
              </w:rPr>
            </w:pPr>
          </w:p>
        </w:tc>
        <w:tc>
          <w:tcPr>
            <w:tcW w:w="544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380" w:type="dxa"/>
            <w:vAlign w:val="bottom"/>
            <w:tcBorders>
              <w:bottom w:val="single" w:sz="8" w:color="0000EE"/>
            </w:tcBorders>
            <w:gridSpan w:val="8"/>
          </w:tcPr>
          <w:p>
            <w:pPr>
              <w:spacing w:after="0" w:line="154" w:lineRule="exact"/>
              <w:rPr>
                <w:sz w:val="20"/>
                <w:szCs w:val="20"/>
                <w:color w:val="auto"/>
              </w:rPr>
            </w:pPr>
            <w:r>
              <w:rPr>
                <w:rFonts w:ascii="Times New Roman" w:cs="Times New Roman" w:eastAsia="Times New Roman" w:hAnsi="Times New Roman"/>
                <w:sz w:val="14"/>
                <w:szCs w:val="14"/>
                <w:color w:val="0000EE"/>
              </w:rPr>
              <w:t>Description of Warrants</w:t>
            </w:r>
          </w:p>
        </w:tc>
        <w:tc>
          <w:tcPr>
            <w:tcW w:w="2000" w:type="dxa"/>
            <w:vAlign w:val="bottom"/>
            <w:gridSpan w:val="8"/>
          </w:tcPr>
          <w:p>
            <w:pPr>
              <w:spacing w:after="0"/>
              <w:rPr>
                <w:sz w:val="13"/>
                <w:szCs w:val="13"/>
                <w:color w:val="auto"/>
              </w:rPr>
            </w:pPr>
          </w:p>
        </w:tc>
        <w:tc>
          <w:tcPr>
            <w:tcW w:w="544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80" w:type="dxa"/>
            <w:vAlign w:val="bottom"/>
            <w:tcBorders>
              <w:bottom w:val="single" w:sz="8" w:color="0000EE"/>
            </w:tcBorders>
            <w:gridSpan w:val="5"/>
          </w:tcPr>
          <w:p>
            <w:pPr>
              <w:spacing w:after="0" w:line="154" w:lineRule="exact"/>
              <w:rPr>
                <w:sz w:val="20"/>
                <w:szCs w:val="20"/>
                <w:color w:val="auto"/>
              </w:rPr>
            </w:pPr>
            <w:r>
              <w:rPr>
                <w:rFonts w:ascii="Times New Roman" w:cs="Times New Roman" w:eastAsia="Times New Roman" w:hAnsi="Times New Roman"/>
                <w:sz w:val="14"/>
                <w:szCs w:val="14"/>
                <w:color w:val="0000EE"/>
              </w:rPr>
              <w:t>Description of Units</w:t>
            </w:r>
          </w:p>
        </w:tc>
        <w:tc>
          <w:tcPr>
            <w:tcW w:w="2200" w:type="dxa"/>
            <w:vAlign w:val="bottom"/>
            <w:gridSpan w:val="11"/>
          </w:tcPr>
          <w:p>
            <w:pPr>
              <w:spacing w:after="0"/>
              <w:rPr>
                <w:sz w:val="13"/>
                <w:szCs w:val="13"/>
                <w:color w:val="auto"/>
              </w:rPr>
            </w:pPr>
          </w:p>
        </w:tc>
        <w:tc>
          <w:tcPr>
            <w:tcW w:w="544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80" w:type="dxa"/>
            <w:vAlign w:val="bottom"/>
            <w:gridSpan w:val="16"/>
          </w:tcPr>
          <w:p>
            <w:pPr>
              <w:spacing w:after="0" w:line="154" w:lineRule="exact"/>
              <w:rPr>
                <w:sz w:val="20"/>
                <w:szCs w:val="20"/>
                <w:color w:val="auto"/>
              </w:rPr>
            </w:pPr>
            <w:r>
              <w:rPr>
                <w:rFonts w:ascii="Times New Roman" w:cs="Times New Roman" w:eastAsia="Times New Roman" w:hAnsi="Times New Roman"/>
                <w:sz w:val="14"/>
                <w:szCs w:val="14"/>
                <w:color w:val="0000EE"/>
              </w:rPr>
              <w:t>Selling Securityholders</w:t>
            </w:r>
          </w:p>
        </w:tc>
        <w:tc>
          <w:tcPr>
            <w:tcW w:w="544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340" w:type="dxa"/>
            <w:vAlign w:val="bottom"/>
            <w:tcBorders>
              <w:top w:val="single" w:sz="8" w:color="0000EE"/>
            </w:tcBorders>
            <w:gridSpan w:val="7"/>
          </w:tcPr>
          <w:p>
            <w:pPr>
              <w:spacing w:after="0" w:line="154" w:lineRule="exact"/>
              <w:rPr>
                <w:sz w:val="20"/>
                <w:szCs w:val="20"/>
                <w:color w:val="auto"/>
              </w:rPr>
            </w:pPr>
            <w:r>
              <w:rPr>
                <w:rFonts w:ascii="Times New Roman" w:cs="Times New Roman" w:eastAsia="Times New Roman" w:hAnsi="Times New Roman"/>
                <w:sz w:val="14"/>
                <w:szCs w:val="14"/>
                <w:color w:val="0000EE"/>
              </w:rPr>
              <w:t>Legal Matters</w:t>
            </w:r>
          </w:p>
        </w:tc>
        <w:tc>
          <w:tcPr>
            <w:tcW w:w="2040" w:type="dxa"/>
            <w:vAlign w:val="bottom"/>
            <w:gridSpan w:val="9"/>
          </w:tcPr>
          <w:p>
            <w:pPr>
              <w:spacing w:after="0"/>
              <w:rPr>
                <w:sz w:val="13"/>
                <w:szCs w:val="13"/>
                <w:color w:val="auto"/>
              </w:rPr>
            </w:pPr>
          </w:p>
        </w:tc>
        <w:tc>
          <w:tcPr>
            <w:tcW w:w="544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 w:type="dxa"/>
            <w:vAlign w:val="bottom"/>
            <w:tcBorders>
              <w:top w:val="single" w:sz="8" w:color="0000EE"/>
              <w:bottom w:val="single" w:sz="8" w:color="0000EE"/>
            </w:tcBorders>
          </w:tcPr>
          <w:p>
            <w:pPr>
              <w:spacing w:after="0" w:line="154" w:lineRule="exact"/>
              <w:rPr>
                <w:sz w:val="20"/>
                <w:szCs w:val="20"/>
                <w:color w:val="auto"/>
              </w:rPr>
            </w:pPr>
            <w:r>
              <w:rPr>
                <w:rFonts w:ascii="Times New Roman" w:cs="Times New Roman" w:eastAsia="Times New Roman" w:hAnsi="Times New Roman"/>
                <w:sz w:val="14"/>
                <w:szCs w:val="14"/>
                <w:color w:val="0000EE"/>
                <w:w w:val="98"/>
              </w:rPr>
              <w:t>Experts</w:t>
            </w:r>
          </w:p>
        </w:tc>
        <w:tc>
          <w:tcPr>
            <w:tcW w:w="360" w:type="dxa"/>
            <w:vAlign w:val="bottom"/>
            <w:tcBorders>
              <w:top w:val="single" w:sz="8" w:color="0000EE"/>
            </w:tcBorders>
            <w:gridSpan w:val="2"/>
          </w:tcPr>
          <w:p>
            <w:pPr>
              <w:spacing w:after="0"/>
              <w:rPr>
                <w:sz w:val="13"/>
                <w:szCs w:val="13"/>
                <w:color w:val="auto"/>
              </w:rPr>
            </w:pPr>
          </w:p>
        </w:tc>
        <w:tc>
          <w:tcPr>
            <w:tcW w:w="2580" w:type="dxa"/>
            <w:vAlign w:val="bottom"/>
            <w:gridSpan w:val="13"/>
          </w:tcPr>
          <w:p>
            <w:pPr>
              <w:spacing w:after="0"/>
              <w:rPr>
                <w:sz w:val="13"/>
                <w:szCs w:val="13"/>
                <w:color w:val="auto"/>
              </w:rPr>
            </w:pPr>
          </w:p>
        </w:tc>
        <w:tc>
          <w:tcPr>
            <w:tcW w:w="544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94"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9" w:lineRule="exact"/>
        <w:rPr>
          <w:sz w:val="20"/>
          <w:szCs w:val="20"/>
          <w:color w:val="auto"/>
        </w:rPr>
      </w:pPr>
    </w:p>
    <w:p>
      <w:pPr>
        <w:jc w:val="both"/>
        <w:ind w:left="1220" w:right="239" w:firstLine="354"/>
        <w:spacing w:after="0" w:line="279"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we filed with the Securities and Exchange Commission (“SEC”) using a “shelf” registration process. We or selling securityholders to be named in a prospectus supplement may sell any combination of the securities described in this prospectus from time to time, either separately or in units, in one or more offerings.</w:t>
      </w:r>
    </w:p>
    <w:p>
      <w:pPr>
        <w:spacing w:after="0" w:line="134" w:lineRule="exact"/>
        <w:rPr>
          <w:sz w:val="20"/>
          <w:szCs w:val="20"/>
          <w:color w:val="auto"/>
        </w:rPr>
      </w:pPr>
    </w:p>
    <w:p>
      <w:pPr>
        <w:ind w:left="1220" w:right="419" w:firstLine="354"/>
        <w:spacing w:after="0" w:line="300" w:lineRule="auto"/>
        <w:rPr>
          <w:sz w:val="20"/>
          <w:szCs w:val="20"/>
          <w:color w:val="auto"/>
        </w:rPr>
      </w:pPr>
      <w:r>
        <w:rPr>
          <w:rFonts w:ascii="Times New Roman" w:cs="Times New Roman" w:eastAsia="Times New Roman" w:hAnsi="Times New Roman"/>
          <w:sz w:val="14"/>
          <w:szCs w:val="14"/>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w:t>
      </w:r>
    </w:p>
    <w:p>
      <w:pPr>
        <w:spacing w:after="0" w:line="119" w:lineRule="exact"/>
        <w:rPr>
          <w:sz w:val="20"/>
          <w:szCs w:val="20"/>
          <w:color w:val="auto"/>
        </w:rPr>
      </w:pPr>
    </w:p>
    <w:p>
      <w:pPr>
        <w:ind w:left="1220" w:right="179" w:firstLine="354"/>
        <w:spacing w:after="0" w:line="273" w:lineRule="auto"/>
        <w:rPr>
          <w:sz w:val="20"/>
          <w:szCs w:val="20"/>
          <w:color w:val="auto"/>
        </w:rPr>
      </w:pPr>
      <w:r>
        <w:rPr>
          <w:rFonts w:ascii="Times New Roman" w:cs="Times New Roman" w:eastAsia="Times New Roman" w:hAnsi="Times New Roman"/>
          <w:sz w:val="14"/>
          <w:szCs w:val="14"/>
          <w:color w:val="auto"/>
        </w:rPr>
        <w:t>In addition, the prospectus supplement may also add, update, or change the information contained in this prospectus. If there is any inconsistency between the information contained in this prospectus and any information incorporated by reference herein, on the one hand, and the information contained in any applicable prospectus supplement or incorporated by reference therein, on the other hand, you should rely on the information in the applicable prospectus supplement or incorporated by reference therein.</w:t>
      </w:r>
    </w:p>
    <w:p>
      <w:pPr>
        <w:spacing w:after="0" w:line="136" w:lineRule="exact"/>
        <w:rPr>
          <w:sz w:val="20"/>
          <w:szCs w:val="20"/>
          <w:color w:val="auto"/>
        </w:rPr>
      </w:pPr>
    </w:p>
    <w:p>
      <w:pPr>
        <w:ind w:left="1220" w:right="179" w:firstLine="354"/>
        <w:spacing w:after="0" w:line="273" w:lineRule="auto"/>
        <w:rPr>
          <w:sz w:val="20"/>
          <w:szCs w:val="20"/>
          <w:color w:val="auto"/>
        </w:rPr>
      </w:pPr>
      <w:r>
        <w:rPr>
          <w:rFonts w:ascii="Times New Roman" w:cs="Times New Roman" w:eastAsia="Times New Roman" w:hAnsi="Times New Roman"/>
          <w:sz w:val="14"/>
          <w:szCs w:val="14"/>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by means of a post-effective amendment to the registration statement of which this prospectus is a part, through filings we make with the SEC that are incorporated by reference into this prospectus or by any other method as may then be permitted under applicable law, rules, or regulations.</w:t>
      </w:r>
    </w:p>
    <w:p>
      <w:pPr>
        <w:spacing w:after="0" w:line="136" w:lineRule="exact"/>
        <w:rPr>
          <w:sz w:val="20"/>
          <w:szCs w:val="20"/>
          <w:color w:val="auto"/>
        </w:rPr>
      </w:pPr>
    </w:p>
    <w:p>
      <w:pPr>
        <w:ind w:left="1220" w:right="299" w:firstLine="354"/>
        <w:spacing w:after="0" w:line="273" w:lineRule="auto"/>
        <w:rPr>
          <w:sz w:val="20"/>
          <w:szCs w:val="20"/>
          <w:color w:val="auto"/>
        </w:rPr>
      </w:pPr>
      <w:r>
        <w:rPr>
          <w:rFonts w:ascii="Times New Roman" w:cs="Times New Roman" w:eastAsia="Times New Roman" w:hAnsi="Times New Roman"/>
          <w:sz w:val="14"/>
          <w:szCs w:val="14"/>
          <w:color w:val="auto"/>
        </w:rPr>
        <w:t>Statements made in this prospectus, in any prospectus supplement, or in any document incorporated by reference in this prospectus or any prospectus supplement as to the contents of any contract or other document are not necessarily complete. In each instance we refer you to the copy of the contract or other document filed as an exhibit to the registration statement of which this prospectus is a part or as an exhibit to the documents incorporated by reference. You may obtain copies of those documents as described below under “Where You Can Find More Information.”</w:t>
      </w:r>
    </w:p>
    <w:p>
      <w:pPr>
        <w:spacing w:after="0" w:line="134" w:lineRule="exact"/>
        <w:rPr>
          <w:sz w:val="20"/>
          <w:szCs w:val="20"/>
          <w:color w:val="auto"/>
        </w:rPr>
      </w:pPr>
    </w:p>
    <w:p>
      <w:pPr>
        <w:ind w:left="1220" w:right="419" w:firstLine="354"/>
        <w:spacing w:after="0" w:line="270" w:lineRule="auto"/>
        <w:rPr>
          <w:sz w:val="20"/>
          <w:szCs w:val="20"/>
          <w:color w:val="auto"/>
        </w:rPr>
      </w:pPr>
      <w:r>
        <w:rPr>
          <w:rFonts w:ascii="Times New Roman" w:cs="Times New Roman" w:eastAsia="Times New Roman" w:hAnsi="Times New Roman"/>
          <w:sz w:val="14"/>
          <w:szCs w:val="14"/>
          <w:b w:val="1"/>
          <w:bCs w:val="1"/>
          <w:color w:val="auto"/>
        </w:rPr>
        <w:t>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spacing w:after="0" w:line="139" w:lineRule="exact"/>
        <w:rPr>
          <w:sz w:val="20"/>
          <w:szCs w:val="20"/>
          <w:color w:val="auto"/>
        </w:rPr>
      </w:pPr>
    </w:p>
    <w:p>
      <w:pPr>
        <w:ind w:left="1220" w:right="99" w:firstLine="354"/>
        <w:spacing w:after="0" w:line="273"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or to make any representation that is different from, or in addition to, the information contained or incorporated by reference in this prospectus or any prospectus supplement. We take no responsibility for, and can provide no assurances as to the reliability of, any other information that others may give you or representations that others may make. We are not making an offer to sell securities in any jurisdiction where the offer or sale of such securities is not permitted.</w:t>
      </w:r>
    </w:p>
    <w:p>
      <w:pPr>
        <w:spacing w:after="0" w:line="136" w:lineRule="exact"/>
        <w:rPr>
          <w:sz w:val="20"/>
          <w:szCs w:val="20"/>
          <w:color w:val="auto"/>
        </w:rPr>
      </w:pPr>
    </w:p>
    <w:p>
      <w:pPr>
        <w:ind w:left="1220" w:right="119" w:firstLine="354"/>
        <w:spacing w:after="0" w:line="300" w:lineRule="auto"/>
        <w:rPr>
          <w:sz w:val="20"/>
          <w:szCs w:val="20"/>
          <w:color w:val="auto"/>
        </w:rPr>
      </w:pPr>
      <w:r>
        <w:rPr>
          <w:rFonts w:ascii="Times New Roman" w:cs="Times New Roman" w:eastAsia="Times New Roman" w:hAnsi="Times New Roman"/>
          <w:sz w:val="14"/>
          <w:szCs w:val="14"/>
          <w:color w:val="auto"/>
        </w:rPr>
        <w:t>In this prospectus, Williams (which includes The Williams Companies, Inc. and, unless the context otherwise requires, all of our subsidiaries) is at times referred to in the first person as “we,” “us,” or “our.” We also sometimes refer to Williams as the “Company.”</w:t>
      </w:r>
    </w:p>
    <w:p>
      <w:pPr>
        <w:spacing w:after="0" w:line="6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9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THE WILLIAMS COMPANIES, INC.</w:t>
      </w:r>
    </w:p>
    <w:p>
      <w:pPr>
        <w:spacing w:after="0" w:line="189" w:lineRule="exact"/>
        <w:rPr>
          <w:sz w:val="20"/>
          <w:szCs w:val="20"/>
          <w:color w:val="auto"/>
        </w:rPr>
      </w:pPr>
    </w:p>
    <w:p>
      <w:pPr>
        <w:ind w:left="1220" w:right="259" w:firstLine="354"/>
        <w:spacing w:after="0" w:line="300" w:lineRule="auto"/>
        <w:rPr>
          <w:sz w:val="20"/>
          <w:szCs w:val="20"/>
          <w:color w:val="auto"/>
        </w:rPr>
      </w:pPr>
      <w:r>
        <w:rPr>
          <w:rFonts w:ascii="Times New Roman" w:cs="Times New Roman" w:eastAsia="Times New Roman" w:hAnsi="Times New Roman"/>
          <w:sz w:val="14"/>
          <w:szCs w:val="14"/>
          <w:color w:val="auto"/>
        </w:rPr>
        <w:t>We are an energy company committed to being the leader in providing infrastructure that safely delivers natural gas products to reliably fuel the clean energy economy. Our operations are located in the United States.</w:t>
      </w:r>
    </w:p>
    <w:p>
      <w:pPr>
        <w:spacing w:after="0" w:line="119" w:lineRule="exact"/>
        <w:rPr>
          <w:sz w:val="20"/>
          <w:szCs w:val="20"/>
          <w:color w:val="auto"/>
        </w:rPr>
      </w:pPr>
    </w:p>
    <w:p>
      <w:pPr>
        <w:ind w:left="1220" w:right="199" w:firstLine="354"/>
        <w:spacing w:after="0" w:line="279" w:lineRule="auto"/>
        <w:rPr>
          <w:sz w:val="20"/>
          <w:szCs w:val="20"/>
          <w:color w:val="auto"/>
        </w:rPr>
      </w:pPr>
      <w:r>
        <w:rPr>
          <w:rFonts w:ascii="Times New Roman" w:cs="Times New Roman" w:eastAsia="Times New Roman" w:hAnsi="Times New Roman"/>
          <w:sz w:val="14"/>
          <w:szCs w:val="14"/>
          <w:color w:val="auto"/>
        </w:rPr>
        <w:t>We were founded in 1908, originally incorporated under the laws of the state of Nevada in 1949 and reincorporated under the laws of the state of Delaware in 1987. Our principal executive offices are located at One Williams Center, Tulsa, Oklahoma 74172, and our telephone number is 800-945-5426 (800-WILLIAMS).</w:t>
      </w:r>
    </w:p>
    <w:p>
      <w:pPr>
        <w:spacing w:after="0" w:line="3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9" w:lineRule="exact"/>
        <w:rPr>
          <w:sz w:val="20"/>
          <w:szCs w:val="20"/>
          <w:color w:val="auto"/>
        </w:rPr>
      </w:pPr>
    </w:p>
    <w:p>
      <w:pPr>
        <w:ind w:left="1220" w:right="99" w:firstLine="354"/>
        <w:spacing w:after="0" w:line="273" w:lineRule="auto"/>
        <w:rPr>
          <w:sz w:val="20"/>
          <w:szCs w:val="20"/>
          <w:color w:val="auto"/>
        </w:rPr>
      </w:pPr>
      <w:r>
        <w:rPr>
          <w:rFonts w:ascii="Times New Roman" w:cs="Times New Roman" w:eastAsia="Times New Roman" w:hAnsi="Times New Roman"/>
          <w:sz w:val="14"/>
          <w:szCs w:val="14"/>
          <w:color w:val="auto"/>
        </w:rPr>
        <w:t>Investing in the securities described herein involves risk. We urge you to carefully consider the risk factors described in our filings with the SEC that are incorporated by reference in this prospectus and any prospectus supplement or free writing prospectus used in connection with an offering of our securities, as well as the information relating to us identified below under “Special Note Regarding Forward-Looking Statements,” before making an investment decision.</w:t>
      </w:r>
    </w:p>
    <w:p>
      <w:pPr>
        <w:spacing w:after="0" w:line="30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9" w:lineRule="exact"/>
        <w:rPr>
          <w:sz w:val="20"/>
          <w:szCs w:val="20"/>
          <w:color w:val="auto"/>
        </w:rPr>
      </w:pPr>
    </w:p>
    <w:p>
      <w:pPr>
        <w:jc w:val="both"/>
        <w:ind w:left="1220" w:right="119" w:firstLine="354"/>
        <w:spacing w:after="0" w:line="273" w:lineRule="auto"/>
        <w:rPr>
          <w:sz w:val="20"/>
          <w:szCs w:val="20"/>
          <w:color w:val="auto"/>
        </w:rPr>
      </w:pPr>
      <w:r>
        <w:rPr>
          <w:rFonts w:ascii="Times New Roman" w:cs="Times New Roman" w:eastAsia="Times New Roman" w:hAnsi="Times New Roman"/>
          <w:sz w:val="14"/>
          <w:szCs w:val="14"/>
          <w:color w:val="auto"/>
        </w:rPr>
        <w:t xml:space="preserve">We are subject to the informational requirements of the Securities Exchange Act of 1934, as amended (the “Exchange Act”), and file reports and other information with the SEC. Our SEC filings are available to the public from commercial document retrieval services and at the website maintained by the SEC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 xml:space="preserve"> Unless specifically listed under “Incorporation by Reference” below, the information contained on the SEC website is not intended to be incorporated by reference into this prospectus and you should not consider that information a part of this prospectus.</w:t>
      </w:r>
    </w:p>
    <w:p>
      <w:pPr>
        <w:spacing w:after="0" w:line="136" w:lineRule="exact"/>
        <w:rPr>
          <w:sz w:val="20"/>
          <w:szCs w:val="20"/>
          <w:color w:val="auto"/>
        </w:rPr>
      </w:pPr>
    </w:p>
    <w:p>
      <w:pPr>
        <w:ind w:left="1220" w:right="139" w:firstLine="354"/>
        <w:spacing w:after="0" w:line="279" w:lineRule="auto"/>
        <w:rPr>
          <w:sz w:val="20"/>
          <w:szCs w:val="20"/>
          <w:color w:val="auto"/>
        </w:rPr>
      </w:pPr>
      <w:r>
        <w:rPr>
          <w:rFonts w:ascii="Times New Roman" w:cs="Times New Roman" w:eastAsia="Times New Roman" w:hAnsi="Times New Roman"/>
          <w:sz w:val="14"/>
          <w:szCs w:val="14"/>
          <w:color w:val="auto"/>
        </w:rPr>
        <w:t>We will also provide to you, at no cost, a copy of any document incorporated by reference in this prospectus and the applicable prospectus supplement and any exhibits specifically incorporated by reference into those documents. You may request copies of these filings from us by mail at the following address, or by telephone at the following telephone number:</w:t>
      </w:r>
    </w:p>
    <w:p>
      <w:pPr>
        <w:spacing w:after="0" w:line="3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Williams Companies, Inc.</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Investor Relations</w:t>
      </w:r>
    </w:p>
    <w:p>
      <w:pPr>
        <w:spacing w:after="0" w:line="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One Williams Center</w:t>
      </w:r>
    </w:p>
    <w:p>
      <w:pPr>
        <w:spacing w:after="0" w:line="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Tulsa, Oklahoma 74172-0172</w:t>
      </w:r>
    </w:p>
    <w:p>
      <w:pPr>
        <w:spacing w:after="0" w:line="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Telephone Number: 800-945-5426 (800-WILLIAMS)</w:t>
      </w:r>
    </w:p>
    <w:p>
      <w:pPr>
        <w:spacing w:after="0" w:line="169" w:lineRule="exact"/>
        <w:rPr>
          <w:sz w:val="20"/>
          <w:szCs w:val="20"/>
          <w:color w:val="auto"/>
        </w:rPr>
      </w:pPr>
    </w:p>
    <w:p>
      <w:pPr>
        <w:ind w:left="1220" w:right="199" w:firstLine="354"/>
        <w:spacing w:after="0" w:line="273" w:lineRule="auto"/>
        <w:rPr>
          <w:sz w:val="20"/>
          <w:szCs w:val="20"/>
          <w:color w:val="auto"/>
        </w:rPr>
      </w:pPr>
      <w:r>
        <w:rPr>
          <w:rFonts w:ascii="Times New Roman" w:cs="Times New Roman" w:eastAsia="Times New Roman" w:hAnsi="Times New Roman"/>
          <w:sz w:val="14"/>
          <w:szCs w:val="14"/>
          <w:color w:val="auto"/>
        </w:rPr>
        <w:t xml:space="preserve">We make available free of charge on or through our Internet website, </w:t>
      </w:r>
      <w:r>
        <w:rPr>
          <w:rFonts w:ascii="Times New Roman" w:cs="Times New Roman" w:eastAsia="Times New Roman" w:hAnsi="Times New Roman"/>
          <w:sz w:val="14"/>
          <w:szCs w:val="14"/>
          <w:i w:val="1"/>
          <w:iCs w:val="1"/>
          <w:color w:val="auto"/>
        </w:rPr>
        <w:t>http://www.williams.com</w:t>
      </w:r>
      <w:r>
        <w:rPr>
          <w:rFonts w:ascii="Times New Roman" w:cs="Times New Roman" w:eastAsia="Times New Roman" w:hAnsi="Times New Roman"/>
          <w:sz w:val="14"/>
          <w:szCs w:val="14"/>
          <w:color w:val="auto"/>
        </w:rPr>
        <w:t>, our reports and other information filed with or furnished to the SEC as referred to above and amendments to those reports filed or furnished pursuant to Section 13(a) or 15(d) of the Exchange Act as soon as reasonably practicable after we electronically file such material with, or furnish it to, the SEC. Information contained on our website is not intended to be incorporated by reference into this prospectus and you should not consider that information a part of this prospectus.</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94"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89" w:lineRule="exact"/>
        <w:rPr>
          <w:sz w:val="20"/>
          <w:szCs w:val="20"/>
          <w:color w:val="auto"/>
        </w:rPr>
      </w:pPr>
    </w:p>
    <w:p>
      <w:pPr>
        <w:ind w:left="1220" w:right="99" w:firstLine="354"/>
        <w:spacing w:after="0" w:line="269" w:lineRule="auto"/>
        <w:rPr>
          <w:sz w:val="20"/>
          <w:szCs w:val="20"/>
          <w:color w:val="auto"/>
        </w:rPr>
      </w:pPr>
      <w:r>
        <w:rPr>
          <w:rFonts w:ascii="Times New Roman" w:cs="Times New Roman" w:eastAsia="Times New Roman" w:hAnsi="Times New Roman"/>
          <w:sz w:val="14"/>
          <w:szCs w:val="14"/>
          <w:color w:val="auto"/>
        </w:rPr>
        <w:t>We are incorporating by reference into this prospectus information we file with the SEC, which means we are disclosing important information to you by referring you to those documents. The information we incorporate by reference is considered to be part of this prospectus, unless we update or supersede that information by the information contained in this prospectus or the information we file subsequently that is incorporated by reference into this prospectus or any prospectus supplement. Information that we later provide to the SEC, and that is deemed to be “filed” with the SEC, automatically will update information previously filed with the SEC, and may replace information in this prospectus.</w:t>
      </w:r>
    </w:p>
    <w:p>
      <w:pPr>
        <w:spacing w:after="0" w:line="14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We are incorporating by reference the following documents that we have filed with the SEC:</w:t>
      </w:r>
    </w:p>
    <w:p>
      <w:pPr>
        <w:spacing w:after="0" w:line="111" w:lineRule="exact"/>
        <w:rPr>
          <w:sz w:val="20"/>
          <w:szCs w:val="20"/>
          <w:color w:val="auto"/>
        </w:rPr>
      </w:pPr>
    </w:p>
    <w:p>
      <w:pPr>
        <w:ind w:left="2000" w:right="79" w:hanging="353"/>
        <w:spacing w:after="0" w:line="300" w:lineRule="auto"/>
        <w:tabs>
          <w:tab w:leader="none" w:pos="20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27">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 No. 1-04174) for the fiscal year ended December 31, 2025 filed with the SEC on February 24, 2026 (the “2025 Form 10-K”);</w:t>
      </w:r>
    </w:p>
    <w:p>
      <w:pPr>
        <w:spacing w:after="0" w:line="42" w:lineRule="exact"/>
        <w:rPr>
          <w:rFonts w:ascii="Times New Roman" w:cs="Times New Roman" w:eastAsia="Times New Roman" w:hAnsi="Times New Roman"/>
          <w:sz w:val="14"/>
          <w:szCs w:val="14"/>
          <w:color w:val="auto"/>
        </w:rPr>
      </w:pPr>
    </w:p>
    <w:p>
      <w:pPr>
        <w:ind w:left="2000" w:right="199" w:hanging="353"/>
        <w:spacing w:after="0" w:line="300" w:lineRule="auto"/>
        <w:tabs>
          <w:tab w:leader="none" w:pos="20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portions of our Definitive Proxy Statement on </w:t>
      </w:r>
      <w:hyperlink r:id="rId28">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March 18, 2026 that are incorporated by reference into the 2025 Form 10-K (other than information furnished rather than filed);</w:t>
      </w:r>
    </w:p>
    <w:p>
      <w:pPr>
        <w:spacing w:after="0" w:line="42" w:lineRule="exact"/>
        <w:rPr>
          <w:rFonts w:ascii="Times New Roman" w:cs="Times New Roman" w:eastAsia="Times New Roman" w:hAnsi="Times New Roman"/>
          <w:sz w:val="14"/>
          <w:szCs w:val="14"/>
          <w:color w:val="auto"/>
        </w:rPr>
      </w:pPr>
    </w:p>
    <w:p>
      <w:pPr>
        <w:ind w:left="2000" w:right="359" w:hanging="353"/>
        <w:spacing w:after="0" w:line="300" w:lineRule="auto"/>
        <w:tabs>
          <w:tab w:leader="none" w:pos="20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(File No. 1-04174) for the quarterly periods ended </w:t>
      </w:r>
      <w:hyperlink r:id="rId29">
        <w:r>
          <w:rPr>
            <w:rFonts w:ascii="Times New Roman" w:cs="Times New Roman" w:eastAsia="Times New Roman" w:hAnsi="Times New Roman"/>
            <w:sz w:val="14"/>
            <w:szCs w:val="14"/>
            <w:u w:val="single" w:color="auto"/>
            <w:color w:val="0000EE"/>
          </w:rPr>
          <w:t>March 31, 2026</w:t>
        </w:r>
      </w:hyperlink>
      <w:r>
        <w:rPr>
          <w:rFonts w:ascii="Times New Roman" w:cs="Times New Roman" w:eastAsia="Times New Roman" w:hAnsi="Times New Roman"/>
          <w:sz w:val="14"/>
          <w:szCs w:val="14"/>
          <w:color w:val="auto"/>
        </w:rPr>
        <w:t xml:space="preserve">, filed with the SEC on May 4, 2026, </w:t>
      </w:r>
      <w:hyperlink r:id="rId30">
        <w:r>
          <w:rPr>
            <w:rFonts w:ascii="Times New Roman" w:cs="Times New Roman" w:eastAsia="Times New Roman" w:hAnsi="Times New Roman"/>
            <w:sz w:val="14"/>
            <w:szCs w:val="14"/>
            <w:u w:val="single" w:color="auto"/>
            <w:color w:val="0000EE"/>
          </w:rPr>
          <w:t>June 30, 2026</w:t>
        </w:r>
      </w:hyperlink>
      <w:r>
        <w:rPr>
          <w:rFonts w:ascii="Times New Roman" w:cs="Times New Roman" w:eastAsia="Times New Roman" w:hAnsi="Times New Roman"/>
          <w:sz w:val="14"/>
          <w:szCs w:val="14"/>
          <w:color w:val="auto"/>
        </w:rPr>
        <w:t xml:space="preserve">, filed with the SEC on August 3, 2026, and </w:t>
      </w:r>
      <w:hyperlink r:id="rId31">
        <w:r>
          <w:rPr>
            <w:rFonts w:ascii="Times New Roman" w:cs="Times New Roman" w:eastAsia="Times New Roman" w:hAnsi="Times New Roman"/>
            <w:sz w:val="14"/>
            <w:szCs w:val="14"/>
            <w:u w:val="single" w:color="auto"/>
            <w:color w:val="0000EE"/>
          </w:rPr>
          <w:t>September 30, 2026</w:t>
        </w:r>
      </w:hyperlink>
      <w:r>
        <w:rPr>
          <w:rFonts w:ascii="Times New Roman" w:cs="Times New Roman" w:eastAsia="Times New Roman" w:hAnsi="Times New Roman"/>
          <w:sz w:val="14"/>
          <w:szCs w:val="14"/>
          <w:color w:val="auto"/>
        </w:rPr>
        <w:t>, filed with the SEC on November 2, 2026;</w:t>
      </w:r>
    </w:p>
    <w:p>
      <w:pPr>
        <w:spacing w:after="0" w:line="42" w:lineRule="exact"/>
        <w:rPr>
          <w:rFonts w:ascii="Times New Roman" w:cs="Times New Roman" w:eastAsia="Times New Roman" w:hAnsi="Times New Roman"/>
          <w:sz w:val="14"/>
          <w:szCs w:val="14"/>
          <w:color w:val="auto"/>
        </w:rPr>
      </w:pPr>
    </w:p>
    <w:p>
      <w:pPr>
        <w:ind w:left="2000" w:right="119" w:hanging="353"/>
        <w:spacing w:after="0" w:line="279" w:lineRule="auto"/>
        <w:tabs>
          <w:tab w:leader="none" w:pos="2000" w:val="left"/>
        </w:tabs>
        <w:numPr>
          <w:ilvl w:val="0"/>
          <w:numId w:val="1"/>
        </w:numPr>
        <w:rPr>
          <w:rFonts w:ascii="Times New Roman" w:cs="Times New Roman" w:eastAsia="Times New Roman" w:hAnsi="Times New Roman"/>
          <w:sz w:val="14"/>
          <w:szCs w:val="14"/>
          <w:color w:val="0000EE"/>
        </w:rPr>
      </w:pPr>
      <w:hyperlink r:id="rId32">
        <w:r>
          <w:rPr>
            <w:rFonts w:ascii="Times New Roman" w:cs="Times New Roman" w:eastAsia="Times New Roman" w:hAnsi="Times New Roman"/>
            <w:sz w:val="14"/>
            <w:szCs w:val="14"/>
            <w:color w:val="auto"/>
          </w:rPr>
          <w:t xml:space="preserve">our Current Reports on Form 8-K (File No. 1-04174) filed with the SEC on </w:t>
        </w:r>
        <w:r>
          <w:rPr>
            <w:rFonts w:ascii="Times New Roman" w:cs="Times New Roman" w:eastAsia="Times New Roman" w:hAnsi="Times New Roman"/>
            <w:sz w:val="14"/>
            <w:szCs w:val="14"/>
            <w:u w:val="single" w:color="auto"/>
            <w:color w:val="0000EE"/>
          </w:rPr>
          <w:t>January 8, 2026</w:t>
        </w:r>
        <w:r>
          <w:rPr>
            <w:rFonts w:ascii="Times New Roman" w:cs="Times New Roman" w:eastAsia="Times New Roman" w:hAnsi="Times New Roman"/>
            <w:sz w:val="14"/>
            <w:szCs w:val="14"/>
            <w:color w:val="auto"/>
          </w:rPr>
          <w:t xml:space="preserve"> (Item 8.01 only), </w:t>
        </w:r>
        <w:r>
          <w:rPr>
            <w:rFonts w:ascii="Times New Roman" w:cs="Times New Roman" w:eastAsia="Times New Roman" w:hAnsi="Times New Roman"/>
            <w:sz w:val="14"/>
            <w:szCs w:val="14"/>
            <w:u w:val="single" w:color="auto"/>
            <w:color w:val="0000EE"/>
          </w:rPr>
          <w:t>January 8,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26,</w:t>
        </w:r>
      </w:hyperlink>
      <w:r>
        <w:rPr>
          <w:rFonts w:ascii="Times New Roman" w:cs="Times New Roman" w:eastAsia="Times New Roman" w:hAnsi="Times New Roman"/>
          <w:sz w:val="14"/>
          <w:szCs w:val="14"/>
          <w:color w:val="auto"/>
        </w:rPr>
        <w:t xml:space="preserve"> </w:t>
      </w:r>
      <w:hyperlink r:id="rId32">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33">
        <w:r>
          <w:rPr>
            <w:rFonts w:ascii="Times New Roman" w:cs="Times New Roman" w:eastAsia="Times New Roman" w:hAnsi="Times New Roman"/>
            <w:sz w:val="14"/>
            <w:szCs w:val="14"/>
            <w:u w:val="single" w:color="auto"/>
            <w:color w:val="0000EE"/>
          </w:rPr>
          <w:t xml:space="preserve">May 4, 2026 </w:t>
        </w:r>
      </w:hyperlink>
      <w:hyperlink r:id="rId32">
        <w:r>
          <w:rPr>
            <w:rFonts w:ascii="Times New Roman" w:cs="Times New Roman" w:eastAsia="Times New Roman" w:hAnsi="Times New Roman"/>
            <w:sz w:val="14"/>
            <w:szCs w:val="14"/>
            <w:color w:val="000000"/>
          </w:rPr>
          <w:t>(Item 5.02 and Item 5.07 only),</w:t>
        </w:r>
        <w:r>
          <w:rPr>
            <w:rFonts w:ascii="Times New Roman" w:cs="Times New Roman" w:eastAsia="Times New Roman" w:hAnsi="Times New Roman"/>
            <w:sz w:val="14"/>
            <w:szCs w:val="14"/>
            <w:color w:val="0000EE"/>
          </w:rPr>
          <w:t xml:space="preserve"> </w:t>
        </w:r>
      </w:hyperlink>
      <w:hyperlink r:id="rId34">
        <w:r>
          <w:rPr>
            <w:rFonts w:ascii="Times New Roman" w:cs="Times New Roman" w:eastAsia="Times New Roman" w:hAnsi="Times New Roman"/>
            <w:sz w:val="14"/>
            <w:szCs w:val="14"/>
            <w:u w:val="single" w:color="auto"/>
            <w:color w:val="0000EE"/>
          </w:rPr>
          <w:t>May 20, 2026</w:t>
        </w:r>
      </w:hyperlink>
      <w:hyperlink r:id="rId32">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35">
        <w:r>
          <w:rPr>
            <w:rFonts w:ascii="Times New Roman" w:cs="Times New Roman" w:eastAsia="Times New Roman" w:hAnsi="Times New Roman"/>
            <w:sz w:val="14"/>
            <w:szCs w:val="14"/>
            <w:u w:val="single" w:color="auto"/>
            <w:color w:val="0000EE"/>
          </w:rPr>
          <w:t xml:space="preserve">July 1, 2026 </w:t>
        </w:r>
      </w:hyperlink>
      <w:hyperlink r:id="rId32">
        <w:r>
          <w:rPr>
            <w:rFonts w:ascii="Times New Roman" w:cs="Times New Roman" w:eastAsia="Times New Roman" w:hAnsi="Times New Roman"/>
            <w:sz w:val="14"/>
            <w:szCs w:val="14"/>
            <w:color w:val="000000"/>
          </w:rPr>
          <w:t>(Item 5.02 only),</w:t>
        </w:r>
        <w:r>
          <w:rPr>
            <w:rFonts w:ascii="Times New Roman" w:cs="Times New Roman" w:eastAsia="Times New Roman" w:hAnsi="Times New Roman"/>
            <w:sz w:val="14"/>
            <w:szCs w:val="14"/>
            <w:color w:val="0000EE"/>
          </w:rPr>
          <w:t xml:space="preserve"> </w:t>
        </w:r>
      </w:hyperlink>
      <w:hyperlink r:id="rId36">
        <w:r>
          <w:rPr>
            <w:rFonts w:ascii="Times New Roman" w:cs="Times New Roman" w:eastAsia="Times New Roman" w:hAnsi="Times New Roman"/>
            <w:sz w:val="14"/>
            <w:szCs w:val="14"/>
            <w:u w:val="single" w:color="auto"/>
            <w:color w:val="0000EE"/>
          </w:rPr>
          <w:t>August 21, 2026</w:t>
        </w:r>
      </w:hyperlink>
      <w:hyperlink r:id="rId32">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37">
        <w:r>
          <w:rPr>
            <w:rFonts w:ascii="Times New Roman" w:cs="Times New Roman" w:eastAsia="Times New Roman" w:hAnsi="Times New Roman"/>
            <w:sz w:val="14"/>
            <w:szCs w:val="14"/>
            <w:u w:val="single" w:color="auto"/>
            <w:color w:val="0000EE"/>
          </w:rPr>
          <w:t>September 3, 2026</w:t>
        </w:r>
      </w:hyperlink>
      <w:hyperlink r:id="rId32">
        <w:r>
          <w:rPr>
            <w:rFonts w:ascii="Times New Roman" w:cs="Times New Roman" w:eastAsia="Times New Roman" w:hAnsi="Times New Roman"/>
            <w:sz w:val="14"/>
            <w:szCs w:val="14"/>
            <w:color w:val="000000"/>
          </w:rPr>
          <w:t>,</w:t>
        </w:r>
      </w:hyperlink>
      <w:r>
        <w:rPr>
          <w:rFonts w:ascii="Times New Roman" w:cs="Times New Roman" w:eastAsia="Times New Roman" w:hAnsi="Times New Roman"/>
          <w:sz w:val="14"/>
          <w:szCs w:val="14"/>
          <w:color w:val="0000EE"/>
        </w:rPr>
        <w:t xml:space="preserve"> </w:t>
      </w:r>
      <w:hyperlink r:id="rId38">
        <w:r>
          <w:rPr>
            <w:rFonts w:ascii="Times New Roman" w:cs="Times New Roman" w:eastAsia="Times New Roman" w:hAnsi="Times New Roman"/>
            <w:sz w:val="14"/>
            <w:szCs w:val="14"/>
            <w:u w:val="single" w:color="auto"/>
            <w:color w:val="0000EE"/>
          </w:rPr>
          <w:t>September 10, 2026</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(Item</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8.01 only) and</w:t>
      </w:r>
      <w:r>
        <w:rPr>
          <w:rFonts w:ascii="Times New Roman" w:cs="Times New Roman" w:eastAsia="Times New Roman" w:hAnsi="Times New Roman"/>
          <w:sz w:val="14"/>
          <w:szCs w:val="14"/>
          <w:color w:val="0000EE"/>
        </w:rPr>
        <w:t xml:space="preserve"> </w:t>
      </w:r>
      <w:hyperlink r:id="rId39">
        <w:r>
          <w:rPr>
            <w:rFonts w:ascii="Times New Roman" w:cs="Times New Roman" w:eastAsia="Times New Roman" w:hAnsi="Times New Roman"/>
            <w:sz w:val="14"/>
            <w:szCs w:val="14"/>
            <w:u w:val="single" w:color="auto"/>
            <w:color w:val="0000EE"/>
          </w:rPr>
          <w:t>September 10, 2026</w:t>
        </w:r>
      </w:hyperlink>
      <w:r>
        <w:rPr>
          <w:rFonts w:ascii="Times New Roman" w:cs="Times New Roman" w:eastAsia="Times New Roman" w:hAnsi="Times New Roman"/>
          <w:sz w:val="14"/>
          <w:szCs w:val="14"/>
          <w:color w:val="000000"/>
        </w:rPr>
        <w:t>.</w:t>
      </w:r>
    </w:p>
    <w:p>
      <w:pPr>
        <w:spacing w:after="0" w:line="57" w:lineRule="exact"/>
        <w:rPr>
          <w:rFonts w:ascii="Times New Roman" w:cs="Times New Roman" w:eastAsia="Times New Roman" w:hAnsi="Times New Roman"/>
          <w:sz w:val="14"/>
          <w:szCs w:val="14"/>
          <w:color w:val="0000EE"/>
        </w:rPr>
      </w:pPr>
    </w:p>
    <w:p>
      <w:pPr>
        <w:ind w:left="2000" w:right="199" w:hanging="353"/>
        <w:spacing w:after="0" w:line="273" w:lineRule="auto"/>
        <w:tabs>
          <w:tab w:leader="none" w:pos="20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par value $1.00 per share, contained in our Registration Statement on Form 8-B filed on August 20, 1987 (File No. 001-04174), as updated by the description of our common stock filed as </w:t>
      </w:r>
      <w:hyperlink r:id="rId40">
        <w:r>
          <w:rPr>
            <w:rFonts w:ascii="Times New Roman" w:cs="Times New Roman" w:eastAsia="Times New Roman" w:hAnsi="Times New Roman"/>
            <w:sz w:val="14"/>
            <w:szCs w:val="14"/>
            <w:u w:val="single" w:color="auto"/>
            <w:color w:val="0000EE"/>
          </w:rPr>
          <w:t>Exhibit 4.35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fiscal year ended December 31, 2022, and any amendments or reports filed for the purpose of updating the description of our common stock; and</w:t>
      </w:r>
    </w:p>
    <w:p>
      <w:pPr>
        <w:spacing w:after="0" w:line="60" w:lineRule="exact"/>
        <w:rPr>
          <w:rFonts w:ascii="Times New Roman" w:cs="Times New Roman" w:eastAsia="Times New Roman" w:hAnsi="Times New Roman"/>
          <w:sz w:val="14"/>
          <w:szCs w:val="14"/>
          <w:color w:val="auto"/>
        </w:rPr>
      </w:pPr>
    </w:p>
    <w:p>
      <w:pPr>
        <w:ind w:left="2000" w:right="359" w:hanging="353"/>
        <w:spacing w:after="0" w:line="300" w:lineRule="auto"/>
        <w:tabs>
          <w:tab w:leader="none" w:pos="20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Series B Preferred Stock contained in our Current Report on </w:t>
      </w:r>
      <w:hyperlink r:id="rId41">
        <w:r>
          <w:rPr>
            <w:rFonts w:ascii="Times New Roman" w:cs="Times New Roman" w:eastAsia="Times New Roman" w:hAnsi="Times New Roman"/>
            <w:sz w:val="14"/>
            <w:szCs w:val="14"/>
            <w:u w:val="single" w:color="auto"/>
            <w:color w:val="0000EE"/>
          </w:rPr>
          <w:t>Form 8-K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July 17, 2018 (File No. 001-04174).</w:t>
      </w:r>
    </w:p>
    <w:p>
      <w:pPr>
        <w:spacing w:after="0" w:line="119" w:lineRule="exact"/>
        <w:rPr>
          <w:rFonts w:ascii="Times New Roman" w:cs="Times New Roman" w:eastAsia="Times New Roman" w:hAnsi="Times New Roman"/>
          <w:sz w:val="14"/>
          <w:szCs w:val="14"/>
          <w:color w:val="auto"/>
        </w:rPr>
      </w:pPr>
    </w:p>
    <w:p>
      <w:pPr>
        <w:ind w:left="1560"/>
        <w:spacing w:after="0"/>
        <w:rPr>
          <w:sz w:val="20"/>
          <w:szCs w:val="20"/>
          <w:color w:val="auto"/>
        </w:rPr>
      </w:pPr>
      <w:r>
        <w:rPr>
          <w:rFonts w:ascii="Times New Roman" w:cs="Times New Roman" w:eastAsia="Times New Roman" w:hAnsi="Times New Roman"/>
          <w:sz w:val="14"/>
          <w:szCs w:val="14"/>
          <w:color w:val="auto"/>
        </w:rPr>
        <w:t>These documents contain important information about us, our financial condition and our results of operations.</w:t>
      </w:r>
    </w:p>
    <w:p>
      <w:pPr>
        <w:spacing w:after="0" w:line="187" w:lineRule="exact"/>
        <w:rPr>
          <w:rFonts w:ascii="Times New Roman" w:cs="Times New Roman" w:eastAsia="Times New Roman" w:hAnsi="Times New Roman"/>
          <w:sz w:val="14"/>
          <w:szCs w:val="14"/>
          <w:color w:val="auto"/>
        </w:rPr>
      </w:pPr>
    </w:p>
    <w:p>
      <w:pPr>
        <w:ind w:left="1220" w:right="119" w:firstLine="354"/>
        <w:spacing w:after="0" w:line="273" w:lineRule="auto"/>
        <w:rPr>
          <w:sz w:val="20"/>
          <w:szCs w:val="20"/>
          <w:color w:val="auto"/>
        </w:rPr>
      </w:pPr>
      <w:r>
        <w:rPr>
          <w:rFonts w:ascii="Times New Roman" w:cs="Times New Roman" w:eastAsia="Times New Roman" w:hAnsi="Times New Roman"/>
          <w:sz w:val="14"/>
          <w:szCs w:val="14"/>
          <w:color w:val="auto"/>
        </w:rPr>
        <w:t>All documents that we file with the SEC under Sections 13(a), 13(c), 14 or 15(d) of the Exchange Act after the date of this prospectus and prior to the termination of all offerings made pursuant to this prospectus and the applicable prospectus supplement also will be deemed to be incorporated herein by reference. Nothing in this prospectus shall be deemed to incorporate information furnished to but not filed with the SEC, including pursuant to Item 2.02 or Item 7.01 of Form 8-K (or corresponding information furnished under Item 9.01 or included as an exhibit).</w:t>
      </w:r>
    </w:p>
    <w:p>
      <w:pPr>
        <w:spacing w:after="0" w:line="82" w:lineRule="exact"/>
        <w:rPr>
          <w:rFonts w:ascii="Times New Roman" w:cs="Times New Roman" w:eastAsia="Times New Roman" w:hAnsi="Times New Roman"/>
          <w:sz w:val="14"/>
          <w:szCs w:val="14"/>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94"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9" w:lineRule="exact"/>
        <w:rPr>
          <w:sz w:val="20"/>
          <w:szCs w:val="20"/>
          <w:color w:val="auto"/>
        </w:rPr>
      </w:pPr>
    </w:p>
    <w:p>
      <w:pPr>
        <w:ind w:left="1220" w:right="179" w:firstLine="354"/>
        <w:spacing w:after="0" w:line="269" w:lineRule="auto"/>
        <w:rPr>
          <w:sz w:val="20"/>
          <w:szCs w:val="20"/>
          <w:color w:val="auto"/>
        </w:rPr>
      </w:pPr>
      <w:r>
        <w:rPr>
          <w:rFonts w:ascii="Times New Roman" w:cs="Times New Roman" w:eastAsia="Times New Roman" w:hAnsi="Times New Roman"/>
          <w:sz w:val="14"/>
          <w:szCs w:val="14"/>
          <w:color w:val="auto"/>
        </w:rPr>
        <w:t>Certain matters contained or incorporated by reference in this prospectus and the applicable prospectus supplement include “forward-looking statements” within the meaning of Section 27A of the Securities Act of 1933, as amended (the “Securities Act”), and Section 21E of the Exchange Act. These forward-looking statements relate to anticipated financial performance, management’s plans and objectives for future operations, business prospects, outcomes of regulatory proceedings, market conditions, and other matters. We make these forward-looking statements in reliance on the safe harbor protections provided under the Private Securities Litigation Reform Act of 1995.</w:t>
      </w:r>
    </w:p>
    <w:p>
      <w:pPr>
        <w:spacing w:after="0" w:line="141" w:lineRule="exact"/>
        <w:rPr>
          <w:sz w:val="20"/>
          <w:szCs w:val="20"/>
          <w:color w:val="auto"/>
        </w:rPr>
      </w:pPr>
    </w:p>
    <w:p>
      <w:pPr>
        <w:ind w:left="1220" w:right="139" w:firstLine="354"/>
        <w:spacing w:after="0" w:line="267" w:lineRule="auto"/>
        <w:rPr>
          <w:sz w:val="20"/>
          <w:szCs w:val="20"/>
          <w:color w:val="auto"/>
        </w:rPr>
      </w:pPr>
      <w:r>
        <w:rPr>
          <w:rFonts w:ascii="Times New Roman" w:cs="Times New Roman" w:eastAsia="Times New Roman" w:hAnsi="Times New Roman"/>
          <w:sz w:val="14"/>
          <w:szCs w:val="14"/>
          <w:color w:val="auto"/>
        </w:rPr>
        <w:t>All statements, other than statements of historical facts, included in this prospectus that address activities, events, or developments that we expect, believe, or anticipate will exist or may occur in the future, are forward-looking statements. Forward-looking statements can be identified by various forms of words such as “anticipates,” “believes,” “seeks,” “could,” “may,” “should,” “continues,” “estimates,” “expects,” “forecasts,” “intends,” “might,” “goals,” “objectives,” “targets,” “planned,” “potential,” “projects,” “scheduled,” “will,” “assumes,” “guidance,” “outlook,” “in-service date,” or other similar expressions. These forward-looking statements are based on management’s beliefs and assumptions and on information currently available to management and include, among others, statements regarding:</w:t>
      </w:r>
    </w:p>
    <w:p>
      <w:pPr>
        <w:spacing w:after="0" w:line="164" w:lineRule="exact"/>
        <w:rPr>
          <w:sz w:val="20"/>
          <w:szCs w:val="20"/>
          <w:color w:val="auto"/>
        </w:rPr>
      </w:pPr>
    </w:p>
    <w:p>
      <w:pPr>
        <w:ind w:left="2000" w:hanging="353"/>
        <w:spacing w:after="0"/>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levels of dividends to Williams stockholders;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credit ratings of Williams and its affiliates;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and nature of future capital expenditures;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expansion and growth of our business and operations;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in-service dates for capital projects;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condition and liquidity;</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strategy;</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flow from operations or results of operations;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 case filings;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seasonality of certain business components;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gas, natural gas liquids, and crude oil prices, supply, and demand; and</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demand for our services.</w:t>
      </w:r>
    </w:p>
    <w:p>
      <w:pPr>
        <w:spacing w:after="0" w:line="187" w:lineRule="exact"/>
        <w:rPr>
          <w:sz w:val="20"/>
          <w:szCs w:val="20"/>
          <w:color w:val="auto"/>
        </w:rPr>
      </w:pPr>
    </w:p>
    <w:p>
      <w:pPr>
        <w:ind w:left="1220" w:right="179" w:firstLine="354"/>
        <w:spacing w:after="0" w:line="273" w:lineRule="auto"/>
        <w:rPr>
          <w:sz w:val="20"/>
          <w:szCs w:val="20"/>
          <w:color w:val="auto"/>
        </w:rPr>
      </w:pPr>
      <w:r>
        <w:rPr>
          <w:rFonts w:ascii="Times New Roman" w:cs="Times New Roman" w:eastAsia="Times New Roman" w:hAnsi="Times New Roman"/>
          <w:sz w:val="14"/>
          <w:szCs w:val="14"/>
          <w:color w:val="auto"/>
        </w:rPr>
        <w:t>Forward-looking statements are based on numerous assumptions, uncertainties, and risks that could cause future events or results to be materially different from those stated or implied in this prospectus or in the documents incorporated herein by reference. Many of the factors that will determine these results are beyond our ability to control or predict. Specific factors that could cause actual results to differ from results contemplated by the forward-looking statements include, among others, the following:</w:t>
      </w:r>
    </w:p>
    <w:p>
      <w:pPr>
        <w:spacing w:after="0" w:line="158" w:lineRule="exact"/>
        <w:rPr>
          <w:sz w:val="20"/>
          <w:szCs w:val="20"/>
          <w:color w:val="auto"/>
        </w:rPr>
      </w:pPr>
    </w:p>
    <w:p>
      <w:pPr>
        <w:ind w:left="2000" w:hanging="353"/>
        <w:spacing w:after="0"/>
        <w:tabs>
          <w:tab w:leader="none" w:pos="2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supplies, market demand, and volatility of prices;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 and rate of adoption of alternative energy sources;</w:t>
      </w:r>
    </w:p>
    <w:p>
      <w:pPr>
        <w:spacing w:after="0" w:line="110" w:lineRule="exact"/>
        <w:rPr>
          <w:rFonts w:ascii="Times New Roman" w:cs="Times New Roman" w:eastAsia="Times New Roman" w:hAnsi="Times New Roman"/>
          <w:sz w:val="14"/>
          <w:szCs w:val="14"/>
          <w:color w:val="auto"/>
        </w:rPr>
      </w:pPr>
    </w:p>
    <w:p>
      <w:pPr>
        <w:ind w:left="2000" w:right="339" w:hanging="353"/>
        <w:spacing w:after="0" w:line="279" w:lineRule="auto"/>
        <w:tabs>
          <w:tab w:leader="none" w:pos="2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existing and future laws and regulations, the regulatory environment, environmental matters, and litigation, as well as our ability and the ability of other energy companies with whom we conduct or seek to conduct business, to obtain necessary permits and approvals, and our ability to achieve favorable rate proceeding outcomes;</w:t>
      </w:r>
    </w:p>
    <w:p>
      <w:pPr>
        <w:spacing w:after="0" w:line="57"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exposure to the credit risk of our customers and counterparties;</w:t>
      </w:r>
    </w:p>
    <w:p>
      <w:pPr>
        <w:spacing w:after="0" w:line="1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94"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5" w:lineRule="exact"/>
        <w:rPr>
          <w:sz w:val="20"/>
          <w:szCs w:val="20"/>
          <w:color w:val="auto"/>
        </w:rPr>
      </w:pPr>
    </w:p>
    <w:p>
      <w:pPr>
        <w:ind w:left="2000" w:right="279" w:hanging="353"/>
        <w:spacing w:after="0" w:line="300" w:lineRule="auto"/>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acquire new businesses and assets and successfully integrate those operations and assets into existing businesses as well as successfully expand our facilities, and to consummate asset sales on acceptable terms;</w:t>
      </w:r>
    </w:p>
    <w:p>
      <w:pPr>
        <w:spacing w:after="0" w:line="42"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are able to successfully identify, evaluate, and timely execute our capital projects and investment opportunities;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and financial resources of our competitors and the effects of competition;</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cash distributions from and capital requirements of our investments and joint ventures in which we participate;</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will be able to effectively execute our financing plan;</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scrutiny and changing expectations from stakeholders with respect to our environmental, social, and governance practices;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physical and financial risks associated with climate change;</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operational and developmental hazards and unforeseen interruptions;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resulting from outbreaks or other public health crises;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weather and natural phenomena, including climate conditions and physical damage to our facilities;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of terrorism, cybersecurity incidents, and related disruptions;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costs and funding obligations for defined benefit pension plans and other postretirement benefit plans;</w:t>
      </w:r>
    </w:p>
    <w:p>
      <w:pPr>
        <w:spacing w:after="0" w:line="110" w:lineRule="exact"/>
        <w:rPr>
          <w:rFonts w:ascii="Times New Roman" w:cs="Times New Roman" w:eastAsia="Times New Roman" w:hAnsi="Times New Roman"/>
          <w:sz w:val="14"/>
          <w:szCs w:val="14"/>
          <w:color w:val="auto"/>
        </w:rPr>
      </w:pPr>
    </w:p>
    <w:p>
      <w:pPr>
        <w:ind w:left="2000" w:right="439" w:hanging="353"/>
        <w:spacing w:after="0" w:line="300" w:lineRule="auto"/>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maintenance and construction costs, as well as our ability to obtain sufficient construction-related inputs, including skilled labor;</w:t>
      </w:r>
    </w:p>
    <w:p>
      <w:pPr>
        <w:spacing w:after="0" w:line="42" w:lineRule="exact"/>
        <w:rPr>
          <w:rFonts w:ascii="Times New Roman" w:cs="Times New Roman" w:eastAsia="Times New Roman" w:hAnsi="Times New Roman"/>
          <w:sz w:val="14"/>
          <w:szCs w:val="14"/>
          <w:color w:val="auto"/>
        </w:rPr>
      </w:pPr>
    </w:p>
    <w:p>
      <w:pPr>
        <w:ind w:left="2000" w:right="119" w:hanging="353"/>
        <w:spacing w:after="0" w:line="279" w:lineRule="auto"/>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interest rates, tariffs on foreign-made materials and goods (including steel and steel pipes) necessary to conduct our business, and general economic conditions (including future disruptions and volatility in the global credit markets and the impact of these events on customers and suppliers);</w:t>
      </w:r>
    </w:p>
    <w:p>
      <w:pPr>
        <w:spacing w:after="0" w:line="57" w:lineRule="exact"/>
        <w:rPr>
          <w:rFonts w:ascii="Times New Roman" w:cs="Times New Roman" w:eastAsia="Times New Roman" w:hAnsi="Times New Roman"/>
          <w:sz w:val="14"/>
          <w:szCs w:val="14"/>
          <w:color w:val="auto"/>
        </w:rPr>
      </w:pPr>
    </w:p>
    <w:p>
      <w:pPr>
        <w:ind w:left="2000" w:right="639" w:hanging="353"/>
        <w:spacing w:after="0" w:line="300" w:lineRule="auto"/>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financing, including restrictions stemming from debt agreements, future changes in credit ratings as determined by nationally recognized credit rating agencies, and the availability and cost of capital;</w:t>
      </w:r>
    </w:p>
    <w:p>
      <w:pPr>
        <w:spacing w:after="0" w:line="42" w:lineRule="exact"/>
        <w:rPr>
          <w:rFonts w:ascii="Times New Roman" w:cs="Times New Roman" w:eastAsia="Times New Roman" w:hAnsi="Times New Roman"/>
          <w:sz w:val="14"/>
          <w:szCs w:val="14"/>
          <w:color w:val="auto"/>
        </w:rPr>
      </w:pPr>
    </w:p>
    <w:p>
      <w:pPr>
        <w:ind w:left="2000" w:right="139" w:hanging="353"/>
        <w:spacing w:after="0" w:line="300" w:lineRule="auto"/>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members of the Organization of Petroleum Exporting Countries (“OPEC”) and other oil exporting nations to agree to and maintain oil price and production controls and the impact on domestic production;</w:t>
      </w:r>
    </w:p>
    <w:p>
      <w:pPr>
        <w:spacing w:after="0" w:line="42"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current geopolitical situation;</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governmental administration and policies;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are able to pay current and expected levels of dividends; and</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risks described in our filings with the SEC.</w:t>
      </w:r>
    </w:p>
    <w:p>
      <w:pPr>
        <w:spacing w:after="0" w:line="187" w:lineRule="exact"/>
        <w:rPr>
          <w:sz w:val="20"/>
          <w:szCs w:val="20"/>
          <w:color w:val="auto"/>
        </w:rPr>
      </w:pPr>
    </w:p>
    <w:p>
      <w:pPr>
        <w:ind w:left="1220" w:right="319" w:firstLine="354"/>
        <w:spacing w:after="0" w:line="279" w:lineRule="auto"/>
        <w:rPr>
          <w:sz w:val="20"/>
          <w:szCs w:val="20"/>
          <w:color w:val="auto"/>
        </w:rPr>
      </w:pPr>
      <w:r>
        <w:rPr>
          <w:rFonts w:ascii="Times New Roman" w:cs="Times New Roman" w:eastAsia="Times New Roman" w:hAnsi="Times New Roman"/>
          <w:sz w:val="14"/>
          <w:szCs w:val="14"/>
          <w:color w:val="auto"/>
        </w:rPr>
        <w:t>Given the uncertainties and risk factors that could cause our actual results to differ materially from those contained in any forward-looking statement, we caution investors not to unduly rely on our forward-looking statements. We disclaim any obligations to and do not intend to update the above list or announce publicly the result of any revisions to any of the forward-looking statements to reflect future events or developments.</w:t>
      </w:r>
    </w:p>
    <w:p>
      <w:pPr>
        <w:spacing w:after="0" w:line="134" w:lineRule="exact"/>
        <w:rPr>
          <w:sz w:val="20"/>
          <w:szCs w:val="20"/>
          <w:color w:val="auto"/>
        </w:rPr>
      </w:pPr>
    </w:p>
    <w:p>
      <w:pPr>
        <w:ind w:left="1220" w:right="339" w:firstLine="354"/>
        <w:spacing w:after="0" w:line="300" w:lineRule="auto"/>
        <w:rPr>
          <w:sz w:val="20"/>
          <w:szCs w:val="20"/>
          <w:color w:val="auto"/>
        </w:rPr>
      </w:pPr>
      <w:r>
        <w:rPr>
          <w:rFonts w:ascii="Times New Roman" w:cs="Times New Roman" w:eastAsia="Times New Roman" w:hAnsi="Times New Roman"/>
          <w:sz w:val="14"/>
          <w:szCs w:val="14"/>
          <w:color w:val="auto"/>
        </w:rPr>
        <w:t>In addition to causing our actual results to differ, the factors listed above and described in the documents incorporated by reference herein may cause our intentions to change from those statements of intention set forth</w:t>
      </w:r>
    </w:p>
    <w:p>
      <w:pPr>
        <w:spacing w:after="0" w:line="6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94"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5" w:lineRule="exact"/>
        <w:rPr>
          <w:sz w:val="20"/>
          <w:szCs w:val="20"/>
          <w:color w:val="auto"/>
        </w:rPr>
      </w:pPr>
    </w:p>
    <w:p>
      <w:pPr>
        <w:ind w:left="1220" w:right="259"/>
        <w:spacing w:after="0" w:line="300" w:lineRule="auto"/>
        <w:rPr>
          <w:sz w:val="20"/>
          <w:szCs w:val="20"/>
          <w:color w:val="auto"/>
        </w:rPr>
      </w:pPr>
      <w:r>
        <w:rPr>
          <w:rFonts w:ascii="Times New Roman" w:cs="Times New Roman" w:eastAsia="Times New Roman" w:hAnsi="Times New Roman"/>
          <w:sz w:val="14"/>
          <w:szCs w:val="14"/>
          <w:color w:val="auto"/>
        </w:rPr>
        <w:t>or incorporated by reference in this prospectus and the applicable prospectus supplement. Such changes in our intentions may also cause our results to differ. We may change our intentions, at any time and without notice, based upon changes in such factors, our assumptions, or otherwise.</w:t>
      </w:r>
    </w:p>
    <w:p>
      <w:pPr>
        <w:spacing w:after="0" w:line="119" w:lineRule="exact"/>
        <w:rPr>
          <w:sz w:val="20"/>
          <w:szCs w:val="20"/>
          <w:color w:val="auto"/>
        </w:rPr>
      </w:pPr>
    </w:p>
    <w:p>
      <w:pPr>
        <w:ind w:left="1220" w:right="179" w:firstLine="354"/>
        <w:spacing w:after="0" w:line="273" w:lineRule="auto"/>
        <w:rPr>
          <w:sz w:val="20"/>
          <w:szCs w:val="20"/>
          <w:color w:val="auto"/>
        </w:rPr>
      </w:pPr>
      <w:r>
        <w:rPr>
          <w:rFonts w:ascii="Times New Roman" w:cs="Times New Roman" w:eastAsia="Times New Roman" w:hAnsi="Times New Roman"/>
          <w:sz w:val="14"/>
          <w:szCs w:val="14"/>
          <w:color w:val="auto"/>
        </w:rPr>
        <w:t>Because forward-looking statements involve risks and uncertainties, we caution that there are important factors, in addition to those listed above and described in the documents incorporated by reference herein, that may cause actual results to differ materially from those contained in the forward-looking statements. These factors include the risks set forth under the caption “Risk Factors” in this prospectus and in the documents incorporated by reference in this prospectus and the applicable prospectus supplement.</w:t>
      </w:r>
    </w:p>
    <w:p>
      <w:pPr>
        <w:spacing w:after="0" w:line="8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94"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9" w:lineRule="exact"/>
        <w:rPr>
          <w:sz w:val="20"/>
          <w:szCs w:val="20"/>
          <w:color w:val="auto"/>
        </w:rPr>
      </w:pPr>
    </w:p>
    <w:p>
      <w:pPr>
        <w:ind w:left="1220" w:right="339" w:firstLine="354"/>
        <w:spacing w:after="0" w:line="300" w:lineRule="auto"/>
        <w:rPr>
          <w:sz w:val="20"/>
          <w:szCs w:val="20"/>
          <w:color w:val="auto"/>
        </w:rPr>
      </w:pPr>
      <w:r>
        <w:rPr>
          <w:rFonts w:ascii="Times New Roman" w:cs="Times New Roman" w:eastAsia="Times New Roman" w:hAnsi="Times New Roman"/>
          <w:sz w:val="14"/>
          <w:szCs w:val="14"/>
          <w:color w:val="auto"/>
        </w:rPr>
        <w:t>We intend to use the net proceeds we receive from the sale of securities by us as set forth in the applicable prospectus supplement. We will not receive any proceeds from the sale of securities by selling securityholders.</w:t>
      </w:r>
    </w:p>
    <w:p>
      <w:pPr>
        <w:spacing w:after="0" w:line="6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94"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89" w:lineRule="exact"/>
        <w:rPr>
          <w:sz w:val="20"/>
          <w:szCs w:val="20"/>
          <w:color w:val="auto"/>
        </w:rPr>
      </w:pPr>
    </w:p>
    <w:p>
      <w:pPr>
        <w:ind w:left="1220" w:right="99" w:firstLine="354"/>
        <w:spacing w:after="0" w:line="279" w:lineRule="auto"/>
        <w:rPr>
          <w:sz w:val="20"/>
          <w:szCs w:val="20"/>
          <w:color w:val="auto"/>
        </w:rPr>
      </w:pPr>
      <w:r>
        <w:rPr>
          <w:rFonts w:ascii="Times New Roman" w:cs="Times New Roman" w:eastAsia="Times New Roman" w:hAnsi="Times New Roman"/>
          <w:sz w:val="14"/>
          <w:szCs w:val="14"/>
          <w:color w:val="auto"/>
        </w:rPr>
        <w:t>The following sets forth certain general terms and provisions of the base indenture under which the debt securities are to be issued, unless otherwise specified in a prospectus supplement. The particular terms of the debt securities to be sold will be set forth in a prospectus supplement relating to such debt securities.</w:t>
      </w:r>
    </w:p>
    <w:p>
      <w:pPr>
        <w:spacing w:after="0" w:line="134" w:lineRule="exact"/>
        <w:rPr>
          <w:sz w:val="20"/>
          <w:szCs w:val="20"/>
          <w:color w:val="auto"/>
        </w:rPr>
      </w:pPr>
    </w:p>
    <w:p>
      <w:pPr>
        <w:ind w:left="1220" w:right="139" w:firstLine="354"/>
        <w:spacing w:after="0" w:line="265" w:lineRule="auto"/>
        <w:rPr>
          <w:sz w:val="20"/>
          <w:szCs w:val="20"/>
          <w:color w:val="auto"/>
        </w:rPr>
      </w:pPr>
      <w:r>
        <w:rPr>
          <w:rFonts w:ascii="Times New Roman" w:cs="Times New Roman" w:eastAsia="Times New Roman" w:hAnsi="Times New Roman"/>
          <w:sz w:val="14"/>
          <w:szCs w:val="14"/>
          <w:color w:val="auto"/>
        </w:rPr>
        <w:t>The debt securities will represent unsecured general obligations of the Company, unless otherwise provided in the prospectus supplement. As indicated in the applicable prospectus supplement, the debt securities will either be senior debt or subordinated debt. Unless otherwise specified in the applicable prospectus supplement, the debt securities will be issued under an indenture, dated as of December 18, 2012, between us and The Bank of New York Mellon Trust Company, N.A. that has been filed as an exhibit to the registration statement of which this prospectus is a part, subject to such amendments or supplemental indentures as are adopted from time to time. The following summary of certain provisions of that indenture does not purport to be complete and is subject to, and qualified in its entirety by, reference to all the provisions of that indenture, including the definitions therein of certain terms. Wherever particular sections or defined terms of the indenture are referred to, it is intended that such sections or defined terms shall be incorporated herein by reference.</w:t>
      </w:r>
    </w:p>
    <w:p>
      <w:pPr>
        <w:spacing w:after="0" w:line="2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02" w:lineRule="exact"/>
        <w:rPr>
          <w:sz w:val="20"/>
          <w:szCs w:val="20"/>
          <w:color w:val="auto"/>
        </w:rPr>
      </w:pPr>
    </w:p>
    <w:p>
      <w:pPr>
        <w:ind w:left="1220" w:right="319" w:firstLine="354"/>
        <w:spacing w:after="0" w:line="300" w:lineRule="auto"/>
        <w:rPr>
          <w:sz w:val="20"/>
          <w:szCs w:val="20"/>
          <w:color w:val="auto"/>
        </w:rPr>
      </w:pPr>
      <w:r>
        <w:rPr>
          <w:rFonts w:ascii="Times New Roman" w:cs="Times New Roman" w:eastAsia="Times New Roman" w:hAnsi="Times New Roman"/>
          <w:sz w:val="14"/>
          <w:szCs w:val="14"/>
          <w:color w:val="auto"/>
        </w:rPr>
        <w:t>The indenture does not limit the amount of debt securities that may be issued thereunder. The applicable prospectus supplement with respect to any debt securities will set forth the following terms of the debt securities offered pursuant thereto:</w:t>
      </w:r>
    </w:p>
    <w:p>
      <w:pPr>
        <w:spacing w:after="0" w:line="141" w:lineRule="exact"/>
        <w:rPr>
          <w:sz w:val="20"/>
          <w:szCs w:val="20"/>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series of such debt securities;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of such debt securities of such series;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debt securities will be in global or other form;</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and method or methods by which principal and any premium on such debt securities is payable;</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or rates (or method by which such rate will be determined), if any;</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any such interest will be payable and the method of payment;</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under what circumstances any additional amounts are payable with respect to such debt securities;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notice, if any, to holders of such debt securities regarding the determination of interest on a floating rate debt security;</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basis upon which interest on such debt securities shall be calculated, if other than that of a 360 day year of twelve 30-day months;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of and interest or additional amounts, if any, on such debt securities will be payable;</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or sinking fund provisions, or the terms of any repurchase at the option of the holder of the debt securities;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of such debt securities, if other than $1,000 and integral multiples thereof;</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rights of the holders of such debt securities to convert the debt securities into other securities or property;</w:t>
      </w:r>
    </w:p>
    <w:p>
      <w:pPr>
        <w:spacing w:after="0" w:line="110" w:lineRule="exact"/>
        <w:rPr>
          <w:rFonts w:ascii="Times New Roman" w:cs="Times New Roman" w:eastAsia="Times New Roman" w:hAnsi="Times New Roman"/>
          <w:sz w:val="14"/>
          <w:szCs w:val="14"/>
          <w:color w:val="auto"/>
        </w:rPr>
      </w:pPr>
    </w:p>
    <w:p>
      <w:pPr>
        <w:ind w:left="2000" w:right="99" w:hanging="353"/>
        <w:spacing w:after="0" w:line="300" w:lineRule="auto"/>
        <w:tabs>
          <w:tab w:leader="none" w:pos="2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if any, on which payment of principal or any premium, interest or additional amounts on such debt securities will be payable in a currency other than U.S. dollars;</w:t>
      </w:r>
    </w:p>
    <w:p>
      <w:pPr>
        <w:spacing w:after="0" w:line="6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94"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5" w:lineRule="exact"/>
        <w:rPr>
          <w:sz w:val="20"/>
          <w:szCs w:val="20"/>
          <w:color w:val="auto"/>
        </w:rPr>
      </w:pPr>
    </w:p>
    <w:p>
      <w:pPr>
        <w:ind w:left="2000" w:right="99" w:hanging="353"/>
        <w:spacing w:after="0" w:line="300" w:lineRule="auto"/>
        <w:tabs>
          <w:tab w:leader="none" w:pos="2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if any, by which the amount of payments of principal or any premium, interest or additional amounts on such debt securities may be determined by reference to an index, formula, financial or economic measure or other methods;</w:t>
      </w:r>
    </w:p>
    <w:p>
      <w:pPr>
        <w:spacing w:after="0" w:line="42" w:lineRule="exact"/>
        <w:rPr>
          <w:rFonts w:ascii="Times New Roman" w:cs="Times New Roman" w:eastAsia="Times New Roman" w:hAnsi="Times New Roman"/>
          <w:sz w:val="14"/>
          <w:szCs w:val="14"/>
          <w:color w:val="auto"/>
        </w:rPr>
      </w:pPr>
    </w:p>
    <w:p>
      <w:pPr>
        <w:ind w:left="2000" w:right="179" w:hanging="353"/>
        <w:spacing w:after="0" w:line="300" w:lineRule="auto"/>
        <w:tabs>
          <w:tab w:leader="none" w:pos="2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thereof, the portion of the principal amount of such debt securities that will be payable upon declaration of acceleration of the maturity thereof or provable in bankruptcy;</w:t>
      </w:r>
    </w:p>
    <w:p>
      <w:pPr>
        <w:spacing w:after="0" w:line="42"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events of default or covenants in addition to or in lieu of those described herein and remedies therefor;</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debt securities will be subject to defeasance or covenant defeasance;</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if any, upon which such debt securities are to be issuable upon the exercise of warrants;</w:t>
      </w:r>
    </w:p>
    <w:p>
      <w:pPr>
        <w:spacing w:after="0" w:line="110" w:lineRule="exact"/>
        <w:rPr>
          <w:rFonts w:ascii="Times New Roman" w:cs="Times New Roman" w:eastAsia="Times New Roman" w:hAnsi="Times New Roman"/>
          <w:sz w:val="14"/>
          <w:szCs w:val="14"/>
          <w:color w:val="auto"/>
        </w:rPr>
      </w:pPr>
    </w:p>
    <w:p>
      <w:pPr>
        <w:ind w:left="2000" w:right="279" w:hanging="353"/>
        <w:spacing w:after="0" w:line="300" w:lineRule="auto"/>
        <w:tabs>
          <w:tab w:leader="none" w:pos="2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trustees other than The Bank of New York Mellon Trust Company, N.A., and any authenticating or paying agents, transfer agents or registrars or any other agents with respect to such debt securities;</w:t>
      </w:r>
    </w:p>
    <w:p>
      <w:pPr>
        <w:spacing w:after="0" w:line="42"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if any, on which such debt securities will be subordinate to other debt of the Company;</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debt securities will be guaranteed and the terms thereof;</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debt securities will be secured by collateral and the terms of such security; and</w:t>
      </w:r>
    </w:p>
    <w:p>
      <w:pPr>
        <w:spacing w:after="0" w:line="110" w:lineRule="exact"/>
        <w:rPr>
          <w:rFonts w:ascii="Times New Roman" w:cs="Times New Roman" w:eastAsia="Times New Roman" w:hAnsi="Times New Roman"/>
          <w:sz w:val="14"/>
          <w:szCs w:val="14"/>
          <w:color w:val="auto"/>
        </w:rPr>
      </w:pPr>
    </w:p>
    <w:p>
      <w:pPr>
        <w:ind w:left="2000" w:right="199" w:hanging="353"/>
        <w:spacing w:after="0" w:line="300" w:lineRule="auto"/>
        <w:tabs>
          <w:tab w:leader="none" w:pos="2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of such debt securities and any other deletions from or additions to or modifications of the indenture with respect to such debt securities.</w:t>
      </w:r>
    </w:p>
    <w:p>
      <w:pPr>
        <w:spacing w:after="0" w:line="119" w:lineRule="exact"/>
        <w:rPr>
          <w:sz w:val="20"/>
          <w:szCs w:val="20"/>
          <w:color w:val="auto"/>
        </w:rPr>
      </w:pPr>
    </w:p>
    <w:p>
      <w:pPr>
        <w:ind w:left="1220" w:right="199" w:firstLine="354"/>
        <w:spacing w:after="0" w:line="279" w:lineRule="auto"/>
        <w:rPr>
          <w:sz w:val="20"/>
          <w:szCs w:val="20"/>
          <w:color w:val="auto"/>
        </w:rPr>
      </w:pPr>
      <w:r>
        <w:rPr>
          <w:rFonts w:ascii="Times New Roman" w:cs="Times New Roman" w:eastAsia="Times New Roman" w:hAnsi="Times New Roman"/>
          <w:sz w:val="14"/>
          <w:szCs w:val="14"/>
          <w:color w:val="auto"/>
        </w:rPr>
        <w:t>Debt securities may be presented for exchange, conversion or transfer in the manner, at the places and subject to the restrictions set forth in the debt securities and the prospectus supplement. Such services will be provided without charge, other than any tax or other governmental charge payable in connection therewith, but subject to the limitations provided in the indenture.</w:t>
      </w:r>
    </w:p>
    <w:p>
      <w:pPr>
        <w:spacing w:after="0" w:line="134" w:lineRule="exact"/>
        <w:rPr>
          <w:sz w:val="20"/>
          <w:szCs w:val="20"/>
          <w:color w:val="auto"/>
        </w:rPr>
      </w:pPr>
    </w:p>
    <w:p>
      <w:pPr>
        <w:ind w:left="1220" w:right="259" w:firstLine="354"/>
        <w:spacing w:after="0" w:line="279" w:lineRule="auto"/>
        <w:rPr>
          <w:sz w:val="20"/>
          <w:szCs w:val="20"/>
          <w:color w:val="auto"/>
        </w:rPr>
      </w:pPr>
      <w:r>
        <w:rPr>
          <w:rFonts w:ascii="Times New Roman" w:cs="Times New Roman" w:eastAsia="Times New Roman" w:hAnsi="Times New Roman"/>
          <w:sz w:val="14"/>
          <w:szCs w:val="14"/>
          <w:color w:val="auto"/>
        </w:rPr>
        <w:t>The indenture does not contain any covenant or other specific provision affording protection to holders of the debt securities in the event of a highly leveraged transaction or a change in control of the Company, except to the limited extent described below under “—Consolidation, Merger and Sale of Assets.”</w:t>
      </w:r>
    </w:p>
    <w:p>
      <w:pPr>
        <w:spacing w:after="0" w:line="21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102" w:lineRule="exact"/>
        <w:rPr>
          <w:sz w:val="20"/>
          <w:szCs w:val="20"/>
          <w:color w:val="auto"/>
        </w:rPr>
      </w:pPr>
    </w:p>
    <w:p>
      <w:pPr>
        <w:ind w:left="1220" w:right="99" w:firstLine="354"/>
        <w:spacing w:after="0" w:line="267" w:lineRule="auto"/>
        <w:rPr>
          <w:sz w:val="20"/>
          <w:szCs w:val="20"/>
          <w:color w:val="auto"/>
        </w:rPr>
      </w:pPr>
      <w:r>
        <w:rPr>
          <w:rFonts w:ascii="Times New Roman" w:cs="Times New Roman" w:eastAsia="Times New Roman" w:hAnsi="Times New Roman"/>
          <w:sz w:val="14"/>
          <w:szCs w:val="14"/>
          <w:color w:val="auto"/>
        </w:rPr>
        <w:t>The indenture provides that supplements to the indenture and the applicable supplemental indentures may be made by the Company and the trustee for the purpose of adding any provisions to or changing in any manner or eliminating any of the provisions of the indenture or of modifying in any manner the rights of the holders of debt securities of a series under the indenture or the debt securities of such series, with the consent of the holders of a majority (or such greater amount as is provided for a particular series of debt securities) in principal amount of the outstanding debt securities issued under such indenture that are affected by the supplemental indenture, voting as a single class; provided that no such supplemental indenture may, without the consent of the holder of each such debt security affected thereby, among other things:</w:t>
      </w:r>
    </w:p>
    <w:p>
      <w:pPr>
        <w:spacing w:after="0" w:line="66" w:lineRule="exact"/>
        <w:rPr>
          <w:sz w:val="20"/>
          <w:szCs w:val="20"/>
          <w:color w:val="auto"/>
        </w:rPr>
      </w:pPr>
    </w:p>
    <w:p>
      <w:pPr>
        <w:ind w:left="2000" w:right="199" w:hanging="440"/>
        <w:spacing w:after="0" w:line="261" w:lineRule="auto"/>
        <w:tabs>
          <w:tab w:leader="none" w:pos="2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any premium or installment of interest on or any additional amounts with respect to, any such debt securities, or reduce the principal amount thereof, or reduce the rate or extend the time of payment of interest or any additional amounts thereon, or reduce any premium payable on redemption thereof or otherwise, or reduce the amount of the principal of debt securities issued with original issue discount that would be due and payable upon an acceleration of the maturity thereof or the amount thereof provable in bankruptcy, or change the redemption provisions or adversely affect the right of repayment at the option of the holder, or change the place of payment or the currency in which the principal of, or any premium, interest or additional amounts with respect to any debt security is payable, or impair the right of any holder of debt securities to institute suit for the payment after such payment is due (except a rescission and annulment of acceleration with respect to a series of debt securities by the holders of at least a majority in aggregate principal amount of the then</w:t>
      </w:r>
    </w:p>
    <w:p>
      <w:pPr>
        <w:spacing w:after="0" w:line="3" w:lineRule="exact"/>
        <w:rPr>
          <w:rFonts w:ascii="Times New Roman" w:cs="Times New Roman" w:eastAsia="Times New Roman" w:hAnsi="Times New Roman"/>
          <w:sz w:val="14"/>
          <w:szCs w:val="14"/>
          <w:color w:val="auto"/>
        </w:rPr>
      </w:pPr>
    </w:p>
    <w:p>
      <w:pPr>
        <w:ind w:left="20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debt securities of such series and a waiver of the payment default that resulted from such acceleration);</w:t>
      </w:r>
    </w:p>
    <w:p>
      <w:pPr>
        <w:spacing w:after="0" w:line="11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94"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5" w:lineRule="exact"/>
        <w:rPr>
          <w:sz w:val="20"/>
          <w:szCs w:val="20"/>
          <w:color w:val="auto"/>
        </w:rPr>
      </w:pPr>
    </w:p>
    <w:p>
      <w:pPr>
        <w:ind w:left="2000" w:right="159" w:hanging="440"/>
        <w:spacing w:after="0" w:line="300" w:lineRule="auto"/>
        <w:tabs>
          <w:tab w:leader="none" w:pos="2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the outstanding debt securities of any series, the consent of the holders of which is required for any such supplemental indenture, or the consent of whose holders is required for any waiver or reduce the quorum required for voting;</w:t>
      </w:r>
    </w:p>
    <w:p>
      <w:pPr>
        <w:spacing w:after="0" w:line="42" w:lineRule="exact"/>
        <w:rPr>
          <w:rFonts w:ascii="Times New Roman" w:cs="Times New Roman" w:eastAsia="Times New Roman" w:hAnsi="Times New Roman"/>
          <w:sz w:val="14"/>
          <w:szCs w:val="14"/>
          <w:color w:val="auto"/>
        </w:rPr>
      </w:pPr>
    </w:p>
    <w:p>
      <w:pPr>
        <w:ind w:left="2000" w:right="159" w:hanging="440"/>
        <w:spacing w:after="0" w:line="279" w:lineRule="auto"/>
        <w:tabs>
          <w:tab w:leader="none" w:pos="2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of the provisions of the sections of such indenture relating to supplemental indentures with the consent of the holders, waivers of past defaults or securities redeemed in part, except to increase any percentage set forth in such sections or to provide that certain other provisions of such indenture cannot be modified or waived without the consent of each holder affected thereby; or</w:t>
      </w:r>
    </w:p>
    <w:p>
      <w:pPr>
        <w:spacing w:after="0" w:line="57" w:lineRule="exact"/>
        <w:rPr>
          <w:rFonts w:ascii="Times New Roman" w:cs="Times New Roman" w:eastAsia="Times New Roman" w:hAnsi="Times New Roman"/>
          <w:sz w:val="14"/>
          <w:szCs w:val="14"/>
          <w:color w:val="auto"/>
        </w:rPr>
      </w:pPr>
    </w:p>
    <w:p>
      <w:pPr>
        <w:ind w:left="2000" w:right="199" w:hanging="440"/>
        <w:spacing w:after="0" w:line="300" w:lineRule="auto"/>
        <w:tabs>
          <w:tab w:leader="none" w:pos="2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that adversely affects the right to convert or exchange any security into or for common stock or other securities, cash or other property in accordance with the terms of the applicable debt security.</w:t>
      </w:r>
    </w:p>
    <w:p>
      <w:pPr>
        <w:spacing w:after="0" w:line="119" w:lineRule="exact"/>
        <w:rPr>
          <w:sz w:val="20"/>
          <w:szCs w:val="20"/>
          <w:color w:val="auto"/>
        </w:rPr>
      </w:pPr>
    </w:p>
    <w:p>
      <w:pPr>
        <w:ind w:left="1220" w:right="79" w:firstLine="354"/>
        <w:spacing w:after="0" w:line="277" w:lineRule="auto"/>
        <w:rPr>
          <w:sz w:val="20"/>
          <w:szCs w:val="20"/>
          <w:color w:val="auto"/>
        </w:rPr>
      </w:pPr>
      <w:r>
        <w:rPr>
          <w:rFonts w:ascii="Times New Roman" w:cs="Times New Roman" w:eastAsia="Times New Roman" w:hAnsi="Times New Roman"/>
          <w:sz w:val="14"/>
          <w:szCs w:val="14"/>
          <w:color w:val="auto"/>
        </w:rPr>
        <w:t>The indenture provides that a supplemental indenture that changes or eliminates any covenant or other provision of the indenture that has expressly been included solely for the benefit of one or more particular series of debt securities, or that modifies the rights of the holders of such series with respect to such covenant or other provision, shall be deemed not to affect the rights under the indenture of the holders of debt securities of any other series.</w:t>
      </w:r>
    </w:p>
    <w:p>
      <w:pPr>
        <w:spacing w:after="0" w:line="312" w:lineRule="exact"/>
        <w:rPr>
          <w:sz w:val="20"/>
          <w:szCs w:val="20"/>
          <w:color w:val="auto"/>
        </w:rPr>
      </w:pPr>
    </w:p>
    <w:p>
      <w:pPr>
        <w:ind w:left="1220" w:right="159" w:firstLine="354"/>
        <w:spacing w:after="0" w:line="300" w:lineRule="auto"/>
        <w:rPr>
          <w:sz w:val="20"/>
          <w:szCs w:val="20"/>
          <w:color w:val="auto"/>
        </w:rPr>
      </w:pPr>
      <w:r>
        <w:rPr>
          <w:rFonts w:ascii="Times New Roman" w:cs="Times New Roman" w:eastAsia="Times New Roman" w:hAnsi="Times New Roman"/>
          <w:sz w:val="14"/>
          <w:szCs w:val="14"/>
          <w:color w:val="auto"/>
        </w:rPr>
        <w:t>The indenture provides that the Company and the applicable trustee may, without the consent of the holders of any series of debt securities issued thereunder, enter into additional supplemental indentures for one of the following purposes:</w:t>
      </w:r>
    </w:p>
    <w:p>
      <w:pPr>
        <w:spacing w:after="0" w:line="43" w:lineRule="exact"/>
        <w:rPr>
          <w:sz w:val="20"/>
          <w:szCs w:val="20"/>
          <w:color w:val="auto"/>
        </w:rPr>
      </w:pPr>
    </w:p>
    <w:p>
      <w:pPr>
        <w:ind w:left="2000" w:right="199" w:hanging="440"/>
        <w:spacing w:after="0" w:line="300" w:lineRule="auto"/>
        <w:tabs>
          <w:tab w:leader="none" w:pos="2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succession of another person to the Company and the assumption by any such successor of the covenants of the Company in such indenture and in the debt securities issued thereunder;</w:t>
      </w:r>
    </w:p>
    <w:p>
      <w:pPr>
        <w:spacing w:after="0" w:line="42" w:lineRule="exact"/>
        <w:rPr>
          <w:rFonts w:ascii="Times New Roman" w:cs="Times New Roman" w:eastAsia="Times New Roman" w:hAnsi="Times New Roman"/>
          <w:sz w:val="14"/>
          <w:szCs w:val="14"/>
          <w:color w:val="auto"/>
        </w:rPr>
      </w:pPr>
    </w:p>
    <w:p>
      <w:pPr>
        <w:ind w:left="2000" w:right="439" w:hanging="440"/>
        <w:spacing w:after="0" w:line="300" w:lineRule="auto"/>
        <w:tabs>
          <w:tab w:leader="none" w:pos="2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the covenants of the Company for the benefit of the holders of all or any series of debt securities or to surrender any right or power conferred on the Company pursuant to the indenture;</w:t>
      </w:r>
    </w:p>
    <w:p>
      <w:pPr>
        <w:spacing w:after="0" w:line="42" w:lineRule="exact"/>
        <w:rPr>
          <w:rFonts w:ascii="Times New Roman" w:cs="Times New Roman" w:eastAsia="Times New Roman" w:hAnsi="Times New Roman"/>
          <w:sz w:val="14"/>
          <w:szCs w:val="14"/>
          <w:color w:val="auto"/>
        </w:rPr>
      </w:pPr>
    </w:p>
    <w:p>
      <w:pPr>
        <w:ind w:left="2000" w:hanging="440"/>
        <w:spacing w:after="0"/>
        <w:tabs>
          <w:tab w:leader="none" w:pos="2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and terms of debt securities issued thereunder;</w:t>
      </w:r>
    </w:p>
    <w:p>
      <w:pPr>
        <w:spacing w:after="0" w:line="110" w:lineRule="exact"/>
        <w:rPr>
          <w:rFonts w:ascii="Times New Roman" w:cs="Times New Roman" w:eastAsia="Times New Roman" w:hAnsi="Times New Roman"/>
          <w:sz w:val="14"/>
          <w:szCs w:val="14"/>
          <w:color w:val="auto"/>
        </w:rPr>
      </w:pPr>
    </w:p>
    <w:p>
      <w:pPr>
        <w:ind w:left="2000" w:right="139" w:hanging="440"/>
        <w:spacing w:after="0" w:line="300" w:lineRule="auto"/>
        <w:tabs>
          <w:tab w:leader="none" w:pos="2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a successor trustee under such indenture with respect to one or more series of debt securities issued thereunder or to provide for or facilitate the administration of the trusts under such indenture by more than one trustee;</w:t>
      </w:r>
    </w:p>
    <w:p>
      <w:pPr>
        <w:spacing w:after="0" w:line="42" w:lineRule="exact"/>
        <w:rPr>
          <w:rFonts w:ascii="Times New Roman" w:cs="Times New Roman" w:eastAsia="Times New Roman" w:hAnsi="Times New Roman"/>
          <w:sz w:val="14"/>
          <w:szCs w:val="14"/>
          <w:color w:val="auto"/>
        </w:rPr>
      </w:pPr>
    </w:p>
    <w:p>
      <w:pPr>
        <w:ind w:left="2000" w:right="139" w:hanging="440"/>
        <w:spacing w:after="0" w:line="273" w:lineRule="auto"/>
        <w:tabs>
          <w:tab w:leader="none" w:pos="2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to correct or supplement any provision in the indenture that may be defective or inconsistent with any other provision of the indenture or to make any other provisions with respect to matters or questions arising under such indenture; provided that no such action pursuant to this clause (e) shall adversely affect the interests of the holders of any series of debt securities issued thereunder in any material respect;</w:t>
      </w:r>
    </w:p>
    <w:p>
      <w:pPr>
        <w:spacing w:after="0" w:line="60" w:lineRule="exact"/>
        <w:rPr>
          <w:rFonts w:ascii="Times New Roman" w:cs="Times New Roman" w:eastAsia="Times New Roman" w:hAnsi="Times New Roman"/>
          <w:sz w:val="14"/>
          <w:szCs w:val="14"/>
          <w:color w:val="auto"/>
        </w:rPr>
      </w:pPr>
    </w:p>
    <w:p>
      <w:pPr>
        <w:ind w:left="2000" w:right="779" w:hanging="440"/>
        <w:spacing w:after="0" w:line="300" w:lineRule="auto"/>
        <w:tabs>
          <w:tab w:leader="none" w:pos="2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securities under the indenture;</w:t>
      </w:r>
    </w:p>
    <w:p>
      <w:pPr>
        <w:spacing w:after="0" w:line="42" w:lineRule="exact"/>
        <w:rPr>
          <w:rFonts w:ascii="Times New Roman" w:cs="Times New Roman" w:eastAsia="Times New Roman" w:hAnsi="Times New Roman"/>
          <w:sz w:val="14"/>
          <w:szCs w:val="14"/>
          <w:color w:val="auto"/>
        </w:rPr>
      </w:pPr>
    </w:p>
    <w:p>
      <w:pPr>
        <w:ind w:left="2000" w:hanging="440"/>
        <w:spacing w:after="0"/>
        <w:tabs>
          <w:tab w:leader="none" w:pos="2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any additional events of default with respect to all or any series of debt securities;</w:t>
      </w:r>
    </w:p>
    <w:p>
      <w:pPr>
        <w:spacing w:after="0" w:line="110" w:lineRule="exact"/>
        <w:rPr>
          <w:rFonts w:ascii="Times New Roman" w:cs="Times New Roman" w:eastAsia="Times New Roman" w:hAnsi="Times New Roman"/>
          <w:sz w:val="14"/>
          <w:szCs w:val="14"/>
          <w:color w:val="auto"/>
        </w:rPr>
      </w:pPr>
    </w:p>
    <w:p>
      <w:pPr>
        <w:ind w:left="2000" w:right="179" w:hanging="440"/>
        <w:spacing w:after="0" w:line="279" w:lineRule="auto"/>
        <w:tabs>
          <w:tab w:leader="none" w:pos="2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supplement any of the provisions of the indenture as may be necessary to permit or facilitate the defeasance and discharge of any series of debt securities, provided that such action does not adversely affect the interests of any holder of an outstanding debt security of such series or any other security in any material respect;</w:t>
      </w:r>
    </w:p>
    <w:p>
      <w:pPr>
        <w:spacing w:after="0" w:line="57" w:lineRule="exact"/>
        <w:rPr>
          <w:rFonts w:ascii="Times New Roman" w:cs="Times New Roman" w:eastAsia="Times New Roman" w:hAnsi="Times New Roman"/>
          <w:sz w:val="14"/>
          <w:szCs w:val="14"/>
          <w:color w:val="auto"/>
        </w:rPr>
      </w:pPr>
    </w:p>
    <w:p>
      <w:pPr>
        <w:ind w:left="2000" w:hanging="440"/>
        <w:spacing w:after="0"/>
        <w:tabs>
          <w:tab w:leader="none" w:pos="2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provisions with respect to the conversion or exchange rights of holders of debt securities of any series;</w:t>
      </w:r>
    </w:p>
    <w:p>
      <w:pPr>
        <w:spacing w:after="0" w:line="110" w:lineRule="exact"/>
        <w:rPr>
          <w:rFonts w:ascii="Times New Roman" w:cs="Times New Roman" w:eastAsia="Times New Roman" w:hAnsi="Times New Roman"/>
          <w:sz w:val="14"/>
          <w:szCs w:val="14"/>
          <w:color w:val="auto"/>
        </w:rPr>
      </w:pPr>
    </w:p>
    <w:p>
      <w:pPr>
        <w:ind w:left="2000" w:hanging="440"/>
        <w:spacing w:after="0"/>
        <w:tabs>
          <w:tab w:leader="none" w:pos="2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convey, transfer, assign, mortgage or pledge to the trustee as security for the debt securities of any series any property or assets;</w:t>
      </w:r>
    </w:p>
    <w:p>
      <w:pPr>
        <w:spacing w:after="0" w:line="1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94"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5" w:lineRule="exact"/>
        <w:rPr>
          <w:sz w:val="20"/>
          <w:szCs w:val="20"/>
          <w:color w:val="auto"/>
        </w:rPr>
      </w:pPr>
    </w:p>
    <w:p>
      <w:pPr>
        <w:ind w:left="2000" w:hanging="440"/>
        <w:spacing w:after="0"/>
        <w:tabs>
          <w:tab w:leader="none" w:pos="2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guarantees in respect of the debt securities of one or more series and to provide for the terms and conditions of release thereof;</w:t>
      </w:r>
    </w:p>
    <w:p>
      <w:pPr>
        <w:spacing w:after="0" w:line="110" w:lineRule="exact"/>
        <w:rPr>
          <w:rFonts w:ascii="Times New Roman" w:cs="Times New Roman" w:eastAsia="Times New Roman" w:hAnsi="Times New Roman"/>
          <w:sz w:val="14"/>
          <w:szCs w:val="14"/>
          <w:color w:val="auto"/>
        </w:rPr>
      </w:pPr>
    </w:p>
    <w:p>
      <w:pPr>
        <w:ind w:left="2000" w:right="219" w:hanging="440"/>
        <w:spacing w:after="0" w:line="279" w:lineRule="auto"/>
        <w:tabs>
          <w:tab w:leader="none" w:pos="2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change or eliminate any of the provisions of the indenture, provided that any such change or elimination become effective only when there is no security of any series outstanding created prior to the execution of such supplemental indenture which is entitled to the benefit of such provision;</w:t>
      </w:r>
    </w:p>
    <w:p>
      <w:pPr>
        <w:spacing w:after="0" w:line="57" w:lineRule="exact"/>
        <w:rPr>
          <w:rFonts w:ascii="Times New Roman" w:cs="Times New Roman" w:eastAsia="Times New Roman" w:hAnsi="Times New Roman"/>
          <w:sz w:val="14"/>
          <w:szCs w:val="14"/>
          <w:color w:val="auto"/>
        </w:rPr>
      </w:pPr>
    </w:p>
    <w:p>
      <w:pPr>
        <w:ind w:left="2000" w:hanging="440"/>
        <w:spacing w:after="0"/>
        <w:tabs>
          <w:tab w:leader="none" w:pos="2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certificated securities in addition to or in place of global securities;</w:t>
      </w:r>
    </w:p>
    <w:p>
      <w:pPr>
        <w:spacing w:after="0" w:line="110" w:lineRule="exact"/>
        <w:rPr>
          <w:rFonts w:ascii="Times New Roman" w:cs="Times New Roman" w:eastAsia="Times New Roman" w:hAnsi="Times New Roman"/>
          <w:sz w:val="14"/>
          <w:szCs w:val="14"/>
          <w:color w:val="auto"/>
        </w:rPr>
      </w:pPr>
    </w:p>
    <w:p>
      <w:pPr>
        <w:ind w:left="2000" w:hanging="440"/>
        <w:spacing w:after="0"/>
        <w:tabs>
          <w:tab w:leader="none" w:pos="2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qualify such indenture under the Trust Indenture Act of 1939, as amended;</w:t>
      </w:r>
    </w:p>
    <w:p>
      <w:pPr>
        <w:spacing w:after="0" w:line="110" w:lineRule="exact"/>
        <w:rPr>
          <w:rFonts w:ascii="Times New Roman" w:cs="Times New Roman" w:eastAsia="Times New Roman" w:hAnsi="Times New Roman"/>
          <w:sz w:val="14"/>
          <w:szCs w:val="14"/>
          <w:color w:val="auto"/>
        </w:rPr>
      </w:pPr>
    </w:p>
    <w:p>
      <w:pPr>
        <w:ind w:left="2000" w:right="139" w:hanging="440"/>
        <w:spacing w:after="0" w:line="273" w:lineRule="auto"/>
        <w:tabs>
          <w:tab w:leader="none" w:pos="2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debt securities of any series, to conform the text of the indenture or the debt securities of such series to any provision of the description thereof in the Company’s offering memorandum or prospectus relating to the initial offering of such debt securities, to the extent that such provision, in the good faith judgment of the Company, was intended to be a verbatim recitation of a provision of the indenture or such securities; or</w:t>
      </w:r>
    </w:p>
    <w:p>
      <w:pPr>
        <w:spacing w:after="0" w:line="60" w:lineRule="exact"/>
        <w:rPr>
          <w:rFonts w:ascii="Times New Roman" w:cs="Times New Roman" w:eastAsia="Times New Roman" w:hAnsi="Times New Roman"/>
          <w:sz w:val="14"/>
          <w:szCs w:val="14"/>
          <w:color w:val="auto"/>
        </w:rPr>
      </w:pPr>
    </w:p>
    <w:p>
      <w:pPr>
        <w:ind w:left="2000" w:right="519" w:hanging="440"/>
        <w:spacing w:after="0" w:line="300" w:lineRule="auto"/>
        <w:tabs>
          <w:tab w:leader="none" w:pos="2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other change that does not adversely affect the rights of holders of any series of debt securities issued thereunder in any material respect.</w:t>
      </w:r>
    </w:p>
    <w:p>
      <w:pPr>
        <w:spacing w:after="0" w:line="20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02" w:lineRule="exact"/>
        <w:rPr>
          <w:sz w:val="20"/>
          <w:szCs w:val="20"/>
          <w:color w:val="auto"/>
        </w:rPr>
      </w:pPr>
    </w:p>
    <w:p>
      <w:pPr>
        <w:ind w:left="1220" w:right="139" w:firstLine="354"/>
        <w:spacing w:after="0" w:line="300" w:lineRule="auto"/>
        <w:rPr>
          <w:sz w:val="20"/>
          <w:szCs w:val="20"/>
          <w:color w:val="auto"/>
        </w:rPr>
      </w:pPr>
      <w:r>
        <w:rPr>
          <w:rFonts w:ascii="Times New Roman" w:cs="Times New Roman" w:eastAsia="Times New Roman" w:hAnsi="Times New Roman"/>
          <w:sz w:val="14"/>
          <w:szCs w:val="14"/>
          <w:color w:val="auto"/>
        </w:rPr>
        <w:t>Unless otherwise provided in any prospectus supplement, the following will be events of default under the indenture with respect to each series of debt securities issued thereunder:</w:t>
      </w:r>
    </w:p>
    <w:p>
      <w:pPr>
        <w:spacing w:after="0" w:line="43" w:lineRule="exact"/>
        <w:rPr>
          <w:sz w:val="20"/>
          <w:szCs w:val="20"/>
          <w:color w:val="auto"/>
        </w:rPr>
      </w:pPr>
    </w:p>
    <w:p>
      <w:pPr>
        <w:ind w:left="2000" w:hanging="440"/>
        <w:spacing w:after="0"/>
        <w:tabs>
          <w:tab w:leader="none" w:pos="20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for 30 days in the payment when due of interest on, or any additional amount in respect of, any series of debt securities;</w:t>
      </w:r>
    </w:p>
    <w:p>
      <w:pPr>
        <w:spacing w:after="0" w:line="110" w:lineRule="exact"/>
        <w:rPr>
          <w:rFonts w:ascii="Times New Roman" w:cs="Times New Roman" w:eastAsia="Times New Roman" w:hAnsi="Times New Roman"/>
          <w:sz w:val="14"/>
          <w:szCs w:val="14"/>
          <w:color w:val="auto"/>
        </w:rPr>
      </w:pPr>
    </w:p>
    <w:p>
      <w:pPr>
        <w:ind w:left="2000" w:hanging="440"/>
        <w:spacing w:after="0"/>
        <w:tabs>
          <w:tab w:leader="none" w:pos="20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or any premium on any series of the debt securities outstanding under the indenture when due;</w:t>
      </w:r>
    </w:p>
    <w:p>
      <w:pPr>
        <w:spacing w:after="0" w:line="110" w:lineRule="exact"/>
        <w:rPr>
          <w:rFonts w:ascii="Times New Roman" w:cs="Times New Roman" w:eastAsia="Times New Roman" w:hAnsi="Times New Roman"/>
          <w:sz w:val="14"/>
          <w:szCs w:val="14"/>
          <w:color w:val="auto"/>
        </w:rPr>
      </w:pPr>
    </w:p>
    <w:p>
      <w:pPr>
        <w:ind w:left="2000" w:right="179" w:hanging="440"/>
        <w:spacing w:after="0" w:line="300" w:lineRule="auto"/>
        <w:tabs>
          <w:tab w:leader="none" w:pos="20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deposit, if any, of any sinking fund payment when and as due by the terms of any debt security of such series, subject to any cure period that may be specified in any debt security of such series;</w:t>
      </w:r>
    </w:p>
    <w:p>
      <w:pPr>
        <w:spacing w:after="0" w:line="42" w:lineRule="exact"/>
        <w:rPr>
          <w:rFonts w:ascii="Times New Roman" w:cs="Times New Roman" w:eastAsia="Times New Roman" w:hAnsi="Times New Roman"/>
          <w:sz w:val="14"/>
          <w:szCs w:val="14"/>
          <w:color w:val="auto"/>
        </w:rPr>
      </w:pPr>
    </w:p>
    <w:p>
      <w:pPr>
        <w:ind w:left="2000" w:right="139" w:hanging="440"/>
        <w:spacing w:after="0" w:line="266" w:lineRule="auto"/>
        <w:tabs>
          <w:tab w:leader="none" w:pos="20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the Company to observe or perform any other of the covenants or agreements with respect to that series contained in such debt securities for 60 days after receipt of written notice from the trustee upon instruction from holders of at least 25% in principal amount of the then outstanding debt securities of such series to comply with any of the other agreements in the indenture and stating that such notice is a “Notice of Default” under the indenture; provided, that if such failure cannot be remedied within such 60-day period, such period shall be automatically extended by another 60 days so long as (i) such failure is subject to cure and (ii) the Company is using commercially reasonable efforts to cure such failure; and provided, further, that a failure to comply with any such other agreement in the indenture that results from a change in generally accepted accounting principles shall not be deemed to be an event of default;</w:t>
      </w:r>
    </w:p>
    <w:p>
      <w:pPr>
        <w:spacing w:after="0" w:line="65" w:lineRule="exact"/>
        <w:rPr>
          <w:rFonts w:ascii="Times New Roman" w:cs="Times New Roman" w:eastAsia="Times New Roman" w:hAnsi="Times New Roman"/>
          <w:sz w:val="14"/>
          <w:szCs w:val="14"/>
          <w:color w:val="auto"/>
        </w:rPr>
      </w:pPr>
    </w:p>
    <w:p>
      <w:pPr>
        <w:ind w:left="2000" w:hanging="440"/>
        <w:spacing w:after="0"/>
        <w:tabs>
          <w:tab w:leader="none" w:pos="20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of the Company; and</w:t>
      </w:r>
    </w:p>
    <w:p>
      <w:pPr>
        <w:spacing w:after="0" w:line="110" w:lineRule="exact"/>
        <w:rPr>
          <w:rFonts w:ascii="Times New Roman" w:cs="Times New Roman" w:eastAsia="Times New Roman" w:hAnsi="Times New Roman"/>
          <w:sz w:val="14"/>
          <w:szCs w:val="14"/>
          <w:color w:val="auto"/>
        </w:rPr>
      </w:pPr>
    </w:p>
    <w:p>
      <w:pPr>
        <w:ind w:left="2000" w:right="239" w:hanging="440"/>
        <w:spacing w:after="0" w:line="300" w:lineRule="auto"/>
        <w:tabs>
          <w:tab w:leader="none" w:pos="20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in or pursuant to the indenture with respect to a particular series of debt securities, provided that such event of default that results from a change in generally accepted accounting principles shall not be deemed to be an event of default.</w:t>
      </w:r>
    </w:p>
    <w:p>
      <w:pPr>
        <w:spacing w:after="0" w:line="119" w:lineRule="exact"/>
        <w:rPr>
          <w:sz w:val="20"/>
          <w:szCs w:val="20"/>
          <w:color w:val="auto"/>
        </w:rPr>
      </w:pPr>
    </w:p>
    <w:p>
      <w:pPr>
        <w:ind w:left="1220" w:right="99" w:firstLine="354"/>
        <w:spacing w:after="0" w:line="273" w:lineRule="auto"/>
        <w:rPr>
          <w:sz w:val="20"/>
          <w:szCs w:val="20"/>
          <w:color w:val="auto"/>
        </w:rPr>
      </w:pPr>
      <w:r>
        <w:rPr>
          <w:rFonts w:ascii="Times New Roman" w:cs="Times New Roman" w:eastAsia="Times New Roman" w:hAnsi="Times New Roman"/>
          <w:sz w:val="14"/>
          <w:szCs w:val="14"/>
          <w:color w:val="auto"/>
        </w:rPr>
        <w:t>In case an event of default specified in clause (a) or (b) above shall occur and be continuing with respect to any series of debt securities, holders of at least 25%, and in case an event of default specified in any clause other than clause (a), (b) or (e) above shall occur and be continuing with respect to any series of debt securities, holders of at least a majority, in aggregate principal amount of the debt securities of such series then outstanding may declare the principal (or, in the case of discounted debt securities, the amount specified in the terms thereof) of</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94"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5" w:lineRule="exact"/>
        <w:rPr>
          <w:sz w:val="20"/>
          <w:szCs w:val="20"/>
          <w:color w:val="auto"/>
        </w:rPr>
      </w:pPr>
    </w:p>
    <w:p>
      <w:pPr>
        <w:ind w:left="1220" w:right="239"/>
        <w:spacing w:after="0" w:line="266" w:lineRule="auto"/>
        <w:rPr>
          <w:sz w:val="20"/>
          <w:szCs w:val="20"/>
          <w:color w:val="auto"/>
        </w:rPr>
      </w:pPr>
      <w:r>
        <w:rPr>
          <w:rFonts w:ascii="Times New Roman" w:cs="Times New Roman" w:eastAsia="Times New Roman" w:hAnsi="Times New Roman"/>
          <w:sz w:val="14"/>
          <w:szCs w:val="14"/>
          <w:color w:val="auto"/>
        </w:rPr>
        <w:t>such series to be due and payable immediately. If an event of default described in (e) above shall occur and be continuing then the principal (or, in the case of discounted debt securities, the amount specified in the terms thereof) of all the debt securities outstanding shall automatically become due and payable, without notice or other action by any holder or the applicable trustee, to the full extent permitted by law. Any past or existing default or event of default with respect to particular series of debt securities and its consequences under such indenture may be waived by the holders of a majority in principal amount of the outstanding debt securities of such series, except in each case a continuing default (1) in the payment of the principal of, any premium or interest on, or any additional amounts with respect to, any debt security of such series, or (2) in respect of a covenant or provision which cannot be modified or amended without the consent of each holder affected thereby.</w:t>
      </w:r>
    </w:p>
    <w:p>
      <w:pPr>
        <w:spacing w:after="0" w:line="141" w:lineRule="exact"/>
        <w:rPr>
          <w:sz w:val="20"/>
          <w:szCs w:val="20"/>
          <w:color w:val="auto"/>
        </w:rPr>
      </w:pPr>
    </w:p>
    <w:p>
      <w:pPr>
        <w:ind w:left="1220" w:right="119" w:firstLine="354"/>
        <w:spacing w:after="0" w:line="273" w:lineRule="auto"/>
        <w:rPr>
          <w:sz w:val="20"/>
          <w:szCs w:val="20"/>
          <w:color w:val="auto"/>
        </w:rPr>
      </w:pPr>
      <w:r>
        <w:rPr>
          <w:rFonts w:ascii="Times New Roman" w:cs="Times New Roman" w:eastAsia="Times New Roman" w:hAnsi="Times New Roman"/>
          <w:sz w:val="14"/>
          <w:szCs w:val="14"/>
          <w:color w:val="auto"/>
        </w:rPr>
        <w:t>The indenture provides that the applicable trustee may withhold notice to the holders of any default with respect to any series of debt securities (except in payment of principal of or interest or premium on, or additional amounts or sinking fund or purchase fund installment in respect of, the debt securities) if the board of directors, the executive committee or a trust committee of directors or responsible officers of the applicable trustee considers it in the interest of holders to do so.</w:t>
      </w:r>
    </w:p>
    <w:p>
      <w:pPr>
        <w:spacing w:after="0" w:line="136" w:lineRule="exact"/>
        <w:rPr>
          <w:sz w:val="20"/>
          <w:szCs w:val="20"/>
          <w:color w:val="auto"/>
        </w:rPr>
      </w:pPr>
    </w:p>
    <w:p>
      <w:pPr>
        <w:ind w:left="1220" w:right="99" w:firstLine="354"/>
        <w:spacing w:after="0" w:line="262" w:lineRule="auto"/>
        <w:rPr>
          <w:sz w:val="20"/>
          <w:szCs w:val="20"/>
          <w:color w:val="auto"/>
        </w:rPr>
      </w:pPr>
      <w:r>
        <w:rPr>
          <w:rFonts w:ascii="Times New Roman" w:cs="Times New Roman" w:eastAsia="Times New Roman" w:hAnsi="Times New Roman"/>
          <w:sz w:val="14"/>
          <w:szCs w:val="14"/>
          <w:color w:val="auto"/>
        </w:rPr>
        <w:t>The indenture contains a provision entitling the applicable trustee to be indemnified by the holders before proceeding to exercise any trust or power under the indenture at the request of such holders. The indenture provides that the holders of a majority in aggregate principal amount of the then outstanding debt securities of any series may direct the time, method and place of conducting any proceedings for any remedy available to the applicable trustee or exercising any trust or power conferred upon the applicable trustee with respect to the debt securities of such series; provided, however, that the applicable trustee may decline to follow any such direction if, among other reasons, the applicable trustee determines in good faith that the actions or proceedings as directed may not lawfully be taken or would be unduly prejudicial to the holders of the debt securities of such series not joining in such direction. The right of a holder to institute a proceeding with respect to a series of debt securities will be subject to certain conditions precedent including, without limitation, that in case of an event of default specified in clause (a), (b) or (e) of the first paragraph above under “—Events of Default,” holders of at least 25%, or in case of an event of default other than specified in clause (a), (b) or (e) of the first paragraph above under “— Events of Default,” holders of at least a majority, in aggregate principal amount of the debt securities of such series then outstanding make a written request upon the applicable trustee to exercise its powers under such indenture, indemnify the applicable trustee and afford the applicable trustee reasonable opportunity to act. Notwithstanding the foregoing, the holder has an absolute right to receipt of the principal of, premium, if any, and interest or additional amounts when due on the debt securities, to require conversion of debt securities if such indenture provides for convertibility at the option of the holder and to institute suit for the enforcement thereof.</w:t>
      </w:r>
    </w:p>
    <w:p>
      <w:pPr>
        <w:spacing w:after="0" w:line="200" w:lineRule="exact"/>
        <w:rPr>
          <w:sz w:val="20"/>
          <w:szCs w:val="20"/>
          <w:color w:val="auto"/>
        </w:rPr>
      </w:pP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102" w:lineRule="exact"/>
        <w:rPr>
          <w:sz w:val="20"/>
          <w:szCs w:val="20"/>
          <w:color w:val="auto"/>
        </w:rPr>
      </w:pPr>
    </w:p>
    <w:p>
      <w:pPr>
        <w:ind w:left="1220" w:right="179" w:firstLine="354"/>
        <w:spacing w:after="0" w:line="267" w:lineRule="auto"/>
        <w:rPr>
          <w:sz w:val="20"/>
          <w:szCs w:val="20"/>
          <w:color w:val="auto"/>
        </w:rPr>
      </w:pPr>
      <w:r>
        <w:rPr>
          <w:rFonts w:ascii="Times New Roman" w:cs="Times New Roman" w:eastAsia="Times New Roman" w:hAnsi="Times New Roman"/>
          <w:sz w:val="14"/>
          <w:szCs w:val="14"/>
          <w:color w:val="auto"/>
        </w:rPr>
        <w:t>The indenture provides that the Company may not directly or indirectly consolidate with or merge with or into, or sell, assign, transfer, lease, convey or otherwise dispose of all or substantially all of its assets and properties and the assets and properties of its subsidiaries (taken as a whole) to another person in one or more related transactions unless the successor person is a person organized under the laws of any domestic jurisdiction and assumes the Company’s obligations on the debt securities issued thereunder, and under the indenture, and after giving effect thereto no event of default, and no event that, after notice or lapse of time or both, would become an event of default, shall have occurred and be continuing, and that certain other conditions are met.</w:t>
      </w:r>
    </w:p>
    <w:p>
      <w:pPr>
        <w:spacing w:after="0" w:line="2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Certain Covenants</w:t>
      </w:r>
    </w:p>
    <w:p>
      <w:pPr>
        <w:spacing w:after="0" w:line="10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Payment of Principal, any Premium, Interest or Additional Amounts</w:t>
      </w:r>
    </w:p>
    <w:p>
      <w:pPr>
        <w:spacing w:after="0" w:line="102" w:lineRule="exact"/>
        <w:rPr>
          <w:sz w:val="20"/>
          <w:szCs w:val="20"/>
          <w:color w:val="auto"/>
        </w:rPr>
      </w:pPr>
    </w:p>
    <w:p>
      <w:pPr>
        <w:ind w:left="1220" w:right="219" w:firstLine="354"/>
        <w:spacing w:after="0" w:line="300" w:lineRule="auto"/>
        <w:rPr>
          <w:sz w:val="20"/>
          <w:szCs w:val="20"/>
          <w:color w:val="auto"/>
        </w:rPr>
      </w:pPr>
      <w:r>
        <w:rPr>
          <w:rFonts w:ascii="Times New Roman" w:cs="Times New Roman" w:eastAsia="Times New Roman" w:hAnsi="Times New Roman"/>
          <w:sz w:val="14"/>
          <w:szCs w:val="14"/>
          <w:color w:val="auto"/>
        </w:rPr>
        <w:t>The Company will duly and punctually pay the principal of, and premium and interest on or any additional amounts payable with respect to, any debt securities of any series in accordance with their terms.</w:t>
      </w:r>
    </w:p>
    <w:p>
      <w:pPr>
        <w:spacing w:after="0" w:line="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94"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Maintenance of Office or Agency</w:t>
      </w:r>
    </w:p>
    <w:p>
      <w:pPr>
        <w:spacing w:after="0" w:line="102" w:lineRule="exact"/>
        <w:rPr>
          <w:sz w:val="20"/>
          <w:szCs w:val="20"/>
          <w:color w:val="auto"/>
        </w:rPr>
      </w:pPr>
    </w:p>
    <w:p>
      <w:pPr>
        <w:ind w:left="1220" w:right="259" w:firstLine="354"/>
        <w:spacing w:after="0" w:line="300" w:lineRule="auto"/>
        <w:rPr>
          <w:sz w:val="20"/>
          <w:szCs w:val="20"/>
          <w:color w:val="auto"/>
        </w:rPr>
      </w:pPr>
      <w:r>
        <w:rPr>
          <w:rFonts w:ascii="Times New Roman" w:cs="Times New Roman" w:eastAsia="Times New Roman" w:hAnsi="Times New Roman"/>
          <w:sz w:val="14"/>
          <w:szCs w:val="14"/>
          <w:color w:val="auto"/>
        </w:rPr>
        <w:t>The Company will be required to maintain an office or agency in each place of payment for each series of debt securities for notice and demand purposes and for the purposes of presenting or surrendering debt securities for payment, registration of transfer, or exchange.</w:t>
      </w:r>
    </w:p>
    <w:p>
      <w:pPr>
        <w:spacing w:after="0" w:line="20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Reports</w:t>
      </w:r>
    </w:p>
    <w:p>
      <w:pPr>
        <w:spacing w:after="0" w:line="102" w:lineRule="exact"/>
        <w:rPr>
          <w:sz w:val="20"/>
          <w:szCs w:val="20"/>
          <w:color w:val="auto"/>
        </w:rPr>
      </w:pPr>
    </w:p>
    <w:p>
      <w:pPr>
        <w:jc w:val="both"/>
        <w:ind w:left="1220" w:right="159" w:firstLine="354"/>
        <w:spacing w:after="0" w:line="264" w:lineRule="auto"/>
        <w:rPr>
          <w:sz w:val="20"/>
          <w:szCs w:val="20"/>
          <w:color w:val="auto"/>
        </w:rPr>
      </w:pPr>
      <w:r>
        <w:rPr>
          <w:rFonts w:ascii="Times New Roman" w:cs="Times New Roman" w:eastAsia="Times New Roman" w:hAnsi="Times New Roman"/>
          <w:sz w:val="14"/>
          <w:szCs w:val="14"/>
          <w:color w:val="auto"/>
        </w:rPr>
        <w:t>So long as any debt securities of a particular series are outstanding, the Company will file with the Trustee, within 30 days after the Company has filed the same with the Commission, unless such reports are available on the Commission’s EDGAR filing system (or any successor thereto),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w:t>
      </w:r>
    </w:p>
    <w:p>
      <w:pPr>
        <w:spacing w:after="0" w:line="2" w:lineRule="exact"/>
        <w:rPr>
          <w:sz w:val="20"/>
          <w:szCs w:val="20"/>
          <w:color w:val="auto"/>
        </w:rPr>
      </w:pPr>
    </w:p>
    <w:p>
      <w:pPr>
        <w:ind w:left="1220" w:right="159"/>
        <w:spacing w:after="0" w:line="265" w:lineRule="auto"/>
        <w:rPr>
          <w:sz w:val="20"/>
          <w:szCs w:val="20"/>
          <w:color w:val="auto"/>
        </w:rPr>
      </w:pPr>
      <w:r>
        <w:rPr>
          <w:rFonts w:ascii="Times New Roman" w:cs="Times New Roman" w:eastAsia="Times New Roman" w:hAnsi="Times New Roman"/>
          <w:sz w:val="14"/>
          <w:szCs w:val="14"/>
          <w:color w:val="auto"/>
        </w:rPr>
        <w:t>Section 15(d) of the Exchange Act; or, if the Company is not required to file information, documents or reports pursuant to either of said Sections, then it shall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w:t>
      </w:r>
    </w:p>
    <w:p>
      <w:pPr>
        <w:spacing w:after="0" w:line="22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Additional Covenants</w:t>
      </w:r>
    </w:p>
    <w:p>
      <w:pPr>
        <w:spacing w:after="0" w:line="102" w:lineRule="exact"/>
        <w:rPr>
          <w:sz w:val="20"/>
          <w:szCs w:val="20"/>
          <w:color w:val="auto"/>
        </w:rPr>
      </w:pPr>
    </w:p>
    <w:p>
      <w:pPr>
        <w:ind w:left="1220" w:right="479" w:firstLine="354"/>
        <w:spacing w:after="0" w:line="300" w:lineRule="auto"/>
        <w:rPr>
          <w:sz w:val="20"/>
          <w:szCs w:val="20"/>
          <w:color w:val="auto"/>
        </w:rPr>
      </w:pPr>
      <w:r>
        <w:rPr>
          <w:rFonts w:ascii="Times New Roman" w:cs="Times New Roman" w:eastAsia="Times New Roman" w:hAnsi="Times New Roman"/>
          <w:sz w:val="14"/>
          <w:szCs w:val="14"/>
          <w:color w:val="auto"/>
        </w:rPr>
        <w:t>Any additional covenants of the Company with respect to any series of debt securities will be set forth in the prospectus supplement relating thereto.</w:t>
      </w:r>
    </w:p>
    <w:p>
      <w:pPr>
        <w:spacing w:after="0" w:line="20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Conversion Rights</w:t>
      </w:r>
    </w:p>
    <w:p>
      <w:pPr>
        <w:spacing w:after="0" w:line="102" w:lineRule="exact"/>
        <w:rPr>
          <w:sz w:val="20"/>
          <w:szCs w:val="20"/>
          <w:color w:val="auto"/>
        </w:rPr>
      </w:pPr>
    </w:p>
    <w:p>
      <w:pPr>
        <w:ind w:left="1220" w:right="319" w:firstLine="354"/>
        <w:spacing w:after="0" w:line="273" w:lineRule="auto"/>
        <w:rPr>
          <w:sz w:val="20"/>
          <w:szCs w:val="20"/>
          <w:color w:val="auto"/>
        </w:rPr>
      </w:pPr>
      <w:r>
        <w:rPr>
          <w:rFonts w:ascii="Times New Roman" w:cs="Times New Roman" w:eastAsia="Times New Roman" w:hAnsi="Times New Roman"/>
          <w:sz w:val="14"/>
          <w:szCs w:val="14"/>
          <w:color w:val="auto"/>
        </w:rPr>
        <w:t>The terms and conditions, if any, upon which the debt securities are convertible into common stock or preferred stock will be set forth in the applicable prospectus supplement relating thereto. Such terms will include the conversion price (or manner of calculation thereof), the conversion period, provisions as to whether conversion will be at the option of the holders or the Company, the events requiring an adjustment of the conversion price and provisions affecting conversion in the event of redemption of such debt securities and any restrictions on conversion.</w:t>
      </w:r>
    </w:p>
    <w:p>
      <w:pPr>
        <w:spacing w:after="0" w:line="2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Redemption; Repurchase at the Option of the Holder; Sinking Fund</w:t>
      </w:r>
    </w:p>
    <w:p>
      <w:pPr>
        <w:spacing w:after="0" w:line="102" w:lineRule="exact"/>
        <w:rPr>
          <w:sz w:val="20"/>
          <w:szCs w:val="20"/>
          <w:color w:val="auto"/>
        </w:rPr>
      </w:pPr>
    </w:p>
    <w:p>
      <w:pPr>
        <w:ind w:left="1220" w:right="179" w:firstLine="354"/>
        <w:spacing w:after="0" w:line="279" w:lineRule="auto"/>
        <w:rPr>
          <w:sz w:val="20"/>
          <w:szCs w:val="20"/>
          <w:color w:val="auto"/>
        </w:rPr>
      </w:pPr>
      <w:r>
        <w:rPr>
          <w:rFonts w:ascii="Times New Roman" w:cs="Times New Roman" w:eastAsia="Times New Roman" w:hAnsi="Times New Roman"/>
          <w:sz w:val="14"/>
          <w:szCs w:val="14"/>
          <w:color w:val="auto"/>
        </w:rPr>
        <w:t>The terms and conditions, if any, upon which (a) the debt securities are redeemable at the option of the Company, (b) the holder of debt securities may cause the Company to repurchase such debt securities or (c) the debt securities are subject to any sinking fund will be set forth in the applicable prospectus supplement relating thereto.</w:t>
      </w:r>
    </w:p>
    <w:p>
      <w:pPr>
        <w:spacing w:after="0" w:line="21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Repurchases on the Open Market</w:t>
      </w:r>
    </w:p>
    <w:p>
      <w:pPr>
        <w:spacing w:after="0" w:line="102" w:lineRule="exact"/>
        <w:rPr>
          <w:sz w:val="20"/>
          <w:szCs w:val="20"/>
          <w:color w:val="auto"/>
        </w:rPr>
      </w:pPr>
    </w:p>
    <w:p>
      <w:pPr>
        <w:ind w:left="1220" w:right="139" w:firstLine="354"/>
        <w:spacing w:after="0" w:line="293" w:lineRule="auto"/>
        <w:rPr>
          <w:sz w:val="20"/>
          <w:szCs w:val="20"/>
          <w:color w:val="auto"/>
        </w:rPr>
      </w:pPr>
      <w:r>
        <w:rPr>
          <w:rFonts w:ascii="Times New Roman" w:cs="Times New Roman" w:eastAsia="Times New Roman" w:hAnsi="Times New Roman"/>
          <w:sz w:val="14"/>
          <w:szCs w:val="14"/>
          <w:color w:val="auto"/>
        </w:rPr>
        <w:t>The Company or any affiliate of the Company may at any time or from time to time repurchase any debt security in the open market or otherwise. Such debt securities may, at the option of the Company or the relevant affiliate of the Company, be held, resold or surrendered to the trustee for cancellation.</w:t>
      </w:r>
    </w:p>
    <w:p>
      <w:pPr>
        <w:spacing w:after="0" w:line="38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Discharge, Defeasance and Covenant Defeasance</w:t>
      </w:r>
    </w:p>
    <w:p>
      <w:pPr>
        <w:spacing w:after="0" w:line="102" w:lineRule="exact"/>
        <w:rPr>
          <w:sz w:val="20"/>
          <w:szCs w:val="20"/>
          <w:color w:val="auto"/>
        </w:rPr>
      </w:pPr>
    </w:p>
    <w:p>
      <w:pPr>
        <w:ind w:left="1220" w:right="99" w:firstLine="354"/>
        <w:spacing w:after="0" w:line="300" w:lineRule="auto"/>
        <w:rPr>
          <w:sz w:val="20"/>
          <w:szCs w:val="20"/>
          <w:color w:val="auto"/>
        </w:rPr>
      </w:pPr>
      <w:r>
        <w:rPr>
          <w:rFonts w:ascii="Times New Roman" w:cs="Times New Roman" w:eastAsia="Times New Roman" w:hAnsi="Times New Roman"/>
          <w:sz w:val="14"/>
          <w:szCs w:val="14"/>
          <w:color w:val="auto"/>
        </w:rPr>
        <w:t>The indenture provides, with respect to each series of debt securities issued thereunder, that the Company may satisfy and discharge its obligations under such debt securities of a series and such indenture with respect to debt securities of such series if:</w:t>
      </w:r>
    </w:p>
    <w:p>
      <w:pPr>
        <w:spacing w:after="0" w:line="43" w:lineRule="exact"/>
        <w:rPr>
          <w:sz w:val="20"/>
          <w:szCs w:val="20"/>
          <w:color w:val="auto"/>
        </w:rPr>
      </w:pPr>
    </w:p>
    <w:p>
      <w:pPr>
        <w:ind w:left="2000" w:right="419" w:hanging="440"/>
        <w:spacing w:after="0" w:line="300" w:lineRule="auto"/>
        <w:tabs>
          <w:tab w:leader="none" w:pos="20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debt securities of such series previously authenticated and delivered, with certain exceptions, have been accepted by the applicable trustee for cancellation; or</w:t>
      </w:r>
    </w:p>
    <w:p>
      <w:pPr>
        <w:spacing w:after="0" w:line="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94"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5" w:lineRule="exact"/>
        <w:rPr>
          <w:sz w:val="20"/>
          <w:szCs w:val="20"/>
          <w:color w:val="auto"/>
        </w:rPr>
      </w:pPr>
    </w:p>
    <w:p>
      <w:pPr>
        <w:ind w:left="2000" w:right="99" w:hanging="440"/>
        <w:spacing w:after="0" w:line="266" w:lineRule="auto"/>
        <w:tabs>
          <w:tab w:leader="none" w:pos="20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debt securities of such series have become due and payable, will become due and payable at their stated maturity within one year, or are to be called for redemption within one year under arrangements satisfactory to the applicable trustee for giving the notice of redemption and the Company irrevocably deposits in trust with the applicable trustee, as trust funds solely for the benefit of the holders of such debt securities, for that purpose, money or governmental obligations or a combination thereof sufficient (in the opinion of a nationally recognized independent registered public accounting firm expressed in a written certification thereof delivered to the applicable trustee) to pay and discharge the entire indebtedness on the debt securities of such series to the date of such deposit or to the maturity, as the case may be, and pays all other sums payable by it under such indenture; and</w:t>
      </w:r>
    </w:p>
    <w:p>
      <w:pPr>
        <w:spacing w:after="0" w:line="54" w:lineRule="exact"/>
        <w:rPr>
          <w:rFonts w:ascii="Times New Roman" w:cs="Times New Roman" w:eastAsia="Times New Roman" w:hAnsi="Times New Roman"/>
          <w:sz w:val="14"/>
          <w:szCs w:val="14"/>
          <w:color w:val="auto"/>
        </w:rPr>
      </w:pPr>
    </w:p>
    <w:p>
      <w:pPr>
        <w:ind w:left="2020" w:right="139" w:hanging="10"/>
        <w:spacing w:after="0" w:line="279" w:lineRule="auto"/>
        <w:tabs>
          <w:tab w:leader="none" w:pos="2233"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delivers to the applicable trustee an officers’ certificate and an opinion of counsel, in each case stating that all conditions precedent provided for in such indenture relating to the satisfaction and discharge of such indenture with respect to the debt securities of such series have been complied with.</w:t>
      </w:r>
    </w:p>
    <w:p>
      <w:pPr>
        <w:spacing w:after="0" w:line="134" w:lineRule="exact"/>
        <w:rPr>
          <w:sz w:val="20"/>
          <w:szCs w:val="20"/>
          <w:color w:val="auto"/>
        </w:rPr>
      </w:pPr>
    </w:p>
    <w:p>
      <w:pPr>
        <w:ind w:left="1220" w:right="219" w:firstLine="354"/>
        <w:spacing w:after="0" w:line="267" w:lineRule="auto"/>
        <w:rPr>
          <w:sz w:val="20"/>
          <w:szCs w:val="20"/>
          <w:color w:val="auto"/>
        </w:rPr>
      </w:pPr>
      <w:r>
        <w:rPr>
          <w:rFonts w:ascii="Times New Roman" w:cs="Times New Roman" w:eastAsia="Times New Roman" w:hAnsi="Times New Roman"/>
          <w:sz w:val="14"/>
          <w:szCs w:val="14"/>
          <w:color w:val="auto"/>
        </w:rPr>
        <w:t>Notwithstanding such satisfaction and discharge, the obligations of the Company to compensate and indemnify the trustee, to pay additional amounts, if any, in respect of debt securities in certain circumstances and to convert or exchange debt securities pursuant to the terms thereof and the obligations of the Company and the trustee to hold funds in trust and to apply such funds pursuant to the terms of the indenture, with respect to issuing temporary debt securities, with respect to the registration, transfer and exchange of debt securities, with respect to the replacement of mutilated, destroyed, lost or stolen debt securities and with respect to the maintenance of an office or agency for payment, shall in each case survive such satisfaction and discharge.</w:t>
      </w:r>
    </w:p>
    <w:p>
      <w:pPr>
        <w:spacing w:after="0" w:line="142" w:lineRule="exact"/>
        <w:rPr>
          <w:sz w:val="20"/>
          <w:szCs w:val="20"/>
          <w:color w:val="auto"/>
        </w:rPr>
      </w:pPr>
    </w:p>
    <w:p>
      <w:pPr>
        <w:ind w:left="1220" w:right="119" w:firstLine="354"/>
        <w:spacing w:after="0" w:line="265" w:lineRule="auto"/>
        <w:rPr>
          <w:sz w:val="20"/>
          <w:szCs w:val="20"/>
          <w:color w:val="auto"/>
        </w:rPr>
      </w:pPr>
      <w:r>
        <w:rPr>
          <w:rFonts w:ascii="Times New Roman" w:cs="Times New Roman" w:eastAsia="Times New Roman" w:hAnsi="Times New Roman"/>
          <w:sz w:val="14"/>
          <w:szCs w:val="14"/>
          <w:color w:val="auto"/>
        </w:rPr>
        <w:t>Unless inapplicable to debt securities of a series pursuant to the terms thereof, the indenture provides that (i) the Company will be deemed to have paid and will be discharged from any and all obligations in respect of the debt securities issued thereunder of any series, and the provisions of such indenture will, except as noted below, no longer be in effect with respect to the debt securities of such series (“defeasance”) and (ii) (1) the Company may omit to comply with the covenant under “—Consolidation, Merger and Sale of Assets” and any other additional covenants established pursuant to the terms of such series, and such omission shall be deemed not to be an event of default under clause (d) or (f) of the first paragraph of “—Events of Default” and (2) the occurrence of any event described in clause (f) of the first paragraph of “—Events of Default” shall not be deemed to be an event of default, in each case with respect to the outstanding debt securities of such series ((1) and (2) of this clause (ii), “covenant defeasance”); provided that the following conditions shall have been satisfied with respect to such series:</w:t>
      </w:r>
    </w:p>
    <w:p>
      <w:pPr>
        <w:spacing w:after="0" w:line="66" w:lineRule="exact"/>
        <w:rPr>
          <w:sz w:val="20"/>
          <w:szCs w:val="20"/>
          <w:color w:val="auto"/>
        </w:rPr>
      </w:pPr>
    </w:p>
    <w:p>
      <w:pPr>
        <w:ind w:left="2000" w:right="79" w:hanging="440"/>
        <w:spacing w:after="0" w:line="266" w:lineRule="auto"/>
        <w:tabs>
          <w:tab w:leader="none" w:pos="20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irrevocably deposited in trust with the applicable trustee as trust funds solely for the benefit of the holders of the debt securities of such series, for the purpose of making the following payments, money or government obligations or a combination thereof sufficient (in the opinion of a nationally recognized independent registered public accounting firm expressed in a written certification thereof delivered to the applicable trustee), without consideration of any reinvestment, to pay and discharge (i) the principal of and accrued interest or additional amounts on the outstanding debt securities of such series to maturity or earlier redemption (irrevocably provided for under arrangements satisfactory to the applicable trustee), as the case may be or (ii) any mandatory sinking fund payments applicable to the outstanding debt securities;</w:t>
      </w:r>
    </w:p>
    <w:p>
      <w:pPr>
        <w:spacing w:after="0" w:line="65" w:lineRule="exact"/>
        <w:rPr>
          <w:rFonts w:ascii="Times New Roman" w:cs="Times New Roman" w:eastAsia="Times New Roman" w:hAnsi="Times New Roman"/>
          <w:sz w:val="14"/>
          <w:szCs w:val="14"/>
          <w:color w:val="auto"/>
        </w:rPr>
      </w:pPr>
    </w:p>
    <w:p>
      <w:pPr>
        <w:ind w:left="2000" w:right="119" w:hanging="440"/>
        <w:spacing w:after="0" w:line="300" w:lineRule="auto"/>
        <w:tabs>
          <w:tab w:leader="none" w:pos="20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defeasance or covenant defeasance will not result in a breach or violation of, or constitute a default under, such indenture or any other material agreement or instrument to which the Company is a party or by which it is bound;</w:t>
      </w:r>
    </w:p>
    <w:p>
      <w:pPr>
        <w:spacing w:after="0" w:line="42" w:lineRule="exact"/>
        <w:rPr>
          <w:rFonts w:ascii="Times New Roman" w:cs="Times New Roman" w:eastAsia="Times New Roman" w:hAnsi="Times New Roman"/>
          <w:sz w:val="14"/>
          <w:szCs w:val="14"/>
          <w:color w:val="auto"/>
        </w:rPr>
      </w:pPr>
    </w:p>
    <w:p>
      <w:pPr>
        <w:ind w:left="2000" w:right="339" w:hanging="440"/>
        <w:spacing w:after="0" w:line="300" w:lineRule="auto"/>
        <w:tabs>
          <w:tab w:leader="none" w:pos="20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event of default or event which with notice or lapse of time would become an event of default with respect to such debt securities of such series shall have occurred and be continuing on the date of such deposit;</w:t>
      </w:r>
    </w:p>
    <w:p>
      <w:pPr>
        <w:spacing w:after="0" w:line="42" w:lineRule="exact"/>
        <w:rPr>
          <w:rFonts w:ascii="Times New Roman" w:cs="Times New Roman" w:eastAsia="Times New Roman" w:hAnsi="Times New Roman"/>
          <w:sz w:val="14"/>
          <w:szCs w:val="14"/>
          <w:color w:val="auto"/>
        </w:rPr>
      </w:pPr>
    </w:p>
    <w:p>
      <w:pPr>
        <w:ind w:left="2000" w:right="319" w:hanging="440"/>
        <w:spacing w:after="0" w:line="300" w:lineRule="auto"/>
        <w:tabs>
          <w:tab w:leader="none" w:pos="20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such trustee an opinion of counsel as described in the indenture to the effect that the holders of the debt securities of such series will not recognize income, gain or loss</w:t>
      </w:r>
    </w:p>
    <w:p>
      <w:pPr>
        <w:spacing w:after="0" w:line="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94"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5" w:lineRule="exact"/>
        <w:rPr>
          <w:sz w:val="20"/>
          <w:szCs w:val="20"/>
          <w:color w:val="auto"/>
        </w:rPr>
      </w:pPr>
    </w:p>
    <w:p>
      <w:pPr>
        <w:jc w:val="both"/>
        <w:ind w:left="2000" w:right="479"/>
        <w:spacing w:after="0" w:line="279" w:lineRule="auto"/>
        <w:rPr>
          <w:sz w:val="20"/>
          <w:szCs w:val="20"/>
          <w:color w:val="auto"/>
        </w:rPr>
      </w:pPr>
      <w:r>
        <w:rPr>
          <w:rFonts w:ascii="Times New Roman" w:cs="Times New Roman" w:eastAsia="Times New Roman" w:hAnsi="Times New Roman"/>
          <w:sz w:val="14"/>
          <w:szCs w:val="14"/>
          <w:color w:val="auto"/>
        </w:rPr>
        <w:t>for federal income tax purposes as a result of the Company’s exercise of its option under this provision of such indenture and will be subject to federal income tax on the same amount and in the same manner and at the same times as would have been the case if such deposit and defeasance or covenant defeasance had not occurred;</w:t>
      </w:r>
    </w:p>
    <w:p>
      <w:pPr>
        <w:spacing w:after="0" w:line="58" w:lineRule="exact"/>
        <w:rPr>
          <w:sz w:val="20"/>
          <w:szCs w:val="20"/>
          <w:color w:val="auto"/>
        </w:rPr>
      </w:pPr>
    </w:p>
    <w:p>
      <w:pPr>
        <w:ind w:left="2000" w:right="699" w:hanging="440"/>
        <w:spacing w:after="0" w:line="300" w:lineRule="auto"/>
        <w:tabs>
          <w:tab w:leader="none" w:pos="2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delivered to the applicable trustee an officers’ certificate and an opinion of counsel, in each case stating that all conditions precedent provided for in such indenture relating to the defeasance contemplated have been complied with;</w:t>
      </w:r>
    </w:p>
    <w:p>
      <w:pPr>
        <w:spacing w:after="0" w:line="42" w:lineRule="exact"/>
        <w:rPr>
          <w:rFonts w:ascii="Times New Roman" w:cs="Times New Roman" w:eastAsia="Times New Roman" w:hAnsi="Times New Roman"/>
          <w:sz w:val="14"/>
          <w:szCs w:val="14"/>
          <w:color w:val="auto"/>
        </w:rPr>
      </w:pPr>
    </w:p>
    <w:p>
      <w:pPr>
        <w:ind w:left="2000" w:right="179" w:hanging="440"/>
        <w:spacing w:after="0" w:line="300" w:lineRule="auto"/>
        <w:tabs>
          <w:tab w:leader="none" w:pos="2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are to be redeemed prior to their maturity, notice of such redemption shall have been duly given or in another manner satisfactory to the trustee; and</w:t>
      </w:r>
    </w:p>
    <w:p>
      <w:pPr>
        <w:spacing w:after="0" w:line="42" w:lineRule="exact"/>
        <w:rPr>
          <w:rFonts w:ascii="Times New Roman" w:cs="Times New Roman" w:eastAsia="Times New Roman" w:hAnsi="Times New Roman"/>
          <w:sz w:val="14"/>
          <w:szCs w:val="14"/>
          <w:color w:val="auto"/>
        </w:rPr>
      </w:pPr>
    </w:p>
    <w:p>
      <w:pPr>
        <w:ind w:left="2000" w:right="299" w:hanging="440"/>
        <w:spacing w:after="0" w:line="300" w:lineRule="auto"/>
        <w:tabs>
          <w:tab w:leader="none" w:pos="2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such defeasance or covenant defeasance shall comply with any additional or substitute terms provided for by the terms of such debt securities of such series.</w:t>
      </w:r>
    </w:p>
    <w:p>
      <w:pPr>
        <w:spacing w:after="0" w:line="119" w:lineRule="exact"/>
        <w:rPr>
          <w:sz w:val="20"/>
          <w:szCs w:val="20"/>
          <w:color w:val="auto"/>
        </w:rPr>
      </w:pPr>
    </w:p>
    <w:p>
      <w:pPr>
        <w:ind w:left="1220" w:right="199" w:firstLine="354"/>
        <w:spacing w:after="0" w:line="279" w:lineRule="auto"/>
        <w:rPr>
          <w:sz w:val="20"/>
          <w:szCs w:val="20"/>
          <w:color w:val="auto"/>
        </w:rPr>
      </w:pPr>
      <w:r>
        <w:rPr>
          <w:rFonts w:ascii="Times New Roman" w:cs="Times New Roman" w:eastAsia="Times New Roman" w:hAnsi="Times New Roman"/>
          <w:sz w:val="14"/>
          <w:szCs w:val="14"/>
          <w:color w:val="auto"/>
        </w:rPr>
        <w:t>Notwithstanding a defeasance or covenant defeasance, the Company’s obligations with respect to the following in respect of debt securities of such series will survive with respect to such securities until otherwise terminated or discharged under the terms of the indenture or no debt securities of such series are outstanding:</w:t>
      </w:r>
    </w:p>
    <w:p>
      <w:pPr>
        <w:spacing w:after="0" w:line="58" w:lineRule="exact"/>
        <w:rPr>
          <w:sz w:val="20"/>
          <w:szCs w:val="20"/>
          <w:color w:val="auto"/>
        </w:rPr>
      </w:pPr>
    </w:p>
    <w:p>
      <w:pPr>
        <w:ind w:left="2000" w:right="119" w:hanging="440"/>
        <w:spacing w:after="0" w:line="279" w:lineRule="auto"/>
        <w:tabs>
          <w:tab w:leader="none" w:pos="2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holders of outstanding debt securities of such series to receive payments in respect of the principal of, interest on or premium or additional amounts, if any, payable in respect of, such debt securities when such payments are due from the trust referred in clause (a) in the preceding paragraph;</w:t>
      </w:r>
    </w:p>
    <w:p>
      <w:pPr>
        <w:spacing w:after="0" w:line="57" w:lineRule="exact"/>
        <w:rPr>
          <w:rFonts w:ascii="Times New Roman" w:cs="Times New Roman" w:eastAsia="Times New Roman" w:hAnsi="Times New Roman"/>
          <w:sz w:val="14"/>
          <w:szCs w:val="14"/>
          <w:color w:val="auto"/>
        </w:rPr>
      </w:pPr>
    </w:p>
    <w:p>
      <w:pPr>
        <w:ind w:left="2000" w:right="79" w:hanging="440"/>
        <w:spacing w:after="0" w:line="300" w:lineRule="auto"/>
        <w:tabs>
          <w:tab w:leader="none" w:pos="2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temporary debt securities, the registration, transfer and exchange of debt securities, the replacement of mutilated, destroyed, lost or stolen debt securities and the maintenance of an office or agency for payment and holding payments in trust;</w:t>
      </w:r>
    </w:p>
    <w:p>
      <w:pPr>
        <w:spacing w:after="0" w:line="42" w:lineRule="exact"/>
        <w:rPr>
          <w:rFonts w:ascii="Times New Roman" w:cs="Times New Roman" w:eastAsia="Times New Roman" w:hAnsi="Times New Roman"/>
          <w:sz w:val="14"/>
          <w:szCs w:val="14"/>
          <w:color w:val="auto"/>
        </w:rPr>
      </w:pPr>
    </w:p>
    <w:p>
      <w:pPr>
        <w:ind w:left="2000" w:hanging="440"/>
        <w:spacing w:after="0"/>
        <w:tabs>
          <w:tab w:leader="none" w:pos="2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powers, trusts, duties and immunities of the trustee, and the Company’s obligations in connection therewith; and</w:t>
      </w:r>
    </w:p>
    <w:p>
      <w:pPr>
        <w:spacing w:after="0" w:line="110" w:lineRule="exact"/>
        <w:rPr>
          <w:rFonts w:ascii="Times New Roman" w:cs="Times New Roman" w:eastAsia="Times New Roman" w:hAnsi="Times New Roman"/>
          <w:sz w:val="14"/>
          <w:szCs w:val="14"/>
          <w:color w:val="auto"/>
        </w:rPr>
      </w:pPr>
    </w:p>
    <w:p>
      <w:pPr>
        <w:ind w:left="2000" w:hanging="440"/>
        <w:spacing w:after="0"/>
        <w:tabs>
          <w:tab w:leader="none" w:pos="2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defeasance or covenant defeasance provisions of the indenture.</w:t>
      </w:r>
    </w:p>
    <w:p>
      <w:pPr>
        <w:spacing w:after="0" w:line="27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Applicable Law</w:t>
      </w:r>
    </w:p>
    <w:p>
      <w:pPr>
        <w:spacing w:after="0" w:line="102" w:lineRule="exact"/>
        <w:rPr>
          <w:sz w:val="20"/>
          <w:szCs w:val="20"/>
          <w:color w:val="auto"/>
        </w:rPr>
      </w:pPr>
    </w:p>
    <w:p>
      <w:pPr>
        <w:ind w:left="1220" w:right="339" w:firstLine="354"/>
        <w:spacing w:after="0" w:line="300" w:lineRule="auto"/>
        <w:rPr>
          <w:sz w:val="20"/>
          <w:szCs w:val="20"/>
          <w:color w:val="auto"/>
        </w:rPr>
      </w:pPr>
      <w:r>
        <w:rPr>
          <w:rFonts w:ascii="Times New Roman" w:cs="Times New Roman" w:eastAsia="Times New Roman" w:hAnsi="Times New Roman"/>
          <w:sz w:val="14"/>
          <w:szCs w:val="14"/>
          <w:color w:val="auto"/>
        </w:rPr>
        <w:t>The indenture provides that the debt securities and the indenture will be governed by and construed in accordance with the laws of the State of New York.</w:t>
      </w:r>
    </w:p>
    <w:p>
      <w:pPr>
        <w:spacing w:after="0" w:line="20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About the Trustee</w:t>
      </w:r>
    </w:p>
    <w:p>
      <w:pPr>
        <w:spacing w:after="0" w:line="102" w:lineRule="exact"/>
        <w:rPr>
          <w:sz w:val="20"/>
          <w:szCs w:val="20"/>
          <w:color w:val="auto"/>
        </w:rPr>
      </w:pPr>
    </w:p>
    <w:p>
      <w:pPr>
        <w:ind w:left="1220" w:right="179" w:firstLine="354"/>
        <w:spacing w:after="0" w:line="300"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The Bank of New York Mellon Trust Company, N.A. is the trustee under the indenture.</w:t>
      </w:r>
    </w:p>
    <w:p>
      <w:pPr>
        <w:spacing w:after="0" w:line="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94"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0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02" w:lineRule="exact"/>
        <w:rPr>
          <w:sz w:val="20"/>
          <w:szCs w:val="20"/>
          <w:color w:val="auto"/>
        </w:rPr>
      </w:pPr>
    </w:p>
    <w:p>
      <w:pPr>
        <w:ind w:left="1220" w:right="139" w:firstLine="354"/>
        <w:spacing w:after="0" w:line="300" w:lineRule="auto"/>
        <w:rPr>
          <w:sz w:val="20"/>
          <w:szCs w:val="20"/>
          <w:color w:val="auto"/>
        </w:rPr>
      </w:pPr>
      <w:r>
        <w:rPr>
          <w:rFonts w:ascii="Times New Roman" w:cs="Times New Roman" w:eastAsia="Times New Roman" w:hAnsi="Times New Roman"/>
          <w:sz w:val="14"/>
          <w:szCs w:val="14"/>
          <w:color w:val="auto"/>
        </w:rPr>
        <w:t>Under our amended and restated certificate of incorporation, as amended and supplemented, we are authorized to issue up to 30,000,000 shares of preferred stock, par value $1.00 per share, in one or more series.</w:t>
      </w:r>
    </w:p>
    <w:p>
      <w:pPr>
        <w:spacing w:after="0" w:line="119" w:lineRule="exact"/>
        <w:rPr>
          <w:sz w:val="20"/>
          <w:szCs w:val="20"/>
          <w:color w:val="auto"/>
        </w:rPr>
      </w:pPr>
    </w:p>
    <w:p>
      <w:pPr>
        <w:ind w:left="1220" w:right="459" w:firstLine="354"/>
        <w:spacing w:after="0" w:line="279" w:lineRule="auto"/>
        <w:rPr>
          <w:sz w:val="20"/>
          <w:szCs w:val="20"/>
          <w:color w:val="auto"/>
        </w:rPr>
      </w:pPr>
      <w:r>
        <w:rPr>
          <w:rFonts w:ascii="Times New Roman" w:cs="Times New Roman" w:eastAsia="Times New Roman" w:hAnsi="Times New Roman"/>
          <w:sz w:val="14"/>
          <w:szCs w:val="14"/>
          <w:color w:val="auto"/>
        </w:rPr>
        <w:t>As of October 30, 2026, there were 35,000 shares of Series B Non-Voting Perpetual Preferred Stock, par value $1.00 per share, issued and outstanding. The Certificate of Designations for the Series B Non-Voting Perpetual Preferred Stock has been filed as Exhibit 4.5 to the registration statement of which this prospectus is a part and is incorporated by reference herein.</w:t>
      </w:r>
    </w:p>
    <w:p>
      <w:pPr>
        <w:spacing w:after="0" w:line="134" w:lineRule="exact"/>
        <w:rPr>
          <w:sz w:val="20"/>
          <w:szCs w:val="20"/>
          <w:color w:val="auto"/>
        </w:rPr>
      </w:pPr>
    </w:p>
    <w:p>
      <w:pPr>
        <w:ind w:left="1220" w:right="219" w:firstLine="354"/>
        <w:spacing w:after="0" w:line="267" w:lineRule="auto"/>
        <w:rPr>
          <w:sz w:val="20"/>
          <w:szCs w:val="20"/>
          <w:color w:val="auto"/>
        </w:rPr>
      </w:pPr>
      <w:r>
        <w:rPr>
          <w:rFonts w:ascii="Times New Roman" w:cs="Times New Roman" w:eastAsia="Times New Roman" w:hAnsi="Times New Roman"/>
          <w:sz w:val="14"/>
          <w:szCs w:val="14"/>
          <w:color w:val="auto"/>
        </w:rPr>
        <w:t>The following description of preferred stock sets forth certain general terms and provisions of the series of preferred stock to which any prospectus supplement may relate. The prospectus supplement relating to a particular series of preferred stock will describe certain other terms of such series of preferred stock. If so indicated in the prospectus supplement relating to a particular series of preferred stock, the terms of any such series of preferred stock may differ from the terms set forth below. The description of preferred stock set forth below and the description of the terms of a particular series of preferred stock set forth in the related prospectus supplement are not complete and are qualified in their entirety by reference to the certificate of incorporation and to the certificate of designation relating to that series of preferred stock.</w:t>
      </w:r>
    </w:p>
    <w:p>
      <w:pPr>
        <w:spacing w:after="0" w:line="14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rights of the holders of each series of preferred stock will be subordinate to those of our general creditors.</w:t>
      </w:r>
    </w:p>
    <w:p>
      <w:pPr>
        <w:spacing w:after="0" w:line="26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General Terms of the Preferred Stock</w:t>
      </w:r>
    </w:p>
    <w:p>
      <w:pPr>
        <w:spacing w:after="0" w:line="104" w:lineRule="exact"/>
        <w:rPr>
          <w:sz w:val="20"/>
          <w:szCs w:val="20"/>
          <w:color w:val="auto"/>
        </w:rPr>
      </w:pPr>
    </w:p>
    <w:p>
      <w:pPr>
        <w:ind w:left="1220" w:right="159" w:firstLine="354"/>
        <w:spacing w:after="0" w:line="273" w:lineRule="auto"/>
        <w:rPr>
          <w:sz w:val="20"/>
          <w:szCs w:val="20"/>
          <w:color w:val="auto"/>
        </w:rPr>
      </w:pPr>
      <w:r>
        <w:rPr>
          <w:rFonts w:ascii="Times New Roman" w:cs="Times New Roman" w:eastAsia="Times New Roman" w:hAnsi="Times New Roman"/>
          <w:sz w:val="14"/>
          <w:szCs w:val="14"/>
          <w:color w:val="auto"/>
        </w:rPr>
        <w:t>The certificate of incorporation will set forth the designations, preferences, and relative, participating, optional and other special rights, and the qualifications, limitations, and restrictions of the preferred stock of each series. To the extent the certificate of incorporation does not set forth the rights and limitations, they will be fixed by the certificate of designation relating to the series. A prospectus supplement relating to each series will specify the terms of the preferred stock as follows:</w:t>
      </w:r>
    </w:p>
    <w:p>
      <w:pPr>
        <w:spacing w:after="0" w:line="60" w:lineRule="exact"/>
        <w:rPr>
          <w:sz w:val="20"/>
          <w:szCs w:val="20"/>
          <w:color w:val="auto"/>
        </w:rPr>
      </w:pPr>
    </w:p>
    <w:p>
      <w:pPr>
        <w:ind w:left="2000" w:hanging="353"/>
        <w:spacing w:after="0"/>
        <w:tabs>
          <w:tab w:leader="none" w:pos="20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distinctive designation of the series and the number of shares which shall constitute the series;</w:t>
      </w:r>
    </w:p>
    <w:p>
      <w:pPr>
        <w:spacing w:after="0" w:line="110" w:lineRule="exact"/>
        <w:rPr>
          <w:rFonts w:ascii="Times New Roman" w:cs="Times New Roman" w:eastAsia="Times New Roman" w:hAnsi="Times New Roman"/>
          <w:sz w:val="14"/>
          <w:szCs w:val="14"/>
          <w:color w:val="auto"/>
        </w:rPr>
      </w:pPr>
    </w:p>
    <w:p>
      <w:pPr>
        <w:ind w:left="2000" w:right="319" w:hanging="353"/>
        <w:spacing w:after="0" w:line="300" w:lineRule="auto"/>
        <w:tabs>
          <w:tab w:leader="none" w:pos="20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of dividends, if any, payable on shares of the series, the date, if any, from which the dividends shall accrue, the conditions upon which and the date when the dividends shall be payable, and whether the dividends shall be cumulative or noncumulative;</w:t>
      </w:r>
    </w:p>
    <w:p>
      <w:pPr>
        <w:spacing w:after="0" w:line="42" w:lineRule="exact"/>
        <w:rPr>
          <w:rFonts w:ascii="Times New Roman" w:cs="Times New Roman" w:eastAsia="Times New Roman" w:hAnsi="Times New Roman"/>
          <w:sz w:val="14"/>
          <w:szCs w:val="14"/>
          <w:color w:val="auto"/>
        </w:rPr>
      </w:pPr>
    </w:p>
    <w:p>
      <w:pPr>
        <w:ind w:left="2000" w:right="399" w:hanging="353"/>
        <w:spacing w:after="0" w:line="300" w:lineRule="auto"/>
        <w:tabs>
          <w:tab w:leader="none" w:pos="20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which the holders of the preferred stock of the series shall be entitled to be paid in the event of a voluntary or involuntary liquidation, dissolution, or winding up of Williams; and</w:t>
      </w:r>
    </w:p>
    <w:p>
      <w:pPr>
        <w:spacing w:after="0" w:line="42" w:lineRule="exact"/>
        <w:rPr>
          <w:rFonts w:ascii="Times New Roman" w:cs="Times New Roman" w:eastAsia="Times New Roman" w:hAnsi="Times New Roman"/>
          <w:sz w:val="14"/>
          <w:szCs w:val="14"/>
          <w:color w:val="auto"/>
        </w:rPr>
      </w:pPr>
    </w:p>
    <w:p>
      <w:pPr>
        <w:ind w:left="2000" w:right="579" w:hanging="353"/>
        <w:spacing w:after="0" w:line="300" w:lineRule="auto"/>
        <w:tabs>
          <w:tab w:leader="none" w:pos="20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preferred stock of the series shall be redeemable and at what times and under what conditions and the amount or amounts payable thereon in the event of redemption.</w:t>
      </w:r>
    </w:p>
    <w:p>
      <w:pPr>
        <w:spacing w:after="0" w:line="11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prospectus supplement may, in a manner not inconsistent with the provisions of the certificate of incorporation:</w:t>
      </w:r>
    </w:p>
    <w:p>
      <w:pPr>
        <w:spacing w:after="0" w:line="111" w:lineRule="exact"/>
        <w:rPr>
          <w:sz w:val="20"/>
          <w:szCs w:val="20"/>
          <w:color w:val="auto"/>
        </w:rPr>
      </w:pPr>
    </w:p>
    <w:p>
      <w:pPr>
        <w:ind w:left="2000" w:hanging="353"/>
        <w:spacing w:after="0"/>
        <w:tabs>
          <w:tab w:leader="none" w:pos="20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number of shares of the series that may be issued;</w:t>
      </w:r>
    </w:p>
    <w:p>
      <w:pPr>
        <w:spacing w:after="0" w:line="110" w:lineRule="exact"/>
        <w:rPr>
          <w:rFonts w:ascii="Times New Roman" w:cs="Times New Roman" w:eastAsia="Times New Roman" w:hAnsi="Times New Roman"/>
          <w:sz w:val="14"/>
          <w:szCs w:val="14"/>
          <w:color w:val="auto"/>
        </w:rPr>
      </w:pPr>
    </w:p>
    <w:p>
      <w:pPr>
        <w:ind w:left="2000" w:right="99" w:hanging="353"/>
        <w:spacing w:after="0" w:line="279" w:lineRule="auto"/>
        <w:tabs>
          <w:tab w:leader="none" w:pos="20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a sinking fund for the purchase or redemption or a purchase fund for the purchase of shares of the series, set forth the terms and provisions governing the operation of any fund, and establish the status as to reissue of shares of preferred stock purchased or otherwise reacquired or redeemed or retired through the operation of the sinking or purchase fund;</w:t>
      </w:r>
    </w:p>
    <w:p>
      <w:pPr>
        <w:spacing w:after="0" w:line="57" w:lineRule="exact"/>
        <w:rPr>
          <w:rFonts w:ascii="Times New Roman" w:cs="Times New Roman" w:eastAsia="Times New Roman" w:hAnsi="Times New Roman"/>
          <w:sz w:val="14"/>
          <w:szCs w:val="14"/>
          <w:color w:val="auto"/>
        </w:rPr>
      </w:pPr>
    </w:p>
    <w:p>
      <w:pPr>
        <w:ind w:left="2000" w:right="719" w:hanging="353"/>
        <w:spacing w:after="0" w:line="300" w:lineRule="auto"/>
        <w:tabs>
          <w:tab w:leader="none" w:pos="20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voting rights to the holder of shares of the series, in addition to and not inconsistent with those granted by the certificate of incorporation to the holders of preferred stock;</w:t>
      </w:r>
    </w:p>
    <w:p>
      <w:pPr>
        <w:spacing w:after="0" w:line="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94"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5" w:lineRule="exact"/>
        <w:rPr>
          <w:sz w:val="20"/>
          <w:szCs w:val="20"/>
          <w:color w:val="auto"/>
        </w:rPr>
      </w:pPr>
    </w:p>
    <w:p>
      <w:pPr>
        <w:jc w:val="both"/>
        <w:ind w:left="2000" w:right="359" w:hanging="353"/>
        <w:spacing w:after="0" w:line="300" w:lineRule="auto"/>
        <w:tabs>
          <w:tab w:leader="none" w:pos="20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conditions or restrictions upon the creation of indebtedness of Williams or upon the issue of additional preferred stock or other capital stock ranking equally with or prior to the preferred stock or capital stock as to dividends or distribution of assets on liquidation;</w:t>
      </w:r>
    </w:p>
    <w:p>
      <w:pPr>
        <w:spacing w:after="0" w:line="42" w:lineRule="exact"/>
        <w:rPr>
          <w:rFonts w:ascii="Times New Roman" w:cs="Times New Roman" w:eastAsia="Times New Roman" w:hAnsi="Times New Roman"/>
          <w:sz w:val="14"/>
          <w:szCs w:val="14"/>
          <w:color w:val="auto"/>
        </w:rPr>
      </w:pPr>
    </w:p>
    <w:p>
      <w:pPr>
        <w:ind w:left="2000" w:right="379" w:hanging="353"/>
        <w:spacing w:after="0" w:line="300" w:lineRule="auto"/>
        <w:tabs>
          <w:tab w:leader="none" w:pos="20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conditions or restrictions upon the payment of dividends upon, the making of other distributions to, or the acquisition of junior stock;</w:t>
      </w:r>
    </w:p>
    <w:p>
      <w:pPr>
        <w:spacing w:after="0" w:line="42" w:lineRule="exact"/>
        <w:rPr>
          <w:rFonts w:ascii="Times New Roman" w:cs="Times New Roman" w:eastAsia="Times New Roman" w:hAnsi="Times New Roman"/>
          <w:sz w:val="14"/>
          <w:szCs w:val="14"/>
          <w:color w:val="auto"/>
        </w:rPr>
      </w:pPr>
    </w:p>
    <w:p>
      <w:pPr>
        <w:ind w:left="2000" w:right="479" w:hanging="353"/>
        <w:spacing w:after="0" w:line="300" w:lineRule="auto"/>
        <w:tabs>
          <w:tab w:leader="none" w:pos="20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to the holders of the preferred stock of the series the right to convert the preferred stock into shares of another series or class of capital stock; or</w:t>
      </w:r>
    </w:p>
    <w:p>
      <w:pPr>
        <w:spacing w:after="0" w:line="42" w:lineRule="exact"/>
        <w:rPr>
          <w:rFonts w:ascii="Times New Roman" w:cs="Times New Roman" w:eastAsia="Times New Roman" w:hAnsi="Times New Roman"/>
          <w:sz w:val="14"/>
          <w:szCs w:val="14"/>
          <w:color w:val="auto"/>
        </w:rPr>
      </w:pPr>
    </w:p>
    <w:p>
      <w:pPr>
        <w:ind w:left="2000" w:right="159" w:hanging="353"/>
        <w:spacing w:after="0" w:line="300" w:lineRule="auto"/>
        <w:tabs>
          <w:tab w:leader="none" w:pos="20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other special rights to the holders of shares of the series as the board of directors may determine and as shall not be inconsistent with the provisions of the certificate of incorporation.</w:t>
      </w:r>
    </w:p>
    <w:p>
      <w:pPr>
        <w:spacing w:after="0" w:line="20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04" w:lineRule="exact"/>
        <w:rPr>
          <w:sz w:val="20"/>
          <w:szCs w:val="20"/>
          <w:color w:val="auto"/>
        </w:rPr>
      </w:pPr>
    </w:p>
    <w:p>
      <w:pPr>
        <w:ind w:left="1220" w:right="119" w:firstLine="354"/>
        <w:spacing w:after="0" w:line="268" w:lineRule="auto"/>
        <w:rPr>
          <w:sz w:val="20"/>
          <w:szCs w:val="20"/>
          <w:color w:val="auto"/>
        </w:rPr>
      </w:pPr>
      <w:r>
        <w:rPr>
          <w:rFonts w:ascii="Times New Roman" w:cs="Times New Roman" w:eastAsia="Times New Roman" w:hAnsi="Times New Roman"/>
          <w:sz w:val="14"/>
          <w:szCs w:val="14"/>
          <w:color w:val="auto"/>
        </w:rPr>
        <w:t>Holders of the preferred stock of any series shall be entitled to receive, when, as and if declared by the board of directors, preferential dividends in cash at the annual rate, if any, fixed for the series. Their entitlement will be subject to any limitations specified in the certificate of incorporation and in the certificate of designation providing for the issuance of a particular series of preferred stock. The certificate of designation providing for the issuance of preferred stock of the series may specify the date on which the preferential dividends are payable. The preferential dividends shall further be payable to stockholders of record on a date which precedes each dividend payment date which the board of directors has fixed in advance of each particular dividend.</w:t>
      </w:r>
    </w:p>
    <w:p>
      <w:pPr>
        <w:spacing w:after="0" w:line="318" w:lineRule="exact"/>
        <w:rPr>
          <w:sz w:val="20"/>
          <w:szCs w:val="20"/>
          <w:color w:val="auto"/>
        </w:rPr>
      </w:pPr>
    </w:p>
    <w:p>
      <w:pPr>
        <w:ind w:left="1220" w:right="99" w:firstLine="354"/>
        <w:spacing w:after="0" w:line="267" w:lineRule="auto"/>
        <w:rPr>
          <w:sz w:val="20"/>
          <w:szCs w:val="20"/>
          <w:color w:val="auto"/>
        </w:rPr>
      </w:pPr>
      <w:r>
        <w:rPr>
          <w:rFonts w:ascii="Times New Roman" w:cs="Times New Roman" w:eastAsia="Times New Roman" w:hAnsi="Times New Roman"/>
          <w:sz w:val="14"/>
          <w:szCs w:val="14"/>
          <w:color w:val="auto"/>
        </w:rPr>
        <w:t>Each share of preferred stock shall rank on a parity with each other share of preferred stock, irrespective of series, with respect to preferential dividends accrued on the shares of the series. We will not declare or pay any dividend nor will we set apart a dividend for payment for the preferred stock of any series unless at the same time we declare, pay, or set apart a dividend in like proportion to the dividends accrued upon the preferred stock of each other series. This does not, however, prevent us from authorizing or issuing one or more series of preferred stock bearing dividends subject to contingencies as to the existence or amount of our earnings during one or more fiscal periods, or as to other events, to which dividends on other series of preferred stock are not subject.</w:t>
      </w:r>
    </w:p>
    <w:p>
      <w:pPr>
        <w:spacing w:after="0" w:line="142" w:lineRule="exact"/>
        <w:rPr>
          <w:sz w:val="20"/>
          <w:szCs w:val="20"/>
          <w:color w:val="auto"/>
        </w:rPr>
      </w:pPr>
    </w:p>
    <w:p>
      <w:pPr>
        <w:ind w:left="1220" w:right="139" w:firstLine="354"/>
        <w:spacing w:after="0" w:line="300" w:lineRule="auto"/>
        <w:rPr>
          <w:sz w:val="20"/>
          <w:szCs w:val="20"/>
          <w:color w:val="auto"/>
        </w:rPr>
      </w:pPr>
      <w:r>
        <w:rPr>
          <w:rFonts w:ascii="Times New Roman" w:cs="Times New Roman" w:eastAsia="Times New Roman" w:hAnsi="Times New Roman"/>
          <w:sz w:val="14"/>
          <w:szCs w:val="14"/>
          <w:color w:val="auto"/>
        </w:rPr>
        <w:t>So long as any shares of preferred stock remain outstanding, we will not, unless all dividends accrued on outstanding shares of preferred stock for all past dividend periods shall have been paid or declared and a sum sufficient for the payment of the dividends set apart:</w:t>
      </w:r>
    </w:p>
    <w:p>
      <w:pPr>
        <w:spacing w:after="0" w:line="141" w:lineRule="exact"/>
        <w:rPr>
          <w:sz w:val="20"/>
          <w:szCs w:val="20"/>
          <w:color w:val="auto"/>
        </w:rPr>
      </w:pPr>
    </w:p>
    <w:p>
      <w:pPr>
        <w:ind w:left="2000" w:hanging="353"/>
        <w:spacing w:after="0"/>
        <w:tabs>
          <w:tab w:leader="none" w:pos="20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or declare any dividends whatsoever, whether in cash, stock, or otherwise;</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distribution on any class of junior stock; or</w:t>
      </w:r>
    </w:p>
    <w:p>
      <w:pPr>
        <w:spacing w:after="0" w:line="110" w:lineRule="exact"/>
        <w:rPr>
          <w:rFonts w:ascii="Times New Roman" w:cs="Times New Roman" w:eastAsia="Times New Roman" w:hAnsi="Times New Roman"/>
          <w:sz w:val="14"/>
          <w:szCs w:val="14"/>
          <w:color w:val="auto"/>
        </w:rPr>
      </w:pPr>
    </w:p>
    <w:p>
      <w:pPr>
        <w:ind w:left="2000" w:right="439" w:hanging="353"/>
        <w:spacing w:after="0" w:line="300" w:lineRule="auto"/>
        <w:tabs>
          <w:tab w:leader="none" w:pos="20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retire, or otherwise acquire for valuable consideration any shares of preferred stock (subject to certain limitations) or junior stock.</w:t>
      </w:r>
    </w:p>
    <w:p>
      <w:pPr>
        <w:spacing w:after="0" w:line="119" w:lineRule="exact"/>
        <w:rPr>
          <w:sz w:val="20"/>
          <w:szCs w:val="20"/>
          <w:color w:val="auto"/>
        </w:rPr>
      </w:pPr>
    </w:p>
    <w:p>
      <w:pPr>
        <w:ind w:left="1220" w:right="99" w:firstLine="354"/>
        <w:spacing w:after="0" w:line="279" w:lineRule="auto"/>
        <w:rPr>
          <w:sz w:val="20"/>
          <w:szCs w:val="20"/>
          <w:color w:val="auto"/>
        </w:rPr>
      </w:pPr>
      <w:r>
        <w:rPr>
          <w:rFonts w:ascii="Times New Roman" w:cs="Times New Roman" w:eastAsia="Times New Roman" w:hAnsi="Times New Roman"/>
          <w:sz w:val="14"/>
          <w:szCs w:val="14"/>
          <w:color w:val="auto"/>
        </w:rPr>
        <w:t>As a holding company, our ability to pay dividends on the preferred stock will depend upon the payment of dividends, interest, or other charges by our subsidiaries to us. Debt instruments of certain of our subsidiaries may limit the amount of payments to us, which could affect the amount of funds available to us to pay dividends on the preferred stock.</w:t>
      </w:r>
    </w:p>
    <w:p>
      <w:pPr>
        <w:spacing w:after="0" w:line="13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registrar, transfer agent, and dividend disbursing agent for the preferred stock will be named in the applicable prospectus supplement.</w:t>
      </w:r>
    </w:p>
    <w:p>
      <w:pPr>
        <w:spacing w:after="0" w:line="26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Redemption</w:t>
      </w:r>
    </w:p>
    <w:p>
      <w:pPr>
        <w:spacing w:after="0" w:line="104" w:lineRule="exact"/>
        <w:rPr>
          <w:sz w:val="20"/>
          <w:szCs w:val="20"/>
          <w:color w:val="auto"/>
        </w:rPr>
      </w:pPr>
    </w:p>
    <w:p>
      <w:pPr>
        <w:ind w:left="1220" w:right="379" w:firstLine="354"/>
        <w:spacing w:after="0" w:line="300" w:lineRule="auto"/>
        <w:rPr>
          <w:sz w:val="20"/>
          <w:szCs w:val="20"/>
          <w:color w:val="auto"/>
        </w:rPr>
      </w:pPr>
      <w:r>
        <w:rPr>
          <w:rFonts w:ascii="Times New Roman" w:cs="Times New Roman" w:eastAsia="Times New Roman" w:hAnsi="Times New Roman"/>
          <w:sz w:val="14"/>
          <w:szCs w:val="14"/>
          <w:color w:val="auto"/>
        </w:rPr>
        <w:t>With the approval of our board of directors, we may redeem all or any part of the preferred stock of any series that by its terms is redeemable. Redemption will take place at the time or times and on the terms and</w:t>
      </w:r>
    </w:p>
    <w:p>
      <w:pPr>
        <w:spacing w:after="0" w:line="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94"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5" w:lineRule="exact"/>
        <w:rPr>
          <w:sz w:val="20"/>
          <w:szCs w:val="20"/>
          <w:color w:val="auto"/>
        </w:rPr>
      </w:pPr>
    </w:p>
    <w:p>
      <w:pPr>
        <w:ind w:left="1220" w:right="259"/>
        <w:spacing w:after="0" w:line="269" w:lineRule="auto"/>
        <w:rPr>
          <w:sz w:val="20"/>
          <w:szCs w:val="20"/>
          <w:color w:val="auto"/>
        </w:rPr>
      </w:pPr>
      <w:r>
        <w:rPr>
          <w:rFonts w:ascii="Times New Roman" w:cs="Times New Roman" w:eastAsia="Times New Roman" w:hAnsi="Times New Roman"/>
          <w:sz w:val="14"/>
          <w:szCs w:val="14"/>
          <w:color w:val="auto"/>
        </w:rPr>
        <w:t>conditions fixed for the series. We must duly give notice in the manner provided in the certificate of designation providing for the series. We must pay for preferred stock in cash the sum fixed for the series, together, in each case, with an amount equal to accrued and unpaid dividends on the series of preferred stock. The certificate of designation providing for a series of preferred stock that is subject to redemption may provide, upon the two conditions discussed below, that the shares will no longer be deemed outstanding, and all rights with respect to the shares will cease, including the accrual of further dividends, other than the right to receive the redemption price of the shares without interest, when:</w:t>
      </w:r>
    </w:p>
    <w:p>
      <w:pPr>
        <w:spacing w:after="0" w:line="64" w:lineRule="exact"/>
        <w:rPr>
          <w:sz w:val="20"/>
          <w:szCs w:val="20"/>
          <w:color w:val="auto"/>
        </w:rPr>
      </w:pPr>
    </w:p>
    <w:p>
      <w:pPr>
        <w:ind w:left="2000" w:hanging="353"/>
        <w:spacing w:after="0"/>
        <w:tabs>
          <w:tab w:leader="none" w:pos="20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given notice of redemption of all or part of the shares of the series; and</w:t>
      </w:r>
    </w:p>
    <w:p>
      <w:pPr>
        <w:spacing w:after="0" w:line="110" w:lineRule="exact"/>
        <w:rPr>
          <w:rFonts w:ascii="Times New Roman" w:cs="Times New Roman" w:eastAsia="Times New Roman" w:hAnsi="Times New Roman"/>
          <w:sz w:val="14"/>
          <w:szCs w:val="14"/>
          <w:color w:val="auto"/>
        </w:rPr>
      </w:pPr>
    </w:p>
    <w:p>
      <w:pPr>
        <w:ind w:left="2000" w:right="259" w:hanging="353"/>
        <w:spacing w:after="0" w:line="300" w:lineRule="auto"/>
        <w:tabs>
          <w:tab w:leader="none" w:pos="20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set aside or deposited with a suitable depositary for the proportionate benefit of the shares called for redemption the redemption price of the shares, together with accrued dividends to the date fixed as the redemption date.</w:t>
      </w:r>
    </w:p>
    <w:p>
      <w:pPr>
        <w:spacing w:after="0" w:line="119" w:lineRule="exact"/>
        <w:rPr>
          <w:sz w:val="20"/>
          <w:szCs w:val="20"/>
          <w:color w:val="auto"/>
        </w:rPr>
      </w:pPr>
    </w:p>
    <w:p>
      <w:pPr>
        <w:ind w:left="1220" w:right="179" w:firstLine="354"/>
        <w:spacing w:after="0" w:line="300" w:lineRule="auto"/>
        <w:rPr>
          <w:sz w:val="20"/>
          <w:szCs w:val="20"/>
          <w:color w:val="auto"/>
        </w:rPr>
      </w:pPr>
      <w:r>
        <w:rPr>
          <w:rFonts w:ascii="Times New Roman" w:cs="Times New Roman" w:eastAsia="Times New Roman" w:hAnsi="Times New Roman"/>
          <w:sz w:val="14"/>
          <w:szCs w:val="14"/>
          <w:color w:val="auto"/>
        </w:rPr>
        <w:t>Redemption will terminate the right of holders of the preferred stock to accrual of further dividends. Redemption will not, however, terminate the right of holders of the shares redeemed to receive the redemption price for the shares without interest.</w:t>
      </w:r>
    </w:p>
    <w:p>
      <w:pPr>
        <w:spacing w:after="0" w:line="20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04" w:lineRule="exact"/>
        <w:rPr>
          <w:sz w:val="20"/>
          <w:szCs w:val="20"/>
          <w:color w:val="auto"/>
        </w:rPr>
      </w:pPr>
    </w:p>
    <w:p>
      <w:pPr>
        <w:ind w:left="1220" w:right="359" w:firstLine="354"/>
        <w:spacing w:after="0" w:line="300" w:lineRule="auto"/>
        <w:rPr>
          <w:sz w:val="20"/>
          <w:szCs w:val="20"/>
          <w:color w:val="auto"/>
        </w:rPr>
      </w:pPr>
      <w:r>
        <w:rPr>
          <w:rFonts w:ascii="Times New Roman" w:cs="Times New Roman" w:eastAsia="Times New Roman" w:hAnsi="Times New Roman"/>
          <w:sz w:val="14"/>
          <w:szCs w:val="14"/>
          <w:color w:val="auto"/>
        </w:rPr>
        <w:t>The preferred stock will have no right or power to vote on any question or in any proceeding or to be represented at or to receive notice of any meeting of stockholders, except as:</w:t>
      </w:r>
    </w:p>
    <w:p>
      <w:pPr>
        <w:spacing w:after="0" w:line="43" w:lineRule="exact"/>
        <w:rPr>
          <w:sz w:val="20"/>
          <w:szCs w:val="20"/>
          <w:color w:val="auto"/>
        </w:rPr>
      </w:pPr>
    </w:p>
    <w:p>
      <w:pPr>
        <w:ind w:left="2000" w:hanging="353"/>
        <w:spacing w:after="0"/>
        <w:tabs>
          <w:tab w:leader="none" w:pos="20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stated in this prospectus or the applicable prospectus supplement;</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expressly provided by law; or</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in the certificate of designation of the series of preferred stock.</w:t>
      </w:r>
    </w:p>
    <w:p>
      <w:pPr>
        <w:spacing w:after="0" w:line="187" w:lineRule="exact"/>
        <w:rPr>
          <w:sz w:val="20"/>
          <w:szCs w:val="20"/>
          <w:color w:val="auto"/>
        </w:rPr>
      </w:pPr>
    </w:p>
    <w:p>
      <w:pPr>
        <w:ind w:left="1220" w:right="239" w:firstLine="354"/>
        <w:spacing w:after="0" w:line="300" w:lineRule="auto"/>
        <w:rPr>
          <w:sz w:val="20"/>
          <w:szCs w:val="20"/>
          <w:color w:val="auto"/>
        </w:rPr>
      </w:pPr>
      <w:r>
        <w:rPr>
          <w:rFonts w:ascii="Times New Roman" w:cs="Times New Roman" w:eastAsia="Times New Roman" w:hAnsi="Times New Roman"/>
          <w:sz w:val="14"/>
          <w:szCs w:val="14"/>
          <w:color w:val="auto"/>
        </w:rPr>
        <w:t>On any matters on which the holders of the preferred stock or any series thereof shall be entitled to vote separately as a class or series, they shall be entitled to one vote for each share held.</w:t>
      </w:r>
    </w:p>
    <w:p>
      <w:pPr>
        <w:spacing w:after="0" w:line="119" w:lineRule="exact"/>
        <w:rPr>
          <w:sz w:val="20"/>
          <w:szCs w:val="20"/>
          <w:color w:val="auto"/>
        </w:rPr>
      </w:pPr>
    </w:p>
    <w:p>
      <w:pPr>
        <w:ind w:left="1220" w:right="99" w:firstLine="354"/>
        <w:spacing w:after="0" w:line="269" w:lineRule="auto"/>
        <w:rPr>
          <w:sz w:val="20"/>
          <w:szCs w:val="20"/>
          <w:color w:val="auto"/>
        </w:rPr>
      </w:pPr>
      <w:r>
        <w:rPr>
          <w:rFonts w:ascii="Times New Roman" w:cs="Times New Roman" w:eastAsia="Times New Roman" w:hAnsi="Times New Roman"/>
          <w:sz w:val="14"/>
          <w:szCs w:val="14"/>
          <w:color w:val="auto"/>
        </w:rPr>
        <w:t>So long as any shares of preferred stock are outstanding, we must not, during the continuance of any default in the payment of dividends on the preferred stock, redeem or otherwise acquire for value any shares of the preferred stock or of any other stock ranking on a parity with the preferred stock concerning dividends or distribution of assets on liquidation. Holders of a majority of the number of shares of preferred stock outstanding at the time may, however, permit such a redemption by giving their consent in person or by proxy, either in writing or by vote at any annual meeting or any special meeting called for the purpose.</w:t>
      </w:r>
    </w:p>
    <w:p>
      <w:pPr>
        <w:spacing w:after="0" w:line="2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Liquidation Rights</w:t>
      </w:r>
    </w:p>
    <w:p>
      <w:pPr>
        <w:spacing w:after="0" w:line="104" w:lineRule="exact"/>
        <w:rPr>
          <w:sz w:val="20"/>
          <w:szCs w:val="20"/>
          <w:color w:val="auto"/>
        </w:rPr>
      </w:pPr>
    </w:p>
    <w:p>
      <w:pPr>
        <w:ind w:left="1220" w:right="159" w:firstLine="354"/>
        <w:spacing w:after="0" w:line="300"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 up of the affairs of Williams, the holders of the preferred stock of the respective series are entitled to be paid in full the following amounts:</w:t>
      </w:r>
    </w:p>
    <w:p>
      <w:pPr>
        <w:spacing w:after="0" w:line="43" w:lineRule="exact"/>
        <w:rPr>
          <w:sz w:val="20"/>
          <w:szCs w:val="20"/>
          <w:color w:val="auto"/>
        </w:rPr>
      </w:pPr>
    </w:p>
    <w:p>
      <w:pPr>
        <w:ind w:left="2000" w:hanging="353"/>
        <w:spacing w:after="0"/>
        <w:tabs>
          <w:tab w:leader="none" w:pos="20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fixed in the certificate of designation providing for the issue of shares of the series; plus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sum equal to all accrued and unpaid dividends on the shares of preferred stock to the date of payment of the dividends.</w:t>
      </w:r>
    </w:p>
    <w:p>
      <w:pPr>
        <w:spacing w:after="0" w:line="187" w:lineRule="exact"/>
        <w:rPr>
          <w:sz w:val="20"/>
          <w:szCs w:val="20"/>
          <w:color w:val="auto"/>
        </w:rPr>
      </w:pPr>
    </w:p>
    <w:p>
      <w:pPr>
        <w:ind w:left="1220" w:right="99" w:firstLine="354"/>
        <w:spacing w:after="0" w:line="269" w:lineRule="auto"/>
        <w:rPr>
          <w:sz w:val="20"/>
          <w:szCs w:val="20"/>
          <w:color w:val="auto"/>
        </w:rPr>
      </w:pPr>
      <w:r>
        <w:rPr>
          <w:rFonts w:ascii="Times New Roman" w:cs="Times New Roman" w:eastAsia="Times New Roman" w:hAnsi="Times New Roman"/>
          <w:sz w:val="14"/>
          <w:szCs w:val="14"/>
          <w:color w:val="auto"/>
        </w:rPr>
        <w:t>We must have made this payment in full to the holders of the preferred stock before we may make any distribution or payment to the holders of any class of stock ranking junior to the preferred stock as to dividends or distribution of assets on liquidation. After we have made this payment in full to the holders of the preferred stock, our remaining assets and funds will be distributed among the holders of our stock ranking junior to the preferred stock according to their rights. If our assets available for distribution to holders of preferred stock are insufficient to make the payment required to be made in full, these assets will be distributed to the holders of shares of preferred stock proportionately to the amounts payable upon each share of preferred stock.</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94"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02" w:lineRule="exact"/>
        <w:rPr>
          <w:sz w:val="20"/>
          <w:szCs w:val="20"/>
          <w:color w:val="auto"/>
        </w:rPr>
      </w:pPr>
    </w:p>
    <w:p>
      <w:pPr>
        <w:ind w:left="1220" w:right="99" w:firstLine="354"/>
        <w:spacing w:after="0" w:line="265" w:lineRule="auto"/>
        <w:rPr>
          <w:sz w:val="20"/>
          <w:szCs w:val="20"/>
          <w:color w:val="auto"/>
        </w:rPr>
      </w:pPr>
      <w:r>
        <w:rPr>
          <w:rFonts w:ascii="Times New Roman" w:cs="Times New Roman" w:eastAsia="Times New Roman" w:hAnsi="Times New Roman"/>
          <w:sz w:val="14"/>
          <w:szCs w:val="14"/>
          <w:color w:val="auto"/>
        </w:rPr>
        <w:t>As of the date of this prospectus, we are authorized to issue up to 1,470,000,000 shares of common stock, par value $1.00 per share. As of October 30, 2026, we had 2,539,753,027 issued and outstanding shares of common stock. As of October 30, 2026, 61,461,205 shares of our common stock were reserved for issuance pursuant to existing and future stock awards under our stock incentive plans, of which 57,801,928 shares were available for future grants. As of October 30, 2026, 2,371,091 shares of our common stock were reserved for issuance pursuant to our employee stock purchase plan. The outstanding shares of common stock are fully paid and nonassessable. The holders of common stock are not entitled to preemptive or redemption rights. Shares of common stock are not convertible into shares of any other class of capital stock. Computershare Trust Company, N.A. (“Computershare”) is the transfer agent and registrar for our common stock. Our common stock is listed on the New York Stock Exchange under the ticker symbol “WMB.”</w:t>
      </w:r>
    </w:p>
    <w:p>
      <w:pPr>
        <w:spacing w:after="0" w:line="200" w:lineRule="exact"/>
        <w:rPr>
          <w:sz w:val="20"/>
          <w:szCs w:val="20"/>
          <w:color w:val="auto"/>
        </w:rPr>
      </w:pPr>
    </w:p>
    <w:p>
      <w:pPr>
        <w:spacing w:after="0" w:line="20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04" w:lineRule="exact"/>
        <w:rPr>
          <w:sz w:val="20"/>
          <w:szCs w:val="20"/>
          <w:color w:val="auto"/>
        </w:rPr>
      </w:pPr>
    </w:p>
    <w:p>
      <w:pPr>
        <w:ind w:left="1220" w:right="599" w:firstLine="354"/>
        <w:spacing w:after="0" w:line="300" w:lineRule="auto"/>
        <w:rPr>
          <w:sz w:val="20"/>
          <w:szCs w:val="20"/>
          <w:color w:val="auto"/>
        </w:rPr>
      </w:pPr>
      <w:r>
        <w:rPr>
          <w:rFonts w:ascii="Times New Roman" w:cs="Times New Roman" w:eastAsia="Times New Roman" w:hAnsi="Times New Roman"/>
          <w:sz w:val="14"/>
          <w:szCs w:val="14"/>
          <w:color w:val="auto"/>
        </w:rPr>
        <w:t>The holders of our common stock are entitled to receive dividends when, as, and if declared by our board of directors, out of funds legally available for their payment subject to the rights of holders of any outstanding preferred stock.</w:t>
      </w:r>
    </w:p>
    <w:p>
      <w:pPr>
        <w:spacing w:after="0" w:line="20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04" w:lineRule="exact"/>
        <w:rPr>
          <w:sz w:val="20"/>
          <w:szCs w:val="20"/>
          <w:color w:val="auto"/>
        </w:rPr>
      </w:pPr>
    </w:p>
    <w:p>
      <w:pPr>
        <w:ind w:left="1220" w:right="159" w:firstLine="354"/>
        <w:spacing w:after="0" w:line="268" w:lineRule="auto"/>
        <w:rPr>
          <w:sz w:val="20"/>
          <w:szCs w:val="20"/>
          <w:color w:val="auto"/>
        </w:rPr>
      </w:pPr>
      <w:r>
        <w:rPr>
          <w:rFonts w:ascii="Times New Roman" w:cs="Times New Roman" w:eastAsia="Times New Roman" w:hAnsi="Times New Roman"/>
          <w:sz w:val="14"/>
          <w:szCs w:val="14"/>
          <w:color w:val="auto"/>
        </w:rPr>
        <w:t>The holders of our common stock are entitled to one vote per share on all matters submitted to a vote of stockholders. Except as otherwise provided by law, our charter or our bylaws, at each meeting of the stockholders, all corporate actions to be taken by vote of the stockholders shall be authorized by a majority of the votes cast by the stockholders entitled to vote thereon, present in person or represented by proxy. Director nominees in uncontested elections must receive a majority of the votes cast to be elected, and director nominees in contested elections must receive a plurality of the votes cast to be elected. A vote of 75% of the outstanding shares of our common stock is required to amend certain provisions of our charter and for stockholders to amend our bylaws.</w:t>
      </w:r>
    </w:p>
    <w:p>
      <w:pPr>
        <w:spacing w:after="0" w:line="200" w:lineRule="exact"/>
        <w:rPr>
          <w:sz w:val="20"/>
          <w:szCs w:val="20"/>
          <w:color w:val="auto"/>
        </w:rPr>
      </w:pPr>
    </w:p>
    <w:p>
      <w:pPr>
        <w:spacing w:after="0" w:line="20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Rights Upon Liquidation</w:t>
      </w:r>
    </w:p>
    <w:p>
      <w:pPr>
        <w:spacing w:after="0" w:line="104" w:lineRule="exact"/>
        <w:rPr>
          <w:sz w:val="20"/>
          <w:szCs w:val="20"/>
          <w:color w:val="auto"/>
        </w:rPr>
      </w:pPr>
    </w:p>
    <w:p>
      <w:pPr>
        <w:ind w:left="1220" w:right="219" w:firstLine="354"/>
        <w:spacing w:after="0" w:line="279" w:lineRule="auto"/>
        <w:rPr>
          <w:sz w:val="20"/>
          <w:szCs w:val="20"/>
          <w:color w:val="auto"/>
        </w:rPr>
      </w:pPr>
      <w:r>
        <w:rPr>
          <w:rFonts w:ascii="Times New Roman" w:cs="Times New Roman" w:eastAsia="Times New Roman" w:hAnsi="Times New Roman"/>
          <w:sz w:val="14"/>
          <w:szCs w:val="14"/>
          <w:color w:val="auto"/>
        </w:rPr>
        <w:t>In the event of our voluntary or involuntary liquidation, dissolution, or winding up of the affairs of Williams, the holders of our common stock will be entitled to share equally in any assets available for distribution after the payment in full of all debts and distributions and after the holders of all series of outstanding preferred stock have received their liquidation preferences in full.</w:t>
      </w:r>
    </w:p>
    <w:p>
      <w:pPr>
        <w:spacing w:after="0" w:line="21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10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We currently have the following provisions in our charter or bylaws that could be considered to be “anti-takeover” provisions:</w:t>
      </w:r>
    </w:p>
    <w:p>
      <w:pPr>
        <w:spacing w:after="0" w:line="111" w:lineRule="exact"/>
        <w:rPr>
          <w:sz w:val="20"/>
          <w:szCs w:val="20"/>
          <w:color w:val="auto"/>
        </w:rPr>
      </w:pPr>
    </w:p>
    <w:p>
      <w:pPr>
        <w:ind w:left="2000" w:right="279" w:hanging="353"/>
        <w:spacing w:after="0" w:line="300" w:lineRule="auto"/>
        <w:tabs>
          <w:tab w:leader="none" w:pos="2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article in our charter requiring the affirmative vote of three-fourths of the outstanding shares of common stock for certain merger and asset sale transactions with holders of more than five percent of the voting power of Williams;</w:t>
      </w:r>
    </w:p>
    <w:p>
      <w:pPr>
        <w:spacing w:after="0" w:line="42" w:lineRule="exact"/>
        <w:rPr>
          <w:rFonts w:ascii="Times New Roman" w:cs="Times New Roman" w:eastAsia="Times New Roman" w:hAnsi="Times New Roman"/>
          <w:sz w:val="14"/>
          <w:szCs w:val="14"/>
          <w:color w:val="auto"/>
        </w:rPr>
      </w:pPr>
    </w:p>
    <w:p>
      <w:pPr>
        <w:ind w:left="2000" w:right="459" w:hanging="353"/>
        <w:spacing w:after="0" w:line="300" w:lineRule="auto"/>
        <w:tabs>
          <w:tab w:leader="none" w:pos="2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bylaw that only permits our chairman of the board, chief executive officer or a majority of the board to call a special meeting of the stockholders; and</w:t>
      </w:r>
    </w:p>
    <w:p>
      <w:pPr>
        <w:spacing w:after="0" w:line="42" w:lineRule="exact"/>
        <w:rPr>
          <w:rFonts w:ascii="Times New Roman" w:cs="Times New Roman" w:eastAsia="Times New Roman" w:hAnsi="Times New Roman"/>
          <w:sz w:val="14"/>
          <w:szCs w:val="14"/>
          <w:color w:val="auto"/>
        </w:rPr>
      </w:pPr>
    </w:p>
    <w:p>
      <w:pPr>
        <w:ind w:left="2000" w:right="119" w:hanging="353"/>
        <w:spacing w:after="0" w:line="300" w:lineRule="auto"/>
        <w:tabs>
          <w:tab w:leader="none" w:pos="2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bylaw requiring stockholders to provide prior notice for nominations for election to the board of directors or for proposing matters which can be acted upon at stockholders meetings.</w:t>
      </w:r>
    </w:p>
    <w:p>
      <w:pPr>
        <w:spacing w:after="0" w:line="119" w:lineRule="exact"/>
        <w:rPr>
          <w:sz w:val="20"/>
          <w:szCs w:val="20"/>
          <w:color w:val="auto"/>
        </w:rPr>
      </w:pPr>
    </w:p>
    <w:p>
      <w:pPr>
        <w:ind w:left="1220" w:right="459" w:firstLine="354"/>
        <w:spacing w:after="0" w:line="300" w:lineRule="auto"/>
        <w:rPr>
          <w:sz w:val="20"/>
          <w:szCs w:val="20"/>
          <w:color w:val="auto"/>
        </w:rPr>
      </w:pPr>
      <w:r>
        <w:rPr>
          <w:rFonts w:ascii="Times New Roman" w:cs="Times New Roman" w:eastAsia="Times New Roman" w:hAnsi="Times New Roman"/>
          <w:sz w:val="14"/>
          <w:szCs w:val="14"/>
          <w:color w:val="auto"/>
        </w:rPr>
        <w:t>We are a Delaware corporation and are subject to Section 203 of the Delaware General Corporation Law (“DGCL”). In general, Section 203 prevents an interested stockholder, which is defined generally as a person</w:t>
      </w:r>
    </w:p>
    <w:p>
      <w:pPr>
        <w:spacing w:after="0" w:line="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94"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5" w:lineRule="exact"/>
        <w:rPr>
          <w:sz w:val="20"/>
          <w:szCs w:val="20"/>
          <w:color w:val="auto"/>
        </w:rPr>
      </w:pPr>
    </w:p>
    <w:p>
      <w:pPr>
        <w:ind w:left="1220" w:right="319"/>
        <w:spacing w:after="0" w:line="300" w:lineRule="auto"/>
        <w:rPr>
          <w:sz w:val="20"/>
          <w:szCs w:val="20"/>
          <w:color w:val="auto"/>
        </w:rPr>
      </w:pPr>
      <w:r>
        <w:rPr>
          <w:rFonts w:ascii="Times New Roman" w:cs="Times New Roman" w:eastAsia="Times New Roman" w:hAnsi="Times New Roman"/>
          <w:sz w:val="14"/>
          <w:szCs w:val="14"/>
          <w:color w:val="auto"/>
        </w:rPr>
        <w:t>owning 15% or more of our outstanding voting stock, from engaging in a business combination with us for three years following the date that person became an interested stockholder unless:</w:t>
      </w:r>
    </w:p>
    <w:p>
      <w:pPr>
        <w:spacing w:after="0" w:line="43" w:lineRule="exact"/>
        <w:rPr>
          <w:sz w:val="20"/>
          <w:szCs w:val="20"/>
          <w:color w:val="auto"/>
        </w:rPr>
      </w:pPr>
    </w:p>
    <w:p>
      <w:pPr>
        <w:ind w:left="2000" w:right="319" w:hanging="353"/>
        <w:spacing w:after="0" w:line="300" w:lineRule="auto"/>
        <w:tabs>
          <w:tab w:leader="none" w:pos="20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that person became an interested stockholder, our board of directors approved the transaction in which the interested stockholder became an interested stockholder or approved the business combination;</w:t>
      </w:r>
    </w:p>
    <w:p>
      <w:pPr>
        <w:spacing w:after="0" w:line="42" w:lineRule="exact"/>
        <w:rPr>
          <w:rFonts w:ascii="Times New Roman" w:cs="Times New Roman" w:eastAsia="Times New Roman" w:hAnsi="Times New Roman"/>
          <w:sz w:val="14"/>
          <w:szCs w:val="14"/>
          <w:color w:val="auto"/>
        </w:rPr>
      </w:pPr>
    </w:p>
    <w:p>
      <w:pPr>
        <w:ind w:left="2000" w:right="259" w:hanging="353"/>
        <w:spacing w:after="0" w:line="279" w:lineRule="auto"/>
        <w:tabs>
          <w:tab w:leader="none" w:pos="20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completion of the transaction that resulted in the interested stockholder becoming an interested stockholder, the interested stockholder owned at least 85% of our voting stock outstanding at the time the transaction commenced (excluding stock held by persons who are both directors and officers of Williams or by certain employee stock plans); or</w:t>
      </w:r>
    </w:p>
    <w:p>
      <w:pPr>
        <w:spacing w:after="0" w:line="57" w:lineRule="exact"/>
        <w:rPr>
          <w:rFonts w:ascii="Times New Roman" w:cs="Times New Roman" w:eastAsia="Times New Roman" w:hAnsi="Times New Roman"/>
          <w:sz w:val="14"/>
          <w:szCs w:val="14"/>
          <w:color w:val="auto"/>
        </w:rPr>
      </w:pPr>
    </w:p>
    <w:p>
      <w:pPr>
        <w:ind w:left="2000" w:right="319" w:hanging="353"/>
        <w:spacing w:after="0" w:line="279" w:lineRule="auto"/>
        <w:tabs>
          <w:tab w:leader="none" w:pos="20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following the date on which that person became an interested stockholder, the business combination is approved by our board of directors and authorized at a meeting of stockholders by the affirmative vote of the holders of at least 662/3% of our outstanding voting stock (excluding shares held by the interested stockholder).</w:t>
      </w:r>
    </w:p>
    <w:p>
      <w:pPr>
        <w:spacing w:after="0" w:line="13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4"/>
          <w:szCs w:val="14"/>
          <w:color w:val="auto"/>
        </w:rPr>
        <w:t>A business combination includes mergers, asset sales and other transactions resulting in a financial benefit to the interested stockholder.</w:t>
      </w:r>
    </w:p>
    <w:p>
      <w:pPr>
        <w:spacing w:after="0" w:line="13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94"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DESCRIPTION OF PURCHASE CONTRACTS</w:t>
      </w:r>
    </w:p>
    <w:p>
      <w:pPr>
        <w:spacing w:after="0" w:line="18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We may issue purchase contracts for the purchase or sale of:</w:t>
      </w:r>
    </w:p>
    <w:p>
      <w:pPr>
        <w:spacing w:after="0" w:line="111" w:lineRule="exact"/>
        <w:rPr>
          <w:sz w:val="20"/>
          <w:szCs w:val="20"/>
          <w:color w:val="auto"/>
        </w:rPr>
      </w:pPr>
    </w:p>
    <w:p>
      <w:pPr>
        <w:ind w:left="2000" w:right="199" w:hanging="353"/>
        <w:spacing w:after="0" w:line="300" w:lineRule="auto"/>
        <w:tabs>
          <w:tab w:leader="none" w:pos="20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or equity securities issued by us or securities of third parties, a basket of such securities, an index or indices of such securities or any combination of the above as specified in the applicable prospectus supplement;</w:t>
      </w:r>
    </w:p>
    <w:p>
      <w:pPr>
        <w:spacing w:after="0" w:line="42"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currencies; or</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commodities.</w:t>
      </w:r>
    </w:p>
    <w:p>
      <w:pPr>
        <w:spacing w:after="0" w:line="187" w:lineRule="exact"/>
        <w:rPr>
          <w:sz w:val="20"/>
          <w:szCs w:val="20"/>
          <w:color w:val="auto"/>
        </w:rPr>
      </w:pPr>
    </w:p>
    <w:p>
      <w:pPr>
        <w:ind w:left="1220" w:right="139" w:firstLine="354"/>
        <w:spacing w:after="0" w:line="266" w:lineRule="auto"/>
        <w:rPr>
          <w:sz w:val="20"/>
          <w:szCs w:val="20"/>
          <w:color w:val="auto"/>
        </w:rPr>
      </w:pPr>
      <w:r>
        <w:rPr>
          <w:rFonts w:ascii="Times New Roman" w:cs="Times New Roman" w:eastAsia="Times New Roman" w:hAnsi="Times New Roman"/>
          <w:sz w:val="14"/>
          <w:szCs w:val="14"/>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41" w:lineRule="exact"/>
        <w:rPr>
          <w:sz w:val="20"/>
          <w:szCs w:val="20"/>
          <w:color w:val="auto"/>
        </w:rPr>
      </w:pPr>
    </w:p>
    <w:p>
      <w:pPr>
        <w:ind w:left="1220" w:right="119" w:firstLine="354"/>
        <w:spacing w:after="0" w:line="267" w:lineRule="auto"/>
        <w:rPr>
          <w:sz w:val="20"/>
          <w:szCs w:val="20"/>
          <w:color w:val="auto"/>
        </w:rPr>
      </w:pPr>
      <w:r>
        <w:rPr>
          <w:rFonts w:ascii="Times New Roman" w:cs="Times New Roman" w:eastAsia="Times New Roman" w:hAnsi="Times New Roman"/>
          <w:sz w:val="14"/>
          <w:szCs w:val="14"/>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the indenture, a copy of which is filed as an exhibit to the registration statement of which this prospectus is a part.</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94"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89" w:lineRule="exact"/>
        <w:rPr>
          <w:sz w:val="20"/>
          <w:szCs w:val="20"/>
          <w:color w:val="auto"/>
        </w:rPr>
      </w:pPr>
    </w:p>
    <w:p>
      <w:pPr>
        <w:ind w:left="1220" w:right="159" w:firstLine="354"/>
        <w:spacing w:after="0" w:line="269" w:lineRule="auto"/>
        <w:rPr>
          <w:sz w:val="20"/>
          <w:szCs w:val="20"/>
          <w:color w:val="auto"/>
        </w:rPr>
      </w:pPr>
      <w:r>
        <w:rPr>
          <w:rFonts w:ascii="Times New Roman" w:cs="Times New Roman" w:eastAsia="Times New Roman" w:hAnsi="Times New Roman"/>
          <w:sz w:val="14"/>
          <w:szCs w:val="14"/>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14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applicable prospectus supplement will describe the following terms of any warrants in respect of which this prospectus is being delivered:</w:t>
      </w:r>
    </w:p>
    <w:p>
      <w:pPr>
        <w:spacing w:after="0" w:line="111" w:lineRule="exact"/>
        <w:rPr>
          <w:sz w:val="20"/>
          <w:szCs w:val="20"/>
          <w:color w:val="auto"/>
        </w:rPr>
      </w:pPr>
    </w:p>
    <w:p>
      <w:pPr>
        <w:ind w:left="2000" w:hanging="353"/>
        <w:spacing w:after="0"/>
        <w:tabs>
          <w:tab w:leader="none" w:pos="2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warrants;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such warrants;</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such warrants will be issued;</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 which the price of such warrants will be payable;</w:t>
      </w:r>
    </w:p>
    <w:p>
      <w:pPr>
        <w:spacing w:after="0" w:line="110" w:lineRule="exact"/>
        <w:rPr>
          <w:rFonts w:ascii="Times New Roman" w:cs="Times New Roman" w:eastAsia="Times New Roman" w:hAnsi="Times New Roman"/>
          <w:sz w:val="14"/>
          <w:szCs w:val="14"/>
          <w:color w:val="auto"/>
        </w:rPr>
      </w:pPr>
    </w:p>
    <w:p>
      <w:pPr>
        <w:ind w:left="2000" w:right="159" w:hanging="353"/>
        <w:spacing w:after="0" w:line="300" w:lineRule="auto"/>
        <w:tabs>
          <w:tab w:leader="none" w:pos="2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42" w:lineRule="exact"/>
        <w:rPr>
          <w:rFonts w:ascii="Times New Roman" w:cs="Times New Roman" w:eastAsia="Times New Roman" w:hAnsi="Times New Roman"/>
          <w:sz w:val="14"/>
          <w:szCs w:val="14"/>
          <w:color w:val="auto"/>
        </w:rPr>
      </w:pPr>
    </w:p>
    <w:p>
      <w:pPr>
        <w:ind w:left="2000" w:right="99" w:hanging="353"/>
        <w:spacing w:after="0" w:line="300" w:lineRule="auto"/>
        <w:tabs>
          <w:tab w:leader="none" w:pos="2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and the currency or currencies, in which the securities or other rights purchasable upon exercise of such warrants may be purchased;</w:t>
      </w:r>
    </w:p>
    <w:p>
      <w:pPr>
        <w:spacing w:after="0" w:line="42"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warrants shall commence and the date on which such right shall expire;</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such warrants which may be exercised at any one time;</w:t>
      </w:r>
    </w:p>
    <w:p>
      <w:pPr>
        <w:spacing w:after="0" w:line="110" w:lineRule="exact"/>
        <w:rPr>
          <w:rFonts w:ascii="Times New Roman" w:cs="Times New Roman" w:eastAsia="Times New Roman" w:hAnsi="Times New Roman"/>
          <w:sz w:val="14"/>
          <w:szCs w:val="14"/>
          <w:color w:val="auto"/>
        </w:rPr>
      </w:pPr>
    </w:p>
    <w:p>
      <w:pPr>
        <w:ind w:left="2000" w:right="179" w:hanging="353"/>
        <w:spacing w:after="0" w:line="300" w:lineRule="auto"/>
        <w:tabs>
          <w:tab w:leader="none" w:pos="2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such warrants are issued and the number of such warrants issued with each such security;</w:t>
      </w:r>
    </w:p>
    <w:p>
      <w:pPr>
        <w:spacing w:after="0" w:line="42"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such warrants and the related securities will be separately transferable; and</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such warrants, including terms, procedures and limitations relating to the exchange and exercise of such warrants.</w:t>
      </w:r>
    </w:p>
    <w:p>
      <w:pPr>
        <w:spacing w:after="0" w:line="1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94"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89" w:lineRule="exact"/>
        <w:rPr>
          <w:sz w:val="20"/>
          <w:szCs w:val="20"/>
          <w:color w:val="auto"/>
        </w:rPr>
      </w:pPr>
    </w:p>
    <w:p>
      <w:pPr>
        <w:ind w:left="1220" w:right="219" w:firstLine="354"/>
        <w:spacing w:after="0" w:line="300" w:lineRule="auto"/>
        <w:rPr>
          <w:sz w:val="20"/>
          <w:szCs w:val="20"/>
          <w:color w:val="auto"/>
        </w:rPr>
      </w:pPr>
      <w:r>
        <w:rPr>
          <w:rFonts w:ascii="Times New Roman" w:cs="Times New Roman" w:eastAsia="Times New Roman" w:hAnsi="Times New Roman"/>
          <w:sz w:val="14"/>
          <w:szCs w:val="14"/>
          <w:color w:val="auto"/>
        </w:rPr>
        <w:t>As specified in the applicable prospectus supplement, we may issue units consisting of one or more purchase contracts, warrants, debt securities, shares of preferred stock, shares of common stock, or any combination of such securities. The applicable prospectus supplement will describe:</w:t>
      </w:r>
    </w:p>
    <w:p>
      <w:pPr>
        <w:spacing w:after="0" w:line="43" w:lineRule="exact"/>
        <w:rPr>
          <w:sz w:val="20"/>
          <w:szCs w:val="20"/>
          <w:color w:val="auto"/>
        </w:rPr>
      </w:pPr>
    </w:p>
    <w:p>
      <w:pPr>
        <w:ind w:left="2000" w:right="379" w:hanging="353"/>
        <w:spacing w:after="0" w:line="300" w:lineRule="auto"/>
        <w:tabs>
          <w:tab w:leader="none" w:pos="20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units and of the purchase contracts, warrants, debt securities, preferred stock, and common stock comprising the units, including whether and under what circumstances the securities comprising the units may be traded separately;</w:t>
      </w:r>
    </w:p>
    <w:p>
      <w:pPr>
        <w:spacing w:after="0" w:line="42"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the terms of any unit agreement governing the units; and</w:t>
      </w:r>
    </w:p>
    <w:p>
      <w:pPr>
        <w:spacing w:after="0" w:line="110" w:lineRule="exact"/>
        <w:rPr>
          <w:rFonts w:ascii="Times New Roman" w:cs="Times New Roman" w:eastAsia="Times New Roman" w:hAnsi="Times New Roman"/>
          <w:sz w:val="14"/>
          <w:szCs w:val="14"/>
          <w:color w:val="auto"/>
        </w:rPr>
      </w:pPr>
    </w:p>
    <w:p>
      <w:pPr>
        <w:ind w:left="2000" w:hanging="353"/>
        <w:spacing w:after="0"/>
        <w:tabs>
          <w:tab w:leader="none" w:pos="20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the provisions for the payment, settlement, transfer or exchange of the units.</w:t>
      </w:r>
    </w:p>
    <w:p>
      <w:pPr>
        <w:spacing w:after="0" w:line="1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94"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89" w:lineRule="exact"/>
        <w:rPr>
          <w:sz w:val="20"/>
          <w:szCs w:val="20"/>
          <w:color w:val="auto"/>
        </w:rPr>
      </w:pPr>
    </w:p>
    <w:p>
      <w:pPr>
        <w:ind w:left="1220" w:right="379" w:firstLine="354"/>
        <w:spacing w:after="0" w:line="300" w:lineRule="auto"/>
        <w:rPr>
          <w:sz w:val="20"/>
          <w:szCs w:val="20"/>
          <w:color w:val="auto"/>
        </w:rPr>
      </w:pPr>
      <w:r>
        <w:rPr>
          <w:rFonts w:ascii="Times New Roman" w:cs="Times New Roman" w:eastAsia="Times New Roman" w:hAnsi="Times New Roman"/>
          <w:sz w:val="14"/>
          <w:szCs w:val="14"/>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9" w:lineRule="exact"/>
        <w:rPr>
          <w:sz w:val="20"/>
          <w:szCs w:val="20"/>
          <w:color w:val="auto"/>
        </w:rPr>
      </w:pPr>
    </w:p>
    <w:p>
      <w:pPr>
        <w:ind w:left="1220" w:right="279" w:firstLine="354"/>
        <w:spacing w:after="0" w:line="300" w:lineRule="auto"/>
        <w:rPr>
          <w:sz w:val="20"/>
          <w:szCs w:val="20"/>
          <w:color w:val="auto"/>
        </w:rPr>
      </w:pPr>
      <w:r>
        <w:rPr>
          <w:rFonts w:ascii="Times New Roman" w:cs="Times New Roman" w:eastAsia="Times New Roman" w:hAnsi="Times New Roman"/>
          <w:sz w:val="14"/>
          <w:szCs w:val="14"/>
          <w:color w:val="auto"/>
        </w:rPr>
        <w:t>Certain legal matters will be passed upon for us by Gibson, Dunn &amp; Crutcher LLP. Any agents or underwriters will be represented by their own legal counsel named in the applicable prospectus supplement.</w:t>
      </w:r>
    </w:p>
    <w:p>
      <w:pPr>
        <w:spacing w:after="0" w:line="2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9" w:lineRule="exact"/>
        <w:rPr>
          <w:sz w:val="20"/>
          <w:szCs w:val="20"/>
          <w:color w:val="auto"/>
        </w:rPr>
      </w:pPr>
    </w:p>
    <w:p>
      <w:pPr>
        <w:ind w:left="1220" w:right="99" w:firstLine="354"/>
        <w:spacing w:after="0" w:line="264" w:lineRule="auto"/>
        <w:rPr>
          <w:sz w:val="20"/>
          <w:szCs w:val="20"/>
          <w:color w:val="auto"/>
        </w:rPr>
      </w:pPr>
      <w:r>
        <w:rPr>
          <w:rFonts w:ascii="Times New Roman" w:cs="Times New Roman" w:eastAsia="Times New Roman" w:hAnsi="Times New Roman"/>
          <w:sz w:val="14"/>
          <w:szCs w:val="14"/>
          <w:color w:val="auto"/>
        </w:rPr>
        <w:t>The consolidated financial statements of The Williams Companies, Inc. appearing in The Williams Companies, Inc.’s Annual Report (Form 10-K) for the year ended December 31, 2025, including the schedule appearing therein, and the effectiveness of The Williams Companies, Inc.’s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and The Williams Companies, Inc. management’s assessment of the effectiveness of internal control over financial reporting as of December 31, 2025 are, and audited financial statements and The Williams Companies, Inc. management’s assessment of internal control over financial reporting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44" w:lineRule="exact"/>
        <w:rPr>
          <w:sz w:val="20"/>
          <w:szCs w:val="20"/>
          <w:color w:val="auto"/>
        </w:rPr>
      </w:pPr>
    </w:p>
    <w:p>
      <w:pPr>
        <w:ind w:left="1220" w:right="159" w:firstLine="354"/>
        <w:spacing w:after="0" w:line="267" w:lineRule="auto"/>
        <w:rPr>
          <w:sz w:val="20"/>
          <w:szCs w:val="20"/>
          <w:color w:val="auto"/>
        </w:rPr>
      </w:pPr>
      <w:r>
        <w:rPr>
          <w:rFonts w:ascii="Times New Roman" w:cs="Times New Roman" w:eastAsia="Times New Roman" w:hAnsi="Times New Roman"/>
          <w:sz w:val="14"/>
          <w:szCs w:val="14"/>
          <w:color w:val="auto"/>
        </w:rPr>
        <w:t>The financial statements of Transcontinental Gas Pipe Line Company, LLC and Northwest Pipeline LLC appearing in The Williams Companies, Inc.’s Annual Report (Form 10-K) for the year ended December 31, 2025,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94"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8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8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102" w:lineRule="exact"/>
        <w:rPr>
          <w:sz w:val="20"/>
          <w:szCs w:val="20"/>
          <w:color w:val="auto"/>
        </w:rPr>
      </w:pPr>
    </w:p>
    <w:p>
      <w:pPr>
        <w:ind w:left="1220" w:right="399" w:firstLine="354"/>
        <w:spacing w:after="0" w:line="300" w:lineRule="auto"/>
        <w:rPr>
          <w:sz w:val="20"/>
          <w:szCs w:val="20"/>
          <w:color w:val="auto"/>
        </w:rPr>
      </w:pPr>
      <w:r>
        <w:rPr>
          <w:rFonts w:ascii="Times New Roman" w:cs="Times New Roman" w:eastAsia="Times New Roman" w:hAnsi="Times New Roman"/>
          <w:sz w:val="14"/>
          <w:szCs w:val="14"/>
          <w:color w:val="auto"/>
        </w:rPr>
        <w:t>The following table sets forth the estimated fees and expenses payable by us in connection with the offering of the securities being registered, other than discounts and commissions.</w:t>
      </w:r>
    </w:p>
    <w:p>
      <w:pPr>
        <w:spacing w:after="0" w:line="155" w:lineRule="exact"/>
        <w:rPr>
          <w:sz w:val="20"/>
          <w:szCs w:val="20"/>
          <w:color w:val="auto"/>
        </w:rPr>
      </w:pPr>
    </w:p>
    <w:tbl>
      <w:tblPr>
        <w:tblLayout w:type="fixed"/>
        <w:tblInd w:w="2280" w:type="dxa"/>
        <w:tblCellMar>
          <w:top w:w="0" w:type="dxa"/>
          <w:left w:w="0" w:type="dxa"/>
          <w:bottom w:w="0" w:type="dxa"/>
          <w:right w:w="0" w:type="dxa"/>
        </w:tblCellMar>
      </w:tblPr>
      <w:tr>
        <w:trPr>
          <w:trHeight w:val="17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and Exchange Commission registration fee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Printing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Transfer agent fees and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Rating agency fees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Trustee’s fees and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r>
      <w:tr>
        <w:trPr>
          <w:trHeight w:val="174"/>
        </w:trPr>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r>
      <w:tr>
        <w:trPr>
          <w:trHeight w:val="20"/>
        </w:trPr>
        <w:tc>
          <w:tcPr>
            <w:tcW w:w="5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2" w:lineRule="exact"/>
        <w:rPr>
          <w:sz w:val="20"/>
          <w:szCs w:val="20"/>
          <w:color w:val="auto"/>
        </w:rPr>
      </w:pPr>
    </w:p>
    <w:p>
      <w:pPr>
        <w:ind w:left="1560" w:hanging="347"/>
        <w:spacing w:after="0"/>
        <w:tabs>
          <w:tab w:leader="none" w:pos="15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Rules 456(b) and 457(r), the registrant is deferring payment of all of the registration fee.</w:t>
      </w:r>
    </w:p>
    <w:p>
      <w:pPr>
        <w:spacing w:after="0" w:line="28" w:lineRule="exact"/>
        <w:rPr>
          <w:sz w:val="20"/>
          <w:szCs w:val="20"/>
          <w:color w:val="auto"/>
        </w:rPr>
      </w:pPr>
    </w:p>
    <w:p>
      <w:pPr>
        <w:ind w:left="1560" w:hanging="347"/>
        <w:spacing w:after="0"/>
        <w:tabs>
          <w:tab w:leader="none" w:pos="15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w:t>
      </w:r>
    </w:p>
    <w:p>
      <w:pPr>
        <w:spacing w:after="0" w:line="25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102" w:lineRule="exact"/>
        <w:rPr>
          <w:sz w:val="20"/>
          <w:szCs w:val="20"/>
          <w:color w:val="auto"/>
        </w:rPr>
      </w:pPr>
    </w:p>
    <w:p>
      <w:pPr>
        <w:ind w:left="1220" w:right="99" w:firstLine="354"/>
        <w:spacing w:after="0" w:line="264" w:lineRule="auto"/>
        <w:rPr>
          <w:sz w:val="20"/>
          <w:szCs w:val="20"/>
          <w:color w:val="auto"/>
        </w:rPr>
      </w:pPr>
      <w:r>
        <w:rPr>
          <w:rFonts w:ascii="Times New Roman" w:cs="Times New Roman" w:eastAsia="Times New Roman" w:hAnsi="Times New Roman"/>
          <w:sz w:val="14"/>
          <w:szCs w:val="14"/>
          <w:color w:val="auto"/>
        </w:rPr>
        <w:t>Williams, a Delaware corporation, is empowered by Section 145 of the DGCL, subject to the procedures and limitations stated therein, to indemnify any person against expenses (including attorneys’ fees), judgments, fines, and amounts paid in settlement actually and reasonably incurred by them in connection with any threatened, pending, or completed action, suit, or proceeding in which such person is made party by reason of their being or having been a director, officer, employee, or agent of Williams. The statute provides that indemnification pursuant to its provisions is not exclusive of other rights of indemnification to which a person may be entitled under any bylaw, agreement, vote of stockholders or disinterested directors, or otherwise. Our Amended and Restated By-Laws provide for indemnification by us of our directors and officers to the fullest extent permitted by the DGCL. In addition, we have entered into indemnity agreements with our directors and certain officers providing for, among other things, the indemnification of and the advancing of expenses to such individuals to the fullest extent permitted by law, and to the extent insurance is maintained, for the continued coverage of such individuals.</w:t>
      </w:r>
    </w:p>
    <w:p>
      <w:pPr>
        <w:spacing w:after="0" w:line="321" w:lineRule="exact"/>
        <w:rPr>
          <w:sz w:val="20"/>
          <w:szCs w:val="20"/>
          <w:color w:val="auto"/>
        </w:rPr>
      </w:pPr>
    </w:p>
    <w:p>
      <w:pPr>
        <w:ind w:left="1220" w:right="119" w:firstLine="354"/>
        <w:spacing w:after="0" w:line="279" w:lineRule="auto"/>
        <w:rPr>
          <w:sz w:val="20"/>
          <w:szCs w:val="20"/>
          <w:color w:val="auto"/>
        </w:rPr>
      </w:pPr>
      <w:r>
        <w:rPr>
          <w:rFonts w:ascii="Times New Roman" w:cs="Times New Roman" w:eastAsia="Times New Roman" w:hAnsi="Times New Roman"/>
          <w:sz w:val="14"/>
          <w:szCs w:val="14"/>
          <w:color w:val="auto"/>
        </w:rPr>
        <w:t>Policies of insurance are maintained by us under which our directors and officers are insured, within the limits and subject to the limitations of the policies, against certain expenses in connection with the defense of actions, suits, or proceedings, and certain liabilities which might be imposed as a result of such actions, suits or proceedings, to which they are parties by reason of being or having been such directors or officers.</w:t>
      </w:r>
    </w:p>
    <w:p>
      <w:pPr>
        <w:spacing w:after="0" w:line="134" w:lineRule="exact"/>
        <w:rPr>
          <w:sz w:val="20"/>
          <w:szCs w:val="20"/>
          <w:color w:val="auto"/>
        </w:rPr>
      </w:pPr>
    </w:p>
    <w:p>
      <w:pPr>
        <w:ind w:left="1220" w:right="159" w:firstLine="354"/>
        <w:spacing w:after="0" w:line="265" w:lineRule="auto"/>
        <w:rPr>
          <w:sz w:val="20"/>
          <w:szCs w:val="20"/>
          <w:color w:val="auto"/>
        </w:rPr>
      </w:pPr>
      <w:r>
        <w:rPr>
          <w:rFonts w:ascii="Times New Roman" w:cs="Times New Roman" w:eastAsia="Times New Roman" w:hAnsi="Times New Roman"/>
          <w:sz w:val="14"/>
          <w:szCs w:val="14"/>
          <w:color w:val="auto"/>
        </w:rPr>
        <w:t>Section 102(b)(7) of the DGCL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(i) for any breach of the director or officer’s duty of loyalty to the corporation or its stockholders, (ii) for acts or omissions not in good faith or which involve intentional misconduct or a knowing violation of law, (iii) with respect to any director, in respect of certain unlawful dividend payments or stock redemptions or repurchases, (iv) for any transaction from which the director derived an improper personal benefit, or (v) with respect to any officer, in any action by or in the right of the corporation. Our Amended and Restated Certificate of Incorporation provides that, to the fullest extent provided by the DGCL, no director shall be personally liable to Williams or its stockholders for monetary damages for a breach of fiduciary duty as a director.</w:t>
      </w:r>
    </w:p>
    <w:p>
      <w:pPr>
        <w:spacing w:after="0" w:line="2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94"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206" w:lineRule="exact"/>
        <w:rPr>
          <w:sz w:val="20"/>
          <w:szCs w:val="20"/>
          <w:color w:val="auto"/>
        </w:rPr>
      </w:pPr>
    </w:p>
    <w:tbl>
      <w:tblPr>
        <w:tblLayout w:type="fixed"/>
        <w:tblInd w:w="1220" w:type="dxa"/>
        <w:tblCellMar>
          <w:top w:w="0" w:type="dxa"/>
          <w:left w:w="0" w:type="dxa"/>
          <w:bottom w:w="0" w:type="dxa"/>
          <w:right w:w="0" w:type="dxa"/>
        </w:tblCellMar>
      </w:tblPr>
      <w:tr>
        <w:trPr>
          <w:trHeight w:val="150"/>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1"/>
              </w:rPr>
              <w:t>Exhibit No.</w:t>
            </w:r>
          </w:p>
        </w:tc>
        <w:tc>
          <w:tcPr>
            <w:tcW w:w="7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220" w:type="dxa"/>
            <w:vAlign w:val="bottom"/>
            <w:tcBorders>
              <w:bottom w:val="single" w:sz="8" w:color="auto"/>
            </w:tcBorders>
            <w:gridSpan w:val="15"/>
          </w:tcPr>
          <w:p>
            <w:pPr>
              <w:ind w:left="12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1.1*</w:t>
            </w:r>
          </w:p>
        </w:tc>
        <w:tc>
          <w:tcPr>
            <w:tcW w:w="700" w:type="dxa"/>
            <w:vAlign w:val="bottom"/>
          </w:tcPr>
          <w:p>
            <w:pPr>
              <w:spacing w:after="0"/>
              <w:rPr>
                <w:sz w:val="20"/>
                <w:szCs w:val="20"/>
                <w:color w:val="auto"/>
              </w:rPr>
            </w:pPr>
          </w:p>
        </w:tc>
        <w:tc>
          <w:tcPr>
            <w:tcW w:w="760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700" w:type="dxa"/>
            <w:vAlign w:val="bottom"/>
          </w:tcPr>
          <w:p>
            <w:pPr>
              <w:spacing w:after="0"/>
              <w:rPr>
                <w:sz w:val="19"/>
                <w:szCs w:val="19"/>
                <w:color w:val="auto"/>
              </w:rPr>
            </w:pPr>
          </w:p>
        </w:tc>
        <w:tc>
          <w:tcPr>
            <w:tcW w:w="7600" w:type="dxa"/>
            <w:vAlign w:val="bottom"/>
            <w:gridSpan w:val="23"/>
          </w:tcPr>
          <w:p>
            <w:pPr>
              <w:spacing w:after="0"/>
              <w:rPr>
                <w:rFonts w:ascii="Times New Roman" w:cs="Times New Roman" w:eastAsia="Times New Roman" w:hAnsi="Times New Roman"/>
                <w:sz w:val="14"/>
                <w:szCs w:val="14"/>
                <w:color w:val="0000EE"/>
              </w:rPr>
            </w:pPr>
            <w:hyperlink r:id="rId65">
              <w:r>
                <w:rPr>
                  <w:rFonts w:ascii="Times New Roman" w:cs="Times New Roman" w:eastAsia="Times New Roman" w:hAnsi="Times New Roman"/>
                  <w:sz w:val="14"/>
                  <w:szCs w:val="14"/>
                  <w:color w:val="0000EE"/>
                </w:rPr>
                <w:t>Amended and Restated Certificate of Incorporation, as supplemented (incorporated by reference to Exhibit 3.(i)1 to the Company’s</w:t>
              </w:r>
            </w:hyperlink>
          </w:p>
        </w:tc>
      </w:tr>
      <w:tr>
        <w:trPr>
          <w:trHeight w:val="154"/>
        </w:trPr>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80" w:type="dxa"/>
            <w:vAlign w:val="bottom"/>
            <w:tcBorders>
              <w:top w:val="single" w:sz="8" w:color="0000EE"/>
              <w:bottom w:val="single" w:sz="8" w:color="0000EE"/>
            </w:tcBorders>
            <w:gridSpan w:val="9"/>
          </w:tcPr>
          <w:p>
            <w:pPr>
              <w:spacing w:after="0" w:line="154" w:lineRule="exact"/>
              <w:rPr>
                <w:rFonts w:ascii="Times New Roman" w:cs="Times New Roman" w:eastAsia="Times New Roman" w:hAnsi="Times New Roman"/>
                <w:sz w:val="14"/>
                <w:szCs w:val="14"/>
                <w:color w:val="0000EE"/>
              </w:rPr>
            </w:pPr>
            <w:hyperlink r:id="rId65">
              <w:r>
                <w:rPr>
                  <w:rFonts w:ascii="Times New Roman" w:cs="Times New Roman" w:eastAsia="Times New Roman" w:hAnsi="Times New Roman"/>
                  <w:sz w:val="14"/>
                  <w:szCs w:val="14"/>
                  <w:color w:val="0000EE"/>
                </w:rPr>
                <w:t>Current Report on Form 8-K filed on May 26, 2010, File No. 001-04174).</w:t>
              </w:r>
            </w:hyperlink>
          </w:p>
        </w:tc>
        <w:tc>
          <w:tcPr>
            <w:tcW w:w="3300" w:type="dxa"/>
            <w:vAlign w:val="bottom"/>
            <w:tcBorders>
              <w:top w:val="single" w:sz="8" w:color="0000EE"/>
            </w:tcBorders>
            <w:gridSpan w:val="13"/>
          </w:tcPr>
          <w:p>
            <w:pPr>
              <w:spacing w:after="0"/>
              <w:rPr>
                <w:sz w:val="13"/>
                <w:szCs w:val="13"/>
                <w:color w:val="auto"/>
              </w:rPr>
            </w:pPr>
          </w:p>
        </w:tc>
        <w:tc>
          <w:tcPr>
            <w:tcW w:w="20" w:type="dxa"/>
            <w:vAlign w:val="bottom"/>
          </w:tcPr>
          <w:p>
            <w:pPr>
              <w:spacing w:after="0"/>
              <w:rPr>
                <w:sz w:val="13"/>
                <w:szCs w:val="13"/>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700" w:type="dxa"/>
            <w:vAlign w:val="bottom"/>
          </w:tcPr>
          <w:p>
            <w:pPr>
              <w:spacing w:after="0"/>
              <w:rPr>
                <w:sz w:val="20"/>
                <w:szCs w:val="20"/>
                <w:color w:val="auto"/>
              </w:rPr>
            </w:pPr>
          </w:p>
        </w:tc>
        <w:tc>
          <w:tcPr>
            <w:tcW w:w="7600" w:type="dxa"/>
            <w:vAlign w:val="bottom"/>
            <w:gridSpan w:val="23"/>
          </w:tcPr>
          <w:p>
            <w:pPr>
              <w:spacing w:after="0"/>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Certificate of Amendment dated August 10, 2018 (incorporated by reference to Exhibit 3.1 to the Company’s Current Report on</w:t>
              </w:r>
            </w:hyperlink>
          </w:p>
        </w:tc>
      </w:tr>
      <w:tr>
        <w:trPr>
          <w:trHeight w:val="154"/>
        </w:trPr>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380" w:type="dxa"/>
            <w:vAlign w:val="bottom"/>
            <w:tcBorders>
              <w:top w:val="single" w:sz="8" w:color="0000EE"/>
              <w:bottom w:val="single" w:sz="8" w:color="0000EE"/>
            </w:tcBorders>
            <w:gridSpan w:val="8"/>
          </w:tcPr>
          <w:p>
            <w:pPr>
              <w:spacing w:after="0" w:line="154" w:lineRule="exact"/>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Form 8-K filed on August 10, 2018, File No. 001-04174).</w:t>
              </w:r>
            </w:hyperlink>
          </w:p>
        </w:tc>
        <w:tc>
          <w:tcPr>
            <w:tcW w:w="4060" w:type="dxa"/>
            <w:vAlign w:val="bottom"/>
            <w:tcBorders>
              <w:top w:val="single" w:sz="8" w:color="0000EE"/>
            </w:tcBorders>
            <w:gridSpan w:val="10"/>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4.3</w:t>
            </w:r>
          </w:p>
        </w:tc>
        <w:tc>
          <w:tcPr>
            <w:tcW w:w="700" w:type="dxa"/>
            <w:vAlign w:val="bottom"/>
          </w:tcPr>
          <w:p>
            <w:pPr>
              <w:spacing w:after="0"/>
              <w:rPr>
                <w:sz w:val="20"/>
                <w:szCs w:val="20"/>
                <w:color w:val="auto"/>
              </w:rPr>
            </w:pPr>
          </w:p>
        </w:tc>
        <w:tc>
          <w:tcPr>
            <w:tcW w:w="7500" w:type="dxa"/>
            <w:vAlign w:val="bottom"/>
            <w:tcBorders>
              <w:bottom w:val="single" w:sz="8" w:color="0000EE"/>
            </w:tcBorders>
            <w:gridSpan w:val="21"/>
          </w:tcPr>
          <w:p>
            <w:pPr>
              <w:spacing w:after="0"/>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By-Laws of The Williams Companies, Inc., as last amended effective October 25, 2022 (incorporated by reference to Exhibit 3.4</w:t>
              </w:r>
            </w:hyperlink>
          </w:p>
        </w:tc>
        <w:tc>
          <w:tcPr>
            <w:tcW w:w="100" w:type="dxa"/>
            <w:vAlign w:val="bottom"/>
            <w:gridSpan w:val="2"/>
          </w:tcPr>
          <w:p>
            <w:pPr>
              <w:spacing w:after="0"/>
              <w:rPr>
                <w:sz w:val="20"/>
                <w:szCs w:val="20"/>
                <w:color w:val="auto"/>
              </w:rPr>
            </w:pPr>
          </w:p>
        </w:tc>
      </w:tr>
      <w:tr>
        <w:trPr>
          <w:trHeight w:val="154"/>
        </w:trPr>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0" w:type="dxa"/>
            <w:vAlign w:val="bottom"/>
            <w:gridSpan w:val="23"/>
          </w:tcPr>
          <w:p>
            <w:pPr>
              <w:spacing w:after="0" w:line="154" w:lineRule="exact"/>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to Company’s Quarterly Report on Form 10-Q filed on October 31, 2022, File No. 001-04174).</w:t>
              </w:r>
            </w:hyperlink>
          </w:p>
        </w:tc>
      </w:tr>
      <w:tr>
        <w:trPr>
          <w:trHeight w:val="20"/>
        </w:trPr>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4.4</w:t>
            </w:r>
          </w:p>
        </w:tc>
        <w:tc>
          <w:tcPr>
            <w:tcW w:w="700" w:type="dxa"/>
            <w:vAlign w:val="bottom"/>
          </w:tcPr>
          <w:p>
            <w:pPr>
              <w:spacing w:after="0"/>
              <w:rPr>
                <w:sz w:val="20"/>
                <w:szCs w:val="20"/>
                <w:color w:val="auto"/>
              </w:rPr>
            </w:pPr>
          </w:p>
        </w:tc>
        <w:tc>
          <w:tcPr>
            <w:tcW w:w="7400" w:type="dxa"/>
            <w:vAlign w:val="bottom"/>
            <w:tcBorders>
              <w:bottom w:val="single" w:sz="8" w:color="0000EE"/>
            </w:tcBorders>
            <w:gridSpan w:val="17"/>
          </w:tcPr>
          <w:p>
            <w:pPr>
              <w:spacing w:after="0"/>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Form of Common Stock Certificate (incorporated by reference to Exhibit 4.5 to the Company’s Registration Statement on Form</w:t>
              </w:r>
            </w:hyperlink>
          </w:p>
        </w:tc>
        <w:tc>
          <w:tcPr>
            <w:tcW w:w="200" w:type="dxa"/>
            <w:vAlign w:val="bottom"/>
            <w:gridSpan w:val="6"/>
          </w:tcPr>
          <w:p>
            <w:pPr>
              <w:spacing w:after="0"/>
              <w:rPr>
                <w:sz w:val="20"/>
                <w:szCs w:val="20"/>
                <w:color w:val="auto"/>
              </w:rPr>
            </w:pPr>
          </w:p>
        </w:tc>
      </w:tr>
      <w:tr>
        <w:trPr>
          <w:trHeight w:val="154"/>
        </w:trPr>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0" w:type="dxa"/>
            <w:vAlign w:val="bottom"/>
            <w:gridSpan w:val="23"/>
          </w:tcPr>
          <w:p>
            <w:pPr>
              <w:spacing w:after="0" w:line="154" w:lineRule="exact"/>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S-3 filed May 19, 2006, File No. 333-134293).</w:t>
              </w:r>
            </w:hyperlink>
          </w:p>
        </w:tc>
      </w:tr>
      <w:tr>
        <w:trPr>
          <w:trHeight w:val="20"/>
        </w:trPr>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4.5</w:t>
            </w:r>
          </w:p>
        </w:tc>
        <w:tc>
          <w:tcPr>
            <w:tcW w:w="700" w:type="dxa"/>
            <w:vAlign w:val="bottom"/>
          </w:tcPr>
          <w:p>
            <w:pPr>
              <w:spacing w:after="0"/>
              <w:rPr>
                <w:sz w:val="20"/>
                <w:szCs w:val="20"/>
                <w:color w:val="auto"/>
              </w:rPr>
            </w:pPr>
          </w:p>
        </w:tc>
        <w:tc>
          <w:tcPr>
            <w:tcW w:w="7600" w:type="dxa"/>
            <w:vAlign w:val="bottom"/>
            <w:gridSpan w:val="23"/>
          </w:tcPr>
          <w:p>
            <w:pPr>
              <w:spacing w:after="0"/>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Certificate of Designations of Series B Preferred Stock of the Williams Companies, Inc. (incorporated by reference to Exhibit 3.1</w:t>
              </w:r>
            </w:hyperlink>
          </w:p>
        </w:tc>
      </w:tr>
      <w:tr>
        <w:trPr>
          <w:trHeight w:val="154"/>
        </w:trPr>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320" w:type="dxa"/>
            <w:vAlign w:val="bottom"/>
            <w:tcBorders>
              <w:top w:val="single" w:sz="8" w:color="0000EE"/>
              <w:bottom w:val="single" w:sz="8" w:color="0000EE"/>
            </w:tcBorders>
            <w:gridSpan w:val="11"/>
          </w:tcPr>
          <w:p>
            <w:pPr>
              <w:spacing w:after="0" w:line="154" w:lineRule="exact"/>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to the Company’s Current Report on Form 8-K filed on July 17, 2018, File No. 001-04174).</w:t>
              </w:r>
            </w:hyperlink>
          </w:p>
        </w:tc>
        <w:tc>
          <w:tcPr>
            <w:tcW w:w="2160" w:type="dxa"/>
            <w:vAlign w:val="bottom"/>
            <w:tcBorders>
              <w:top w:val="single" w:sz="8" w:color="0000EE"/>
            </w:tcBorders>
            <w:gridSpan w:val="9"/>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4.6</w:t>
            </w:r>
          </w:p>
        </w:tc>
        <w:tc>
          <w:tcPr>
            <w:tcW w:w="700" w:type="dxa"/>
            <w:vAlign w:val="bottom"/>
          </w:tcPr>
          <w:p>
            <w:pPr>
              <w:spacing w:after="0"/>
              <w:rPr>
                <w:sz w:val="20"/>
                <w:szCs w:val="20"/>
                <w:color w:val="auto"/>
              </w:rPr>
            </w:pPr>
          </w:p>
        </w:tc>
        <w:tc>
          <w:tcPr>
            <w:tcW w:w="7600" w:type="dxa"/>
            <w:vAlign w:val="bottom"/>
            <w:gridSpan w:val="23"/>
          </w:tcPr>
          <w:p>
            <w:pPr>
              <w:spacing w:after="0"/>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Indenture, dated December 18, 2012 between the Williams Companies, Inc. and The Bank of New York Mellon Trust Company,</w:t>
              </w:r>
            </w:hyperlink>
          </w:p>
        </w:tc>
      </w:tr>
      <w:tr>
        <w:trPr>
          <w:trHeight w:val="154"/>
        </w:trPr>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380" w:type="dxa"/>
            <w:vAlign w:val="bottom"/>
            <w:tcBorders>
              <w:top w:val="single" w:sz="8" w:color="0000EE"/>
              <w:bottom w:val="single" w:sz="8" w:color="0000EE"/>
            </w:tcBorders>
            <w:gridSpan w:val="16"/>
          </w:tcPr>
          <w:p>
            <w:pPr>
              <w:spacing w:after="0" w:line="154" w:lineRule="exact"/>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N.A. as trustee (incorporated by reference to Exhibit 4.1 to the Company’s Current Report on Form 8-K filed on December 20,</w:t>
              </w:r>
            </w:hyperlink>
          </w:p>
        </w:tc>
        <w:tc>
          <w:tcPr>
            <w:tcW w:w="80" w:type="dxa"/>
            <w:vAlign w:val="bottom"/>
            <w:tcBorders>
              <w:top w:val="single" w:sz="8" w:color="0000EE"/>
            </w:tcBorders>
            <w:gridSpan w:val="3"/>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154"/>
        </w:trPr>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80" w:type="dxa"/>
            <w:vAlign w:val="bottom"/>
            <w:tcBorders>
              <w:bottom w:val="single" w:sz="8" w:color="0000EE"/>
            </w:tcBorders>
            <w:gridSpan w:val="4"/>
          </w:tcPr>
          <w:p>
            <w:pPr>
              <w:spacing w:after="0" w:line="154" w:lineRule="exact"/>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2012, File No. 001-04174).</w:t>
              </w:r>
            </w:hyperlink>
          </w:p>
        </w:tc>
        <w:tc>
          <w:tcPr>
            <w:tcW w:w="6020" w:type="dxa"/>
            <w:vAlign w:val="bottom"/>
            <w:gridSpan w:val="19"/>
          </w:tcPr>
          <w:p>
            <w:pPr>
              <w:spacing w:after="0"/>
              <w:rPr>
                <w:sz w:val="13"/>
                <w:szCs w:val="13"/>
                <w:color w:val="auto"/>
              </w:rPr>
            </w:pPr>
          </w:p>
        </w:tc>
      </w:tr>
      <w:tr>
        <w:trPr>
          <w:trHeight w:val="274"/>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4.7*</w:t>
            </w:r>
          </w:p>
        </w:tc>
        <w:tc>
          <w:tcPr>
            <w:tcW w:w="700" w:type="dxa"/>
            <w:vAlign w:val="bottom"/>
          </w:tcPr>
          <w:p>
            <w:pPr>
              <w:spacing w:after="0"/>
              <w:rPr>
                <w:sz w:val="23"/>
                <w:szCs w:val="23"/>
                <w:color w:val="auto"/>
              </w:rPr>
            </w:pPr>
          </w:p>
        </w:tc>
        <w:tc>
          <w:tcPr>
            <w:tcW w:w="760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Form of Supplemental Indenture.</w:t>
            </w:r>
          </w:p>
        </w:tc>
      </w:tr>
      <w:tr>
        <w:trPr>
          <w:trHeight w:val="26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4.8*</w:t>
            </w:r>
          </w:p>
        </w:tc>
        <w:tc>
          <w:tcPr>
            <w:tcW w:w="700" w:type="dxa"/>
            <w:vAlign w:val="bottom"/>
          </w:tcPr>
          <w:p>
            <w:pPr>
              <w:spacing w:after="0"/>
              <w:rPr>
                <w:sz w:val="22"/>
                <w:szCs w:val="22"/>
                <w:color w:val="auto"/>
              </w:rPr>
            </w:pPr>
          </w:p>
        </w:tc>
        <w:tc>
          <w:tcPr>
            <w:tcW w:w="760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Form of Global Note.</w:t>
            </w:r>
          </w:p>
        </w:tc>
      </w:tr>
      <w:tr>
        <w:trPr>
          <w:trHeight w:val="26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4.9*</w:t>
            </w:r>
          </w:p>
        </w:tc>
        <w:tc>
          <w:tcPr>
            <w:tcW w:w="700" w:type="dxa"/>
            <w:vAlign w:val="bottom"/>
          </w:tcPr>
          <w:p>
            <w:pPr>
              <w:spacing w:after="0"/>
              <w:rPr>
                <w:sz w:val="22"/>
                <w:szCs w:val="22"/>
                <w:color w:val="auto"/>
              </w:rPr>
            </w:pPr>
          </w:p>
        </w:tc>
        <w:tc>
          <w:tcPr>
            <w:tcW w:w="760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Form of Certificate of Designation for Preferred Stock.</w:t>
            </w:r>
          </w:p>
        </w:tc>
      </w:tr>
      <w:tr>
        <w:trPr>
          <w:trHeight w:val="26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4.10*</w:t>
            </w:r>
          </w:p>
        </w:tc>
        <w:tc>
          <w:tcPr>
            <w:tcW w:w="700" w:type="dxa"/>
            <w:vAlign w:val="bottom"/>
          </w:tcPr>
          <w:p>
            <w:pPr>
              <w:spacing w:after="0"/>
              <w:rPr>
                <w:sz w:val="22"/>
                <w:szCs w:val="22"/>
                <w:color w:val="auto"/>
              </w:rPr>
            </w:pPr>
          </w:p>
        </w:tc>
        <w:tc>
          <w:tcPr>
            <w:tcW w:w="760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Form of Warrant Agreement.</w:t>
            </w:r>
          </w:p>
        </w:tc>
      </w:tr>
      <w:tr>
        <w:trPr>
          <w:trHeight w:val="26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4.11*</w:t>
            </w:r>
          </w:p>
        </w:tc>
        <w:tc>
          <w:tcPr>
            <w:tcW w:w="700" w:type="dxa"/>
            <w:vAlign w:val="bottom"/>
          </w:tcPr>
          <w:p>
            <w:pPr>
              <w:spacing w:after="0"/>
              <w:rPr>
                <w:sz w:val="22"/>
                <w:szCs w:val="22"/>
                <w:color w:val="auto"/>
              </w:rPr>
            </w:pPr>
          </w:p>
        </w:tc>
        <w:tc>
          <w:tcPr>
            <w:tcW w:w="760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Form of Purchase Contract Agreement.</w:t>
            </w:r>
          </w:p>
        </w:tc>
      </w:tr>
      <w:tr>
        <w:trPr>
          <w:trHeight w:val="26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4.12*</w:t>
            </w:r>
          </w:p>
        </w:tc>
        <w:tc>
          <w:tcPr>
            <w:tcW w:w="700" w:type="dxa"/>
            <w:vAlign w:val="bottom"/>
          </w:tcPr>
          <w:p>
            <w:pPr>
              <w:spacing w:after="0"/>
              <w:rPr>
                <w:sz w:val="22"/>
                <w:szCs w:val="22"/>
                <w:color w:val="auto"/>
              </w:rPr>
            </w:pPr>
          </w:p>
        </w:tc>
        <w:tc>
          <w:tcPr>
            <w:tcW w:w="760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Form of Unit Agreement.</w:t>
            </w:r>
          </w:p>
        </w:tc>
      </w:tr>
      <w:tr>
        <w:trPr>
          <w:trHeight w:val="26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4.13*</w:t>
            </w:r>
          </w:p>
        </w:tc>
        <w:tc>
          <w:tcPr>
            <w:tcW w:w="700" w:type="dxa"/>
            <w:vAlign w:val="bottom"/>
          </w:tcPr>
          <w:p>
            <w:pPr>
              <w:spacing w:after="0"/>
              <w:rPr>
                <w:sz w:val="22"/>
                <w:szCs w:val="22"/>
                <w:color w:val="auto"/>
              </w:rPr>
            </w:pPr>
          </w:p>
        </w:tc>
        <w:tc>
          <w:tcPr>
            <w:tcW w:w="760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Form of Unit Certificate.</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700" w:type="dxa"/>
            <w:vAlign w:val="bottom"/>
          </w:tcPr>
          <w:p>
            <w:pPr>
              <w:spacing w:after="0"/>
              <w:rPr>
                <w:sz w:val="19"/>
                <w:szCs w:val="19"/>
                <w:color w:val="auto"/>
              </w:rPr>
            </w:pPr>
          </w:p>
        </w:tc>
        <w:tc>
          <w:tcPr>
            <w:tcW w:w="24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Opinion of Gibson, Dunn &amp; Crutcher LLP.</w:t>
            </w:r>
          </w:p>
        </w:tc>
        <w:tc>
          <w:tcPr>
            <w:tcW w:w="5120" w:type="dxa"/>
            <w:vAlign w:val="bottom"/>
            <w:gridSpan w:val="18"/>
          </w:tcPr>
          <w:p>
            <w:pPr>
              <w:spacing w:after="0"/>
              <w:rPr>
                <w:sz w:val="19"/>
                <w:szCs w:val="19"/>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700" w:type="dxa"/>
            <w:vAlign w:val="bottom"/>
          </w:tcPr>
          <w:p>
            <w:pPr>
              <w:spacing w:after="0"/>
              <w:rPr>
                <w:sz w:val="20"/>
                <w:szCs w:val="20"/>
                <w:color w:val="auto"/>
              </w:rPr>
            </w:pPr>
          </w:p>
        </w:tc>
        <w:tc>
          <w:tcPr>
            <w:tcW w:w="73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4"/>
                <w:szCs w:val="14"/>
                <w:color w:val="0000EE"/>
              </w:rPr>
              <w:t>Consent of Ernst &amp; Young LLP, independent registered public accounting firm, with respect to the financial statements of The</w:t>
            </w:r>
          </w:p>
        </w:tc>
        <w:tc>
          <w:tcPr>
            <w:tcW w:w="300" w:type="dxa"/>
            <w:vAlign w:val="bottom"/>
            <w:gridSpan w:val="8"/>
          </w:tcPr>
          <w:p>
            <w:pPr>
              <w:spacing w:after="0"/>
              <w:rPr>
                <w:sz w:val="20"/>
                <w:szCs w:val="20"/>
                <w:color w:val="auto"/>
              </w:rPr>
            </w:pPr>
          </w:p>
        </w:tc>
      </w:tr>
      <w:tr>
        <w:trPr>
          <w:trHeight w:val="154"/>
        </w:trPr>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00" w:type="dxa"/>
            <w:vAlign w:val="bottom"/>
            <w:tcBorders>
              <w:bottom w:val="single" w:sz="8" w:color="0000EE"/>
            </w:tcBorders>
            <w:gridSpan w:val="3"/>
          </w:tcPr>
          <w:p>
            <w:pPr>
              <w:spacing w:after="0" w:line="154" w:lineRule="exact"/>
              <w:rPr>
                <w:sz w:val="20"/>
                <w:szCs w:val="20"/>
                <w:color w:val="auto"/>
              </w:rPr>
            </w:pPr>
            <w:r>
              <w:rPr>
                <w:rFonts w:ascii="Times New Roman" w:cs="Times New Roman" w:eastAsia="Times New Roman" w:hAnsi="Times New Roman"/>
                <w:sz w:val="14"/>
                <w:szCs w:val="14"/>
                <w:color w:val="0000EE"/>
              </w:rPr>
              <w:t>Williams Companies, Inc.</w:t>
            </w:r>
          </w:p>
        </w:tc>
        <w:tc>
          <w:tcPr>
            <w:tcW w:w="6100" w:type="dxa"/>
            <w:vAlign w:val="bottom"/>
            <w:gridSpan w:val="20"/>
          </w:tcPr>
          <w:p>
            <w:pPr>
              <w:spacing w:after="0"/>
              <w:rPr>
                <w:sz w:val="13"/>
                <w:szCs w:val="13"/>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700" w:type="dxa"/>
            <w:vAlign w:val="bottom"/>
          </w:tcPr>
          <w:p>
            <w:pPr>
              <w:spacing w:after="0"/>
              <w:rPr>
                <w:sz w:val="20"/>
                <w:szCs w:val="20"/>
                <w:color w:val="auto"/>
              </w:rPr>
            </w:pPr>
          </w:p>
        </w:tc>
        <w:tc>
          <w:tcPr>
            <w:tcW w:w="70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EE"/>
              </w:rPr>
              <w:t>Consent of Ernst &amp; Young LLP, independent registered public accounting firm, with respect to the financial statements of</w:t>
            </w:r>
          </w:p>
        </w:tc>
        <w:tc>
          <w:tcPr>
            <w:tcW w:w="560" w:type="dxa"/>
            <w:vAlign w:val="bottom"/>
            <w:gridSpan w:val="9"/>
          </w:tcPr>
          <w:p>
            <w:pPr>
              <w:spacing w:after="0"/>
              <w:rPr>
                <w:sz w:val="20"/>
                <w:szCs w:val="20"/>
                <w:color w:val="auto"/>
              </w:rPr>
            </w:pPr>
          </w:p>
        </w:tc>
      </w:tr>
      <w:tr>
        <w:trPr>
          <w:trHeight w:val="154"/>
        </w:trPr>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0" w:type="dxa"/>
            <w:vAlign w:val="bottom"/>
            <w:gridSpan w:val="23"/>
          </w:tcPr>
          <w:p>
            <w:pPr>
              <w:spacing w:after="0" w:line="154" w:lineRule="exact"/>
              <w:rPr>
                <w:sz w:val="20"/>
                <w:szCs w:val="20"/>
                <w:color w:val="auto"/>
              </w:rPr>
            </w:pPr>
            <w:r>
              <w:rPr>
                <w:rFonts w:ascii="Times New Roman" w:cs="Times New Roman" w:eastAsia="Times New Roman" w:hAnsi="Times New Roman"/>
                <w:sz w:val="14"/>
                <w:szCs w:val="14"/>
                <w:color w:val="0000EE"/>
              </w:rPr>
              <w:t>Transcontinental Gas Pipe Line Company, LLC.</w:t>
            </w:r>
          </w:p>
        </w:tc>
      </w:tr>
      <w:tr>
        <w:trPr>
          <w:trHeight w:val="20"/>
        </w:trPr>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23.3**</w:t>
            </w:r>
          </w:p>
        </w:tc>
        <w:tc>
          <w:tcPr>
            <w:tcW w:w="700" w:type="dxa"/>
            <w:vAlign w:val="bottom"/>
          </w:tcPr>
          <w:p>
            <w:pPr>
              <w:spacing w:after="0"/>
              <w:rPr>
                <w:sz w:val="20"/>
                <w:szCs w:val="20"/>
                <w:color w:val="auto"/>
              </w:rPr>
            </w:pPr>
          </w:p>
        </w:tc>
        <w:tc>
          <w:tcPr>
            <w:tcW w:w="70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EE"/>
              </w:rPr>
              <w:t>Consent of Ernst &amp; Young LLP, independent registered public accounting firm, with respect to the financial statements of</w:t>
            </w:r>
          </w:p>
        </w:tc>
        <w:tc>
          <w:tcPr>
            <w:tcW w:w="560" w:type="dxa"/>
            <w:vAlign w:val="bottom"/>
            <w:gridSpan w:val="9"/>
          </w:tcPr>
          <w:p>
            <w:pPr>
              <w:spacing w:after="0"/>
              <w:rPr>
                <w:sz w:val="20"/>
                <w:szCs w:val="20"/>
                <w:color w:val="auto"/>
              </w:rPr>
            </w:pPr>
          </w:p>
        </w:tc>
      </w:tr>
      <w:tr>
        <w:trPr>
          <w:trHeight w:val="154"/>
        </w:trPr>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60" w:type="dxa"/>
            <w:vAlign w:val="bottom"/>
            <w:tcBorders>
              <w:bottom w:val="single" w:sz="8" w:color="0000EE"/>
            </w:tcBorders>
            <w:gridSpan w:val="2"/>
          </w:tcPr>
          <w:p>
            <w:pPr>
              <w:spacing w:after="0" w:line="154" w:lineRule="exact"/>
              <w:rPr>
                <w:sz w:val="20"/>
                <w:szCs w:val="20"/>
                <w:color w:val="auto"/>
              </w:rPr>
            </w:pPr>
            <w:r>
              <w:rPr>
                <w:rFonts w:ascii="Times New Roman" w:cs="Times New Roman" w:eastAsia="Times New Roman" w:hAnsi="Times New Roman"/>
                <w:sz w:val="14"/>
                <w:szCs w:val="14"/>
                <w:color w:val="0000EE"/>
              </w:rPr>
              <w:t>Northwest Pipeline LLC.</w:t>
            </w:r>
          </w:p>
        </w:tc>
        <w:tc>
          <w:tcPr>
            <w:tcW w:w="6140" w:type="dxa"/>
            <w:vAlign w:val="bottom"/>
            <w:gridSpan w:val="21"/>
          </w:tcPr>
          <w:p>
            <w:pPr>
              <w:spacing w:after="0"/>
              <w:rPr>
                <w:sz w:val="13"/>
                <w:szCs w:val="13"/>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23.4**</w:t>
            </w:r>
          </w:p>
        </w:tc>
        <w:tc>
          <w:tcPr>
            <w:tcW w:w="700" w:type="dxa"/>
            <w:vAlign w:val="bottom"/>
          </w:tcPr>
          <w:p>
            <w:pPr>
              <w:spacing w:after="0"/>
              <w:rPr>
                <w:sz w:val="20"/>
                <w:szCs w:val="20"/>
                <w:color w:val="auto"/>
              </w:rPr>
            </w:pPr>
          </w:p>
        </w:tc>
        <w:tc>
          <w:tcPr>
            <w:tcW w:w="56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EE"/>
              </w:rPr>
              <w:t>Consent of Gibson, Dunn &amp; Crutcher LLP (included in Exhibit 5.1 to this registration statement).</w:t>
            </w:r>
          </w:p>
        </w:tc>
        <w:tc>
          <w:tcPr>
            <w:tcW w:w="1960" w:type="dxa"/>
            <w:vAlign w:val="bottom"/>
            <w:gridSpan w:val="10"/>
          </w:tcPr>
          <w:p>
            <w:pPr>
              <w:spacing w:after="0"/>
              <w:rPr>
                <w:sz w:val="20"/>
                <w:szCs w:val="20"/>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25.1**</w:t>
            </w:r>
          </w:p>
        </w:tc>
        <w:tc>
          <w:tcPr>
            <w:tcW w:w="700" w:type="dxa"/>
            <w:vAlign w:val="bottom"/>
          </w:tcPr>
          <w:p>
            <w:pPr>
              <w:spacing w:after="0"/>
              <w:rPr>
                <w:sz w:val="20"/>
                <w:szCs w:val="20"/>
                <w:color w:val="auto"/>
              </w:rPr>
            </w:pPr>
          </w:p>
        </w:tc>
        <w:tc>
          <w:tcPr>
            <w:tcW w:w="7600" w:type="dxa"/>
            <w:vAlign w:val="bottom"/>
            <w:gridSpan w:val="23"/>
          </w:tcPr>
          <w:p>
            <w:pPr>
              <w:spacing w:after="0"/>
              <w:rPr>
                <w:sz w:val="20"/>
                <w:szCs w:val="20"/>
                <w:color w:val="auto"/>
              </w:rPr>
            </w:pPr>
            <w:r>
              <w:rPr>
                <w:rFonts w:ascii="Times New Roman" w:cs="Times New Roman" w:eastAsia="Times New Roman" w:hAnsi="Times New Roman"/>
                <w:sz w:val="14"/>
                <w:szCs w:val="14"/>
                <w:color w:val="0000EE"/>
              </w:rPr>
              <w:t>Statement of Eligibility of The Bank of New York Mellon Trust Company, N.A., as trustee with respect to the Indenture dated as</w:t>
            </w:r>
          </w:p>
        </w:tc>
      </w:tr>
      <w:tr>
        <w:trPr>
          <w:trHeight w:val="154"/>
        </w:trPr>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0" w:type="dxa"/>
            <w:vAlign w:val="bottom"/>
            <w:tcBorders>
              <w:top w:val="single" w:sz="8" w:color="0000EE"/>
              <w:bottom w:val="single" w:sz="8" w:color="0000EE"/>
            </w:tcBorders>
            <w:gridSpan w:val="10"/>
          </w:tcPr>
          <w:p>
            <w:pPr>
              <w:spacing w:after="0" w:line="154" w:lineRule="exact"/>
              <w:rPr>
                <w:sz w:val="20"/>
                <w:szCs w:val="20"/>
                <w:color w:val="auto"/>
              </w:rPr>
            </w:pPr>
            <w:r>
              <w:rPr>
                <w:rFonts w:ascii="Times New Roman" w:cs="Times New Roman" w:eastAsia="Times New Roman" w:hAnsi="Times New Roman"/>
                <w:sz w:val="14"/>
                <w:szCs w:val="14"/>
                <w:color w:val="0000EE"/>
              </w:rPr>
              <w:t>of December 18, 2012 and under the Trust Indenture Act of 1939, as amended.</w:t>
            </w:r>
          </w:p>
        </w:tc>
        <w:tc>
          <w:tcPr>
            <w:tcW w:w="2840" w:type="dxa"/>
            <w:vAlign w:val="bottom"/>
            <w:tcBorders>
              <w:top w:val="single" w:sz="8" w:color="0000EE"/>
            </w:tcBorders>
            <w:gridSpan w:val="8"/>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700" w:type="dxa"/>
            <w:vAlign w:val="bottom"/>
          </w:tcPr>
          <w:p>
            <w:pPr>
              <w:spacing w:after="0"/>
              <w:rPr>
                <w:sz w:val="20"/>
                <w:szCs w:val="20"/>
                <w:color w:val="auto"/>
              </w:rPr>
            </w:pPr>
          </w:p>
        </w:tc>
        <w:tc>
          <w:tcPr>
            <w:tcW w:w="9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9"/>
              </w:rPr>
              <w:t>Filing Fee Table</w:t>
            </w:r>
          </w:p>
        </w:tc>
        <w:tc>
          <w:tcPr>
            <w:tcW w:w="6660" w:type="dxa"/>
            <w:vAlign w:val="bottom"/>
            <w:gridSpan w:val="22"/>
          </w:tcPr>
          <w:p>
            <w:pPr>
              <w:spacing w:after="0"/>
              <w:rPr>
                <w:sz w:val="20"/>
                <w:szCs w:val="20"/>
                <w:color w:val="auto"/>
              </w:rPr>
            </w:pPr>
          </w:p>
        </w:tc>
      </w:tr>
    </w:tbl>
    <w:p>
      <w:pPr>
        <w:spacing w:after="0" w:line="203" w:lineRule="exact"/>
        <w:rPr>
          <w:sz w:val="20"/>
          <w:szCs w:val="20"/>
          <w:color w:val="auto"/>
        </w:rPr>
      </w:pPr>
    </w:p>
    <w:p>
      <w:pPr>
        <w:ind w:left="1220" w:right="1599" w:hanging="7"/>
        <w:spacing w:after="0" w:line="300" w:lineRule="auto"/>
        <w:tabs>
          <w:tab w:leader="none" w:pos="156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hereto or as an exhibit to a Current Report on Form 8-K and incorporated herein by reference. ** Filed herewith.</w:t>
      </w:r>
    </w:p>
    <w:p>
      <w:pPr>
        <w:spacing w:after="0" w:line="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94"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0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8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87" w:lineRule="exact"/>
        <w:rPr>
          <w:sz w:val="20"/>
          <w:szCs w:val="20"/>
          <w:color w:val="auto"/>
        </w:rPr>
      </w:pPr>
    </w:p>
    <w:p>
      <w:pPr>
        <w:ind w:left="2080" w:hanging="173"/>
        <w:spacing w:after="0"/>
        <w:tabs>
          <w:tab w:leader="none" w:pos="20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86" w:lineRule="exact"/>
        <w:rPr>
          <w:rFonts w:ascii="Times New Roman" w:cs="Times New Roman" w:eastAsia="Times New Roman" w:hAnsi="Times New Roman"/>
          <w:sz w:val="14"/>
          <w:szCs w:val="14"/>
          <w:color w:val="auto"/>
        </w:rPr>
      </w:pPr>
    </w:p>
    <w:p>
      <w:pPr>
        <w:ind w:left="1560" w:right="179" w:firstLine="347"/>
        <w:spacing w:after="0" w:line="266" w:lineRule="auto"/>
        <w:tabs>
          <w:tab w:leader="none" w:pos="2113"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Filing Fee Tables” table in the effective registration statement; and</w:t>
      </w:r>
    </w:p>
    <w:p>
      <w:pPr>
        <w:spacing w:after="0" w:line="319" w:lineRule="exact"/>
        <w:rPr>
          <w:rFonts w:ascii="Times New Roman" w:cs="Times New Roman" w:eastAsia="Times New Roman" w:hAnsi="Times New Roman"/>
          <w:sz w:val="14"/>
          <w:szCs w:val="14"/>
          <w:color w:val="auto"/>
        </w:rPr>
      </w:pPr>
    </w:p>
    <w:p>
      <w:pPr>
        <w:ind w:left="1560" w:right="179" w:firstLine="347"/>
        <w:spacing w:after="0" w:line="300" w:lineRule="auto"/>
        <w:tabs>
          <w:tab w:leader="none" w:pos="2154"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17" w:lineRule="exact"/>
        <w:rPr>
          <w:sz w:val="20"/>
          <w:szCs w:val="20"/>
          <w:color w:val="auto"/>
        </w:rPr>
      </w:pPr>
    </w:p>
    <w:p>
      <w:pPr>
        <w:ind w:left="1220" w:right="239"/>
        <w:spacing w:after="0" w:line="273"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(i), (ii) and (iii) do not apply if the information required to be included in a post-effective amendment by those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38" w:lineRule="exact"/>
        <w:rPr>
          <w:sz w:val="20"/>
          <w:szCs w:val="20"/>
          <w:color w:val="auto"/>
        </w:rPr>
      </w:pPr>
    </w:p>
    <w:p>
      <w:pPr>
        <w:ind w:left="1220" w:right="199" w:firstLine="354"/>
        <w:spacing w:after="0" w:line="279" w:lineRule="auto"/>
        <w:rPr>
          <w:sz w:val="20"/>
          <w:szCs w:val="20"/>
          <w:color w:val="auto"/>
        </w:rPr>
      </w:pPr>
      <w:r>
        <w:rPr>
          <w:rFonts w:ascii="Times New Roman" w:cs="Times New Roman" w:eastAsia="Times New Roman" w:hAnsi="Times New Roman"/>
          <w:sz w:val="14"/>
          <w:szCs w:val="14"/>
          <w:color w:val="auto"/>
        </w:rPr>
        <w:t xml:space="preserve">That, for the purpose of determining any liability under the Securities Act, each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134" w:lineRule="exact"/>
        <w:rPr>
          <w:sz w:val="20"/>
          <w:szCs w:val="20"/>
          <w:color w:val="auto"/>
        </w:rPr>
      </w:pPr>
    </w:p>
    <w:p>
      <w:pPr>
        <w:ind w:left="1220" w:right="99" w:firstLine="354"/>
        <w:spacing w:after="0" w:line="300" w:lineRule="auto"/>
        <w:rPr>
          <w:sz w:val="20"/>
          <w:szCs w:val="20"/>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1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00" w:lineRule="exact"/>
        <w:rPr>
          <w:sz w:val="20"/>
          <w:szCs w:val="20"/>
          <w:color w:val="auto"/>
        </w:rPr>
      </w:pPr>
    </w:p>
    <w:p>
      <w:pPr>
        <w:ind w:left="1560" w:right="199" w:firstLine="347"/>
        <w:spacing w:after="0" w:line="300" w:lineRule="auto"/>
        <w:tabs>
          <w:tab w:leader="none" w:pos="213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31" w:lineRule="exact"/>
        <w:rPr>
          <w:rFonts w:ascii="Times New Roman" w:cs="Times New Roman" w:eastAsia="Times New Roman" w:hAnsi="Times New Roman"/>
          <w:sz w:val="14"/>
          <w:szCs w:val="14"/>
          <w:color w:val="auto"/>
        </w:rPr>
      </w:pPr>
    </w:p>
    <w:p>
      <w:pPr>
        <w:ind w:left="1560" w:right="99" w:firstLine="347"/>
        <w:spacing w:after="0" w:line="265" w:lineRule="auto"/>
        <w:tabs>
          <w:tab w:leader="none" w:pos="213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no statement made in a registration statement or prospectus that is part of the registration statement or made in a document incorporated or deemed incorporated by reference into the registration</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94"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5" w:lineRule="exact"/>
        <w:rPr>
          <w:sz w:val="20"/>
          <w:szCs w:val="20"/>
          <w:color w:val="auto"/>
        </w:rPr>
      </w:pPr>
    </w:p>
    <w:p>
      <w:pPr>
        <w:jc w:val="both"/>
        <w:ind w:left="1560" w:right="159"/>
        <w:spacing w:after="0" w:line="279" w:lineRule="auto"/>
        <w:rPr>
          <w:sz w:val="20"/>
          <w:szCs w:val="20"/>
          <w:color w:val="auto"/>
        </w:rPr>
      </w:pPr>
      <w:r>
        <w:rPr>
          <w:rFonts w:ascii="Times New Roman" w:cs="Times New Roman" w:eastAsia="Times New Roman" w:hAnsi="Times New Roman"/>
          <w:sz w:val="14"/>
          <w:szCs w:val="14"/>
          <w:color w:val="auto"/>
        </w:rPr>
        <w:t>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34" w:lineRule="exact"/>
        <w:rPr>
          <w:sz w:val="20"/>
          <w:szCs w:val="20"/>
          <w:color w:val="auto"/>
        </w:rPr>
      </w:pPr>
    </w:p>
    <w:p>
      <w:pPr>
        <w:ind w:left="1220" w:right="199" w:firstLine="354"/>
        <w:spacing w:after="0" w:line="271" w:lineRule="auto"/>
        <w:rPr>
          <w:sz w:val="20"/>
          <w:szCs w:val="20"/>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29" w:lineRule="exact"/>
        <w:rPr>
          <w:sz w:val="20"/>
          <w:szCs w:val="20"/>
          <w:color w:val="auto"/>
        </w:rPr>
      </w:pPr>
    </w:p>
    <w:p>
      <w:pPr>
        <w:ind w:left="2080" w:hanging="173"/>
        <w:spacing w:after="0"/>
        <w:tabs>
          <w:tab w:leader="none" w:pos="20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99" w:lineRule="exact"/>
        <w:rPr>
          <w:rFonts w:ascii="Times New Roman" w:cs="Times New Roman" w:eastAsia="Times New Roman" w:hAnsi="Times New Roman"/>
          <w:sz w:val="14"/>
          <w:szCs w:val="14"/>
          <w:color w:val="auto"/>
        </w:rPr>
      </w:pPr>
    </w:p>
    <w:p>
      <w:pPr>
        <w:ind w:left="1560" w:right="279" w:firstLine="347"/>
        <w:spacing w:after="0" w:line="300" w:lineRule="auto"/>
        <w:tabs>
          <w:tab w:leader="none" w:pos="2113"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31" w:lineRule="exact"/>
        <w:rPr>
          <w:rFonts w:ascii="Times New Roman" w:cs="Times New Roman" w:eastAsia="Times New Roman" w:hAnsi="Times New Roman"/>
          <w:sz w:val="14"/>
          <w:szCs w:val="14"/>
          <w:color w:val="auto"/>
        </w:rPr>
      </w:pPr>
    </w:p>
    <w:p>
      <w:pPr>
        <w:ind w:left="1560" w:right="99" w:firstLine="347"/>
        <w:spacing w:after="0" w:line="300" w:lineRule="auto"/>
        <w:tabs>
          <w:tab w:leader="none" w:pos="2154"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31" w:lineRule="exact"/>
        <w:rPr>
          <w:rFonts w:ascii="Times New Roman" w:cs="Times New Roman" w:eastAsia="Times New Roman" w:hAnsi="Times New Roman"/>
          <w:sz w:val="14"/>
          <w:szCs w:val="14"/>
          <w:color w:val="auto"/>
        </w:rPr>
      </w:pPr>
    </w:p>
    <w:p>
      <w:pPr>
        <w:ind w:left="2160" w:hanging="253"/>
        <w:spacing w:after="0"/>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87" w:lineRule="exact"/>
        <w:rPr>
          <w:sz w:val="20"/>
          <w:szCs w:val="20"/>
          <w:color w:val="auto"/>
        </w:rPr>
      </w:pPr>
    </w:p>
    <w:p>
      <w:pPr>
        <w:ind w:left="1220" w:right="139" w:firstLine="354"/>
        <w:spacing w:after="0" w:line="273" w:lineRule="auto"/>
        <w:rPr>
          <w:sz w:val="20"/>
          <w:szCs w:val="20"/>
          <w:color w:val="auto"/>
        </w:rPr>
      </w:pPr>
      <w:r>
        <w:rPr>
          <w:rFonts w:ascii="Times New Roman" w:cs="Times New Roman" w:eastAsia="Times New Roman" w:hAnsi="Times New Roman"/>
          <w:sz w:val="14"/>
          <w:szCs w:val="14"/>
          <w:color w:val="auto"/>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136" w:lineRule="exact"/>
        <w:rPr>
          <w:sz w:val="20"/>
          <w:szCs w:val="20"/>
          <w:color w:val="auto"/>
        </w:rPr>
      </w:pPr>
    </w:p>
    <w:p>
      <w:pPr>
        <w:ind w:left="1220" w:right="219" w:firstLine="354"/>
        <w:spacing w:after="0" w:line="300" w:lineRule="auto"/>
        <w:rPr>
          <w:sz w:val="20"/>
          <w:szCs w:val="20"/>
          <w:color w:val="auto"/>
        </w:rPr>
      </w:pPr>
      <w:r>
        <w:rPr>
          <w:rFonts w:ascii="Times New Roman" w:cs="Times New Roman" w:eastAsia="Times New Roman" w:hAnsi="Times New Roman"/>
          <w:sz w:val="14"/>
          <w:szCs w:val="14"/>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119" w:lineRule="exact"/>
        <w:rPr>
          <w:sz w:val="20"/>
          <w:szCs w:val="20"/>
          <w:color w:val="auto"/>
        </w:rPr>
      </w:pPr>
    </w:p>
    <w:p>
      <w:pPr>
        <w:ind w:left="1220" w:right="199" w:firstLine="354"/>
        <w:spacing w:after="0" w:line="265"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94"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9" w:lineRule="exact"/>
        <w:rPr>
          <w:sz w:val="20"/>
          <w:szCs w:val="20"/>
          <w:color w:val="auto"/>
        </w:rPr>
      </w:pPr>
    </w:p>
    <w:p>
      <w:pPr>
        <w:ind w:left="1220" w:right="239" w:firstLine="354"/>
        <w:spacing w:after="0" w:line="279"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Tulsa, state of Oklahoma on November 2, 2026.</w:t>
      </w:r>
    </w:p>
    <w:p>
      <w:pPr>
        <w:spacing w:after="0" w:line="15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b w:val="1"/>
          <w:bCs w:val="1"/>
          <w:color w:val="auto"/>
        </w:rPr>
        <w:t>THE WILLIAMS COMPANIES, INC.</w:t>
      </w:r>
    </w:p>
    <w:p>
      <w:pPr>
        <w:spacing w:after="0" w:line="18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color w:val="auto"/>
        </w:rPr>
        <w:t>/s/ Mary A. Hausman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24853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2248535" cy="6985"/>
                    </a:xfrm>
                    <a:prstGeom prst="rect">
                      <a:avLst/>
                    </a:prstGeom>
                    <a:noFill/>
                  </pic:spPr>
                </pic:pic>
              </a:graphicData>
            </a:graphic>
          </wp:anchor>
        </w:drawing>
      </w:r>
    </w:p>
    <w:p>
      <w:pPr>
        <w:spacing w:after="0" w:line="15" w:lineRule="exact"/>
        <w:rPr>
          <w:sz w:val="20"/>
          <w:szCs w:val="20"/>
          <w:color w:val="auto"/>
        </w:rPr>
      </w:pPr>
    </w:p>
    <w:p>
      <w:pPr>
        <w:ind w:left="6540"/>
        <w:spacing w:after="0"/>
        <w:tabs>
          <w:tab w:leader="none" w:pos="6880" w:val="left"/>
        </w:tabs>
        <w:rPr>
          <w:sz w:val="20"/>
          <w:szCs w:val="20"/>
          <w:color w:val="auto"/>
        </w:rPr>
      </w:pPr>
      <w:r>
        <w:rPr>
          <w:rFonts w:ascii="Times New Roman" w:cs="Times New Roman" w:eastAsia="Times New Roman" w:hAnsi="Times New Roman"/>
          <w:sz w:val="14"/>
          <w:szCs w:val="14"/>
          <w:color w:val="auto"/>
        </w:rPr>
        <w:t>By:</w:t>
        <w:tab/>
        <w:t>Mary A. Hausman</w:t>
      </w:r>
    </w:p>
    <w:p>
      <w:pPr>
        <w:spacing w:after="0" w:line="2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color w:val="auto"/>
        </w:rPr>
        <w:t>Title: Vice President, Chief Accounting Officer and</w:t>
      </w:r>
    </w:p>
    <w:p>
      <w:pPr>
        <w:spacing w:after="0" w:line="1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color w:val="auto"/>
        </w:rPr>
        <w:t>Controller</w:t>
      </w:r>
    </w:p>
    <w:p>
      <w:pPr>
        <w:spacing w:after="0" w:line="171" w:lineRule="exact"/>
        <w:rPr>
          <w:sz w:val="20"/>
          <w:szCs w:val="20"/>
          <w:color w:val="auto"/>
        </w:rPr>
      </w:pPr>
    </w:p>
    <w:p>
      <w:pPr>
        <w:ind w:left="1220" w:right="479" w:firstLine="354"/>
        <w:spacing w:after="0" w:line="300"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below by the following persons in the capacities and on the dates indicated.</w:t>
      </w:r>
    </w:p>
    <w:p>
      <w:pPr>
        <w:spacing w:after="0" w:line="136" w:lineRule="exact"/>
        <w:rPr>
          <w:sz w:val="20"/>
          <w:szCs w:val="20"/>
          <w:color w:val="auto"/>
        </w:rPr>
      </w:pPr>
    </w:p>
    <w:tbl>
      <w:tblPr>
        <w:tblLayout w:type="fixed"/>
        <w:tblInd w:w="1220" w:type="dxa"/>
        <w:tblCellMar>
          <w:top w:w="0" w:type="dxa"/>
          <w:left w:w="0" w:type="dxa"/>
          <w:bottom w:w="0" w:type="dxa"/>
          <w:right w:w="0" w:type="dxa"/>
        </w:tblCellMar>
      </w:tblPr>
      <w:tr>
        <w:trPr>
          <w:trHeight w:val="151"/>
        </w:trPr>
        <w:tc>
          <w:tcPr>
            <w:tcW w:w="3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3120" w:type="dxa"/>
            <w:vAlign w:val="bottom"/>
          </w:tcPr>
          <w:p>
            <w:pPr>
              <w:jc w:val="center"/>
              <w:ind w:left="108"/>
              <w:spacing w:after="0"/>
              <w:rPr>
                <w:sz w:val="20"/>
                <w:szCs w:val="20"/>
                <w:color w:val="auto"/>
              </w:rPr>
            </w:pPr>
            <w:r>
              <w:rPr>
                <w:rFonts w:ascii="Times New Roman" w:cs="Times New Roman" w:eastAsia="Times New Roman" w:hAnsi="Times New Roman"/>
                <w:sz w:val="12"/>
                <w:szCs w:val="12"/>
                <w:b w:val="1"/>
                <w:bCs w:val="1"/>
                <w:color w:val="auto"/>
                <w:w w:val="91"/>
              </w:rPr>
              <w:t>Title</w:t>
            </w:r>
          </w:p>
        </w:tc>
        <w:tc>
          <w:tcPr>
            <w:tcW w:w="1540" w:type="dxa"/>
            <w:vAlign w:val="bottom"/>
          </w:tcPr>
          <w:p>
            <w:pPr>
              <w:jc w:val="center"/>
              <w:ind w:left="409"/>
              <w:spacing w:after="0"/>
              <w:rPr>
                <w:sz w:val="20"/>
                <w:szCs w:val="20"/>
                <w:color w:val="auto"/>
              </w:rPr>
            </w:pPr>
            <w:r>
              <w:rPr>
                <w:rFonts w:ascii="Times New Roman" w:cs="Times New Roman" w:eastAsia="Times New Roman" w:hAnsi="Times New Roman"/>
                <w:sz w:val="12"/>
                <w:szCs w:val="12"/>
                <w:b w:val="1"/>
                <w:bCs w:val="1"/>
                <w:color w:val="auto"/>
                <w:w w:val="91"/>
              </w:rPr>
              <w:t>Date</w:t>
            </w:r>
          </w:p>
        </w:tc>
      </w:tr>
      <w:tr>
        <w:trPr>
          <w:trHeight w:val="335"/>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Chad J. Zamarin</w:t>
            </w:r>
          </w:p>
        </w:tc>
        <w:tc>
          <w:tcPr>
            <w:tcW w:w="312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President, Chief Executive Officer</w:t>
            </w:r>
          </w:p>
        </w:tc>
        <w:tc>
          <w:tcPr>
            <w:tcW w:w="154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November 2, 2026</w:t>
            </w:r>
          </w:p>
        </w:tc>
      </w:tr>
      <w:tr>
        <w:trPr>
          <w:trHeight w:val="137"/>
        </w:trPr>
        <w:tc>
          <w:tcPr>
            <w:tcW w:w="39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Chad J. Zamarin</w:t>
            </w:r>
          </w:p>
        </w:tc>
        <w:tc>
          <w:tcPr>
            <w:tcW w:w="3120" w:type="dxa"/>
            <w:vAlign w:val="bottom"/>
          </w:tcPr>
          <w:p>
            <w:pPr>
              <w:jc w:val="center"/>
              <w:ind w:left="128"/>
              <w:spacing w:after="0" w:line="137" w:lineRule="exact"/>
              <w:rPr>
                <w:sz w:val="20"/>
                <w:szCs w:val="20"/>
                <w:color w:val="auto"/>
              </w:rPr>
            </w:pPr>
            <w:r>
              <w:rPr>
                <w:rFonts w:ascii="Times New Roman" w:cs="Times New Roman" w:eastAsia="Times New Roman" w:hAnsi="Times New Roman"/>
                <w:sz w:val="14"/>
                <w:szCs w:val="14"/>
                <w:color w:val="auto"/>
              </w:rPr>
              <w:t>and Director</w:t>
            </w:r>
          </w:p>
        </w:tc>
        <w:tc>
          <w:tcPr>
            <w:tcW w:w="1540" w:type="dxa"/>
            <w:vAlign w:val="bottom"/>
          </w:tcPr>
          <w:p>
            <w:pPr>
              <w:spacing w:after="0"/>
              <w:rPr>
                <w:sz w:val="11"/>
                <w:szCs w:val="11"/>
                <w:color w:val="auto"/>
              </w:rPr>
            </w:pPr>
          </w:p>
        </w:tc>
      </w:tr>
      <w:tr>
        <w:trPr>
          <w:trHeight w:val="191"/>
        </w:trPr>
        <w:tc>
          <w:tcPr>
            <w:tcW w:w="3980" w:type="dxa"/>
            <w:vAlign w:val="bottom"/>
          </w:tcPr>
          <w:p>
            <w:pPr>
              <w:spacing w:after="0"/>
              <w:rPr>
                <w:sz w:val="16"/>
                <w:szCs w:val="16"/>
                <w:color w:val="auto"/>
              </w:rPr>
            </w:pPr>
          </w:p>
        </w:tc>
        <w:tc>
          <w:tcPr>
            <w:tcW w:w="3120" w:type="dxa"/>
            <w:vAlign w:val="bottom"/>
          </w:tcPr>
          <w:p>
            <w:pPr>
              <w:jc w:val="center"/>
              <w:ind w:left="128"/>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1540" w:type="dxa"/>
            <w:vAlign w:val="bottom"/>
          </w:tcPr>
          <w:p>
            <w:pPr>
              <w:spacing w:after="0"/>
              <w:rPr>
                <w:sz w:val="16"/>
                <w:szCs w:val="16"/>
                <w:color w:val="auto"/>
              </w:rPr>
            </w:pPr>
          </w:p>
        </w:tc>
      </w:tr>
      <w:tr>
        <w:trPr>
          <w:trHeight w:val="358"/>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John D. Porter</w:t>
            </w:r>
          </w:p>
        </w:tc>
        <w:tc>
          <w:tcPr>
            <w:tcW w:w="31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Executive Vice President and</w:t>
            </w:r>
          </w:p>
        </w:tc>
        <w:tc>
          <w:tcPr>
            <w:tcW w:w="154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November 2, 2026</w:t>
            </w:r>
          </w:p>
        </w:tc>
      </w:tr>
      <w:tr>
        <w:trPr>
          <w:trHeight w:val="137"/>
        </w:trPr>
        <w:tc>
          <w:tcPr>
            <w:tcW w:w="39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John D. Porter</w:t>
            </w:r>
          </w:p>
        </w:tc>
        <w:tc>
          <w:tcPr>
            <w:tcW w:w="3120" w:type="dxa"/>
            <w:vAlign w:val="bottom"/>
          </w:tcPr>
          <w:p>
            <w:pPr>
              <w:jc w:val="center"/>
              <w:ind w:left="108"/>
              <w:spacing w:after="0" w:line="137" w:lineRule="exact"/>
              <w:rPr>
                <w:sz w:val="20"/>
                <w:szCs w:val="20"/>
                <w:color w:val="auto"/>
              </w:rPr>
            </w:pPr>
            <w:r>
              <w:rPr>
                <w:rFonts w:ascii="Times New Roman" w:cs="Times New Roman" w:eastAsia="Times New Roman" w:hAnsi="Times New Roman"/>
                <w:sz w:val="14"/>
                <w:szCs w:val="14"/>
                <w:color w:val="auto"/>
              </w:rPr>
              <w:t>Chief Financial Officer</w:t>
            </w:r>
          </w:p>
        </w:tc>
        <w:tc>
          <w:tcPr>
            <w:tcW w:w="1540" w:type="dxa"/>
            <w:vAlign w:val="bottom"/>
          </w:tcPr>
          <w:p>
            <w:pPr>
              <w:spacing w:after="0"/>
              <w:rPr>
                <w:sz w:val="11"/>
                <w:szCs w:val="11"/>
                <w:color w:val="auto"/>
              </w:rPr>
            </w:pPr>
          </w:p>
        </w:tc>
      </w:tr>
      <w:tr>
        <w:trPr>
          <w:trHeight w:val="191"/>
        </w:trPr>
        <w:tc>
          <w:tcPr>
            <w:tcW w:w="3980" w:type="dxa"/>
            <w:vAlign w:val="bottom"/>
          </w:tcPr>
          <w:p>
            <w:pPr>
              <w:spacing w:after="0"/>
              <w:rPr>
                <w:sz w:val="16"/>
                <w:szCs w:val="16"/>
                <w:color w:val="auto"/>
              </w:rPr>
            </w:pPr>
          </w:p>
        </w:tc>
        <w:tc>
          <w:tcPr>
            <w:tcW w:w="3120" w:type="dxa"/>
            <w:vAlign w:val="bottom"/>
          </w:tcPr>
          <w:p>
            <w:pPr>
              <w:jc w:val="center"/>
              <w:ind w:left="128"/>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c>
          <w:tcPr>
            <w:tcW w:w="1540" w:type="dxa"/>
            <w:vAlign w:val="bottom"/>
          </w:tcPr>
          <w:p>
            <w:pPr>
              <w:spacing w:after="0"/>
              <w:rPr>
                <w:sz w:val="16"/>
                <w:szCs w:val="16"/>
                <w:color w:val="auto"/>
              </w:rPr>
            </w:pPr>
          </w:p>
        </w:tc>
      </w:tr>
      <w:tr>
        <w:trPr>
          <w:trHeight w:val="358"/>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Mary A. Hausman</w:t>
            </w:r>
          </w:p>
        </w:tc>
        <w:tc>
          <w:tcPr>
            <w:tcW w:w="31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Vice President, Chief Accounting</w:t>
            </w:r>
          </w:p>
        </w:tc>
        <w:tc>
          <w:tcPr>
            <w:tcW w:w="154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November 2, 2026</w:t>
            </w:r>
          </w:p>
        </w:tc>
      </w:tr>
      <w:tr>
        <w:trPr>
          <w:trHeight w:val="137"/>
        </w:trPr>
        <w:tc>
          <w:tcPr>
            <w:tcW w:w="39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Mary A. Hausman</w:t>
            </w:r>
          </w:p>
        </w:tc>
        <w:tc>
          <w:tcPr>
            <w:tcW w:w="3120" w:type="dxa"/>
            <w:vAlign w:val="bottom"/>
          </w:tcPr>
          <w:p>
            <w:pPr>
              <w:jc w:val="center"/>
              <w:ind w:left="108"/>
              <w:spacing w:after="0" w:line="137" w:lineRule="exact"/>
              <w:rPr>
                <w:sz w:val="20"/>
                <w:szCs w:val="20"/>
                <w:color w:val="auto"/>
              </w:rPr>
            </w:pPr>
            <w:r>
              <w:rPr>
                <w:rFonts w:ascii="Times New Roman" w:cs="Times New Roman" w:eastAsia="Times New Roman" w:hAnsi="Times New Roman"/>
                <w:sz w:val="14"/>
                <w:szCs w:val="14"/>
                <w:color w:val="auto"/>
              </w:rPr>
              <w:t>Officer and Controller</w:t>
            </w:r>
          </w:p>
        </w:tc>
        <w:tc>
          <w:tcPr>
            <w:tcW w:w="1540" w:type="dxa"/>
            <w:vAlign w:val="bottom"/>
          </w:tcPr>
          <w:p>
            <w:pPr>
              <w:spacing w:after="0"/>
              <w:rPr>
                <w:sz w:val="11"/>
                <w:szCs w:val="11"/>
                <w:color w:val="auto"/>
              </w:rPr>
            </w:pPr>
          </w:p>
        </w:tc>
      </w:tr>
      <w:tr>
        <w:trPr>
          <w:trHeight w:val="191"/>
        </w:trPr>
        <w:tc>
          <w:tcPr>
            <w:tcW w:w="3980" w:type="dxa"/>
            <w:vAlign w:val="bottom"/>
          </w:tcPr>
          <w:p>
            <w:pPr>
              <w:spacing w:after="0"/>
              <w:rPr>
                <w:sz w:val="16"/>
                <w:szCs w:val="16"/>
                <w:color w:val="auto"/>
              </w:rPr>
            </w:pPr>
          </w:p>
        </w:tc>
        <w:tc>
          <w:tcPr>
            <w:tcW w:w="3120" w:type="dxa"/>
            <w:vAlign w:val="bottom"/>
          </w:tcPr>
          <w:p>
            <w:pPr>
              <w:jc w:val="center"/>
              <w:ind w:left="108"/>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tc>
        <w:tc>
          <w:tcPr>
            <w:tcW w:w="1540" w:type="dxa"/>
            <w:vAlign w:val="bottom"/>
          </w:tcPr>
          <w:p>
            <w:pPr>
              <w:spacing w:after="0"/>
              <w:rPr>
                <w:sz w:val="16"/>
                <w:szCs w:val="16"/>
                <w:color w:val="auto"/>
              </w:rPr>
            </w:pPr>
          </w:p>
        </w:tc>
      </w:tr>
      <w:tr>
        <w:trPr>
          <w:trHeight w:val="358"/>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Stephen W. Bergstrom</w:t>
            </w:r>
          </w:p>
        </w:tc>
        <w:tc>
          <w:tcPr>
            <w:tcW w:w="31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Chairman of the Board</w:t>
            </w:r>
          </w:p>
        </w:tc>
        <w:tc>
          <w:tcPr>
            <w:tcW w:w="154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November 2, 2026</w:t>
            </w:r>
          </w:p>
        </w:tc>
      </w:tr>
      <w:tr>
        <w:trPr>
          <w:trHeight w:val="182"/>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Stephen W. Bergstrom</w:t>
            </w:r>
          </w:p>
        </w:tc>
        <w:tc>
          <w:tcPr>
            <w:tcW w:w="31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41"/>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A. Creel</w:t>
            </w:r>
          </w:p>
        </w:tc>
        <w:tc>
          <w:tcPr>
            <w:tcW w:w="312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Director</w:t>
            </w:r>
          </w:p>
        </w:tc>
        <w:tc>
          <w:tcPr>
            <w:tcW w:w="154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November 2, 2026</w:t>
            </w:r>
          </w:p>
        </w:tc>
      </w:tr>
      <w:tr>
        <w:trPr>
          <w:trHeight w:val="182"/>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Michael A. Creel</w:t>
            </w:r>
          </w:p>
        </w:tc>
        <w:tc>
          <w:tcPr>
            <w:tcW w:w="31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41"/>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Lloyd W. “Billy” Helms, Jr.</w:t>
            </w:r>
          </w:p>
        </w:tc>
        <w:tc>
          <w:tcPr>
            <w:tcW w:w="312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Director</w:t>
            </w:r>
          </w:p>
        </w:tc>
        <w:tc>
          <w:tcPr>
            <w:tcW w:w="154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November 2, 2026</w:t>
            </w:r>
          </w:p>
        </w:tc>
      </w:tr>
      <w:tr>
        <w:trPr>
          <w:trHeight w:val="182"/>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Lloyd W. “Billy” Helms, Jr.</w:t>
            </w:r>
          </w:p>
        </w:tc>
        <w:tc>
          <w:tcPr>
            <w:tcW w:w="31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41"/>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Carri A. Lockhart</w:t>
            </w:r>
          </w:p>
        </w:tc>
        <w:tc>
          <w:tcPr>
            <w:tcW w:w="312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Director</w:t>
            </w:r>
          </w:p>
        </w:tc>
        <w:tc>
          <w:tcPr>
            <w:tcW w:w="154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November 2, 2026</w:t>
            </w:r>
          </w:p>
        </w:tc>
      </w:tr>
      <w:tr>
        <w:trPr>
          <w:trHeight w:val="182"/>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Carri A. Lockhart</w:t>
            </w:r>
          </w:p>
        </w:tc>
        <w:tc>
          <w:tcPr>
            <w:tcW w:w="31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41"/>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Richard E. Muncrief</w:t>
            </w:r>
          </w:p>
        </w:tc>
        <w:tc>
          <w:tcPr>
            <w:tcW w:w="312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Director</w:t>
            </w:r>
          </w:p>
        </w:tc>
        <w:tc>
          <w:tcPr>
            <w:tcW w:w="154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November 2, 2026</w:t>
            </w:r>
          </w:p>
        </w:tc>
      </w:tr>
      <w:tr>
        <w:trPr>
          <w:trHeight w:val="182"/>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Richard E. Muncrief</w:t>
            </w:r>
          </w:p>
        </w:tc>
        <w:tc>
          <w:tcPr>
            <w:tcW w:w="31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41"/>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Peter A. Ragauss</w:t>
            </w:r>
          </w:p>
        </w:tc>
        <w:tc>
          <w:tcPr>
            <w:tcW w:w="312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Director</w:t>
            </w:r>
          </w:p>
        </w:tc>
        <w:tc>
          <w:tcPr>
            <w:tcW w:w="154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November 2, 2026</w:t>
            </w:r>
          </w:p>
        </w:tc>
      </w:tr>
      <w:tr>
        <w:trPr>
          <w:trHeight w:val="182"/>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Peter A. Ragauss</w:t>
            </w:r>
          </w:p>
        </w:tc>
        <w:tc>
          <w:tcPr>
            <w:tcW w:w="31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41"/>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Rose M. Robeson</w:t>
            </w:r>
          </w:p>
        </w:tc>
        <w:tc>
          <w:tcPr>
            <w:tcW w:w="312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Director</w:t>
            </w:r>
          </w:p>
        </w:tc>
        <w:tc>
          <w:tcPr>
            <w:tcW w:w="154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November 2, 2026</w:t>
            </w:r>
          </w:p>
        </w:tc>
      </w:tr>
      <w:tr>
        <w:trPr>
          <w:trHeight w:val="161"/>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Rose M. Robeson</w:t>
            </w:r>
          </w:p>
        </w:tc>
        <w:tc>
          <w:tcPr>
            <w:tcW w:w="312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88"/>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Scott D. Sheffield</w:t>
            </w:r>
          </w:p>
        </w:tc>
        <w:tc>
          <w:tcPr>
            <w:tcW w:w="312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Director</w:t>
            </w:r>
          </w:p>
        </w:tc>
        <w:tc>
          <w:tcPr>
            <w:tcW w:w="154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November 2, 2026</w:t>
            </w:r>
          </w:p>
        </w:tc>
      </w:tr>
      <w:tr>
        <w:trPr>
          <w:trHeight w:val="182"/>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Scott D. Sheffield</w:t>
            </w:r>
          </w:p>
        </w:tc>
        <w:tc>
          <w:tcPr>
            <w:tcW w:w="31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41"/>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William H. Spence</w:t>
            </w:r>
          </w:p>
        </w:tc>
        <w:tc>
          <w:tcPr>
            <w:tcW w:w="312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Director</w:t>
            </w:r>
          </w:p>
        </w:tc>
        <w:tc>
          <w:tcPr>
            <w:tcW w:w="154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November 2, 2026</w:t>
            </w:r>
          </w:p>
        </w:tc>
      </w:tr>
      <w:tr>
        <w:trPr>
          <w:trHeight w:val="182"/>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William H. Spence</w:t>
            </w:r>
          </w:p>
        </w:tc>
        <w:tc>
          <w:tcPr>
            <w:tcW w:w="31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87"/>
        </w:trPr>
        <w:tc>
          <w:tcPr>
            <w:tcW w:w="3980" w:type="dxa"/>
            <w:vAlign w:val="bottom"/>
          </w:tcPr>
          <w:p>
            <w:pPr>
              <w:spacing w:after="0"/>
              <w:rPr>
                <w:sz w:val="24"/>
                <w:szCs w:val="24"/>
                <w:color w:val="auto"/>
              </w:rPr>
            </w:pPr>
          </w:p>
        </w:tc>
        <w:tc>
          <w:tcPr>
            <w:tcW w:w="3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II-5</w:t>
            </w:r>
          </w:p>
        </w:tc>
        <w:tc>
          <w:tcPr>
            <w:tcW w:w="1540" w:type="dxa"/>
            <w:vAlign w:val="bottom"/>
          </w:tcPr>
          <w:p>
            <w:pPr>
              <w:spacing w:after="0"/>
              <w:rPr>
                <w:sz w:val="24"/>
                <w:szCs w:val="24"/>
                <w:color w:val="auto"/>
              </w:rPr>
            </w:pPr>
          </w:p>
        </w:tc>
      </w:tr>
    </w:tbl>
    <w:p>
      <w:pPr>
        <w:sectPr>
          <w:pgSz w:w="11900" w:h="16838" w:orient="portrait"/>
          <w:cols w:equalWidth="0" w:num="1">
            <w:col w:w="10159"/>
          </w:cols>
          <w:pgMar w:left="300" w:top="394"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7198360" cy="33655"/>
                    </a:xfrm>
                    <a:prstGeom prst="rect">
                      <a:avLst/>
                    </a:prstGeom>
                    <a:noFill/>
                  </pic:spPr>
                </pic:pic>
              </a:graphicData>
            </a:graphic>
          </wp:anchor>
        </w:drawing>
        <w:t>Table of Contents</w:t>
      </w:r>
    </w:p>
    <w:p>
      <w:pPr>
        <w:spacing w:after="0" w:line="260" w:lineRule="exact"/>
        <w:rPr>
          <w:sz w:val="20"/>
          <w:szCs w:val="20"/>
          <w:color w:val="auto"/>
        </w:rPr>
      </w:pPr>
    </w:p>
    <w:tbl>
      <w:tblPr>
        <w:tblLayout w:type="fixed"/>
        <w:tblInd w:w="1220" w:type="dxa"/>
        <w:tblCellMar>
          <w:top w:w="0" w:type="dxa"/>
          <w:left w:w="0" w:type="dxa"/>
          <w:bottom w:w="0" w:type="dxa"/>
          <w:right w:w="0" w:type="dxa"/>
        </w:tblCellMar>
      </w:tblPr>
      <w:tr>
        <w:trPr>
          <w:trHeight w:val="151"/>
        </w:trPr>
        <w:tc>
          <w:tcPr>
            <w:tcW w:w="3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2740" w:type="dxa"/>
            <w:vAlign w:val="bottom"/>
          </w:tcPr>
          <w:p>
            <w:pPr>
              <w:jc w:val="center"/>
              <w:ind w:left="491"/>
              <w:spacing w:after="0"/>
              <w:rPr>
                <w:sz w:val="20"/>
                <w:szCs w:val="20"/>
                <w:color w:val="auto"/>
              </w:rPr>
            </w:pPr>
            <w:r>
              <w:rPr>
                <w:rFonts w:ascii="Times New Roman" w:cs="Times New Roman" w:eastAsia="Times New Roman" w:hAnsi="Times New Roman"/>
                <w:sz w:val="12"/>
                <w:szCs w:val="12"/>
                <w:b w:val="1"/>
                <w:bCs w:val="1"/>
                <w:color w:val="auto"/>
                <w:w w:val="91"/>
              </w:rPr>
              <w:t>Title</w:t>
            </w:r>
          </w:p>
        </w:tc>
        <w:tc>
          <w:tcPr>
            <w:tcW w:w="1920" w:type="dxa"/>
            <w:vAlign w:val="bottom"/>
          </w:tcPr>
          <w:p>
            <w:pPr>
              <w:jc w:val="center"/>
              <w:ind w:left="792"/>
              <w:spacing w:after="0"/>
              <w:rPr>
                <w:sz w:val="20"/>
                <w:szCs w:val="20"/>
                <w:color w:val="auto"/>
              </w:rPr>
            </w:pPr>
            <w:r>
              <w:rPr>
                <w:rFonts w:ascii="Times New Roman" w:cs="Times New Roman" w:eastAsia="Times New Roman" w:hAnsi="Times New Roman"/>
                <w:sz w:val="12"/>
                <w:szCs w:val="12"/>
                <w:b w:val="1"/>
                <w:bCs w:val="1"/>
                <w:color w:val="auto"/>
                <w:w w:val="91"/>
              </w:rPr>
              <w:t>Date</w:t>
            </w:r>
          </w:p>
        </w:tc>
      </w:tr>
      <w:tr>
        <w:trPr>
          <w:trHeight w:val="335"/>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Robb E. Turner</w:t>
            </w:r>
          </w:p>
        </w:tc>
        <w:tc>
          <w:tcPr>
            <w:tcW w:w="2740" w:type="dxa"/>
            <w:vAlign w:val="bottom"/>
          </w:tcPr>
          <w:p>
            <w:pPr>
              <w:jc w:val="center"/>
              <w:ind w:left="511"/>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jc w:val="center"/>
              <w:ind w:left="772"/>
              <w:spacing w:after="0"/>
              <w:rPr>
                <w:sz w:val="20"/>
                <w:szCs w:val="20"/>
                <w:color w:val="auto"/>
              </w:rPr>
            </w:pPr>
            <w:r>
              <w:rPr>
                <w:rFonts w:ascii="Times New Roman" w:cs="Times New Roman" w:eastAsia="Times New Roman" w:hAnsi="Times New Roman"/>
                <w:sz w:val="14"/>
                <w:szCs w:val="14"/>
                <w:color w:val="auto"/>
              </w:rPr>
              <w:t>November 2, 2026</w:t>
            </w:r>
          </w:p>
        </w:tc>
      </w:tr>
      <w:tr>
        <w:trPr>
          <w:trHeight w:val="182"/>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Robb E. Turner</w:t>
            </w:r>
          </w:p>
        </w:tc>
        <w:tc>
          <w:tcPr>
            <w:tcW w:w="27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341"/>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Jesse J. Tyson</w:t>
            </w:r>
          </w:p>
        </w:tc>
        <w:tc>
          <w:tcPr>
            <w:tcW w:w="2740" w:type="dxa"/>
            <w:vAlign w:val="bottom"/>
          </w:tcPr>
          <w:p>
            <w:pPr>
              <w:jc w:val="center"/>
              <w:ind w:left="511"/>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jc w:val="center"/>
              <w:ind w:left="772"/>
              <w:spacing w:after="0"/>
              <w:rPr>
                <w:sz w:val="20"/>
                <w:szCs w:val="20"/>
                <w:color w:val="auto"/>
              </w:rPr>
            </w:pPr>
            <w:r>
              <w:rPr>
                <w:rFonts w:ascii="Times New Roman" w:cs="Times New Roman" w:eastAsia="Times New Roman" w:hAnsi="Times New Roman"/>
                <w:sz w:val="14"/>
                <w:szCs w:val="14"/>
                <w:color w:val="auto"/>
              </w:rPr>
              <w:t>November 2, 2026</w:t>
            </w:r>
          </w:p>
        </w:tc>
      </w:tr>
      <w:tr>
        <w:trPr>
          <w:trHeight w:val="182"/>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Jesse J. Tyson</w:t>
            </w:r>
          </w:p>
        </w:tc>
        <w:tc>
          <w:tcPr>
            <w:tcW w:w="27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87"/>
        </w:trPr>
        <w:tc>
          <w:tcPr>
            <w:tcW w:w="3980" w:type="dxa"/>
            <w:vAlign w:val="bottom"/>
          </w:tcPr>
          <w:p>
            <w:pPr>
              <w:spacing w:after="0"/>
              <w:rPr>
                <w:sz w:val="24"/>
                <w:szCs w:val="24"/>
                <w:color w:val="auto"/>
              </w:rPr>
            </w:pPr>
          </w:p>
        </w:tc>
        <w:tc>
          <w:tcPr>
            <w:tcW w:w="2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II-6</w:t>
            </w:r>
          </w:p>
        </w:tc>
        <w:tc>
          <w:tcPr>
            <w:tcW w:w="1920" w:type="dxa"/>
            <w:vAlign w:val="bottom"/>
          </w:tcPr>
          <w:p>
            <w:pPr>
              <w:spacing w:after="0"/>
              <w:rPr>
                <w:sz w:val="24"/>
                <w:szCs w:val="24"/>
                <w:color w:val="auto"/>
              </w:rPr>
            </w:pPr>
          </w:p>
        </w:tc>
      </w:tr>
    </w:tbl>
    <w:p>
      <w:pPr>
        <w:sectPr>
          <w:pgSz w:w="11900" w:h="16838" w:orient="portrait"/>
          <w:cols w:equalWidth="0" w:num="1">
            <w:col w:w="10159"/>
          </w:cols>
          <w:pgMar w:left="300" w:top="394" w:right="1440" w:bottom="1440" w:gutter="0" w:footer="0" w:header="0"/>
        </w:sectPr>
      </w:pPr>
    </w:p>
    <w:bookmarkStart w:id="33" w:name="page34"/>
    <w:bookmarkEnd w:id="33"/>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142875</wp:posOffset>
            </wp:positionV>
            <wp:extent cx="1269365" cy="1447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1269365" cy="14478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November 2, 2026</w:t>
      </w:r>
    </w:p>
    <w:p>
      <w:pPr>
        <w:spacing w:after="0" w:line="1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The Williams Companies, Inc.</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One Williams Center, Suite 4700</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Tulsa, Oklahoma 74172</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 xml:space="preserve">Re: </w:t>
      </w:r>
      <w:r>
        <w:rPr>
          <w:rFonts w:ascii="Times New Roman" w:cs="Times New Roman" w:eastAsia="Times New Roman" w:hAnsi="Times New Roman"/>
          <w:sz w:val="14"/>
          <w:szCs w:val="14"/>
          <w:u w:val="single" w:color="auto"/>
          <w:color w:val="auto"/>
        </w:rPr>
        <w:t>The Williams Companies, Inc. Registration Statement on Form S-3</w:t>
      </w:r>
    </w:p>
    <w:p>
      <w:pPr>
        <w:spacing w:after="0" w:line="1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00" w:lineRule="exact"/>
        <w:rPr>
          <w:sz w:val="20"/>
          <w:szCs w:val="20"/>
          <w:color w:val="auto"/>
        </w:rPr>
      </w:pPr>
    </w:p>
    <w:p>
      <w:pPr>
        <w:ind w:left="80" w:right="99"/>
        <w:spacing w:after="0" w:line="273" w:lineRule="auto"/>
        <w:rPr>
          <w:sz w:val="20"/>
          <w:szCs w:val="20"/>
          <w:color w:val="auto"/>
        </w:rPr>
      </w:pPr>
      <w:r>
        <w:rPr>
          <w:rFonts w:ascii="Times New Roman" w:cs="Times New Roman" w:eastAsia="Times New Roman" w:hAnsi="Times New Roman"/>
          <w:sz w:val="14"/>
          <w:szCs w:val="14"/>
          <w:color w:val="auto"/>
        </w:rPr>
        <w:t>We have acted as counsel to The Williams Companies,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in connection with the preparation and filing with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of a Registration Statement on Form S-3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relating to the registration under the Securities Act and the proposed issuance and sale from time to time pursuant to Rule 415 under the Securities Act, together or separately and in one or more series (if applicable) of:</w:t>
      </w:r>
    </w:p>
    <w:p>
      <w:pPr>
        <w:spacing w:after="0" w:line="50" w:lineRule="exact"/>
        <w:rPr>
          <w:sz w:val="20"/>
          <w:szCs w:val="20"/>
          <w:color w:val="auto"/>
        </w:rPr>
      </w:pPr>
    </w:p>
    <w:p>
      <w:pPr>
        <w:ind w:left="600" w:hanging="173"/>
        <w:spacing w:after="0"/>
        <w:tabs>
          <w:tab w:leader="none" w:pos="6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unsecured debt securities, which may either be senior debt securities or subordinated debt securities (the “</w:t>
      </w:r>
      <w:r>
        <w:rPr>
          <w:rFonts w:ascii="Times New Roman" w:cs="Times New Roman" w:eastAsia="Times New Roman" w:hAnsi="Times New Roman"/>
          <w:sz w:val="14"/>
          <w:szCs w:val="14"/>
          <w:u w:val="single" w:color="auto"/>
          <w:color w:val="auto"/>
        </w:rPr>
        <w:t>Debt Securities</w:t>
      </w:r>
      <w:r>
        <w:rPr>
          <w:rFonts w:ascii="Times New Roman" w:cs="Times New Roman" w:eastAsia="Times New Roman" w:hAnsi="Times New Roman"/>
          <w:sz w:val="14"/>
          <w:szCs w:val="14"/>
          <w:color w:val="auto"/>
        </w:rPr>
        <w:t>”);</w:t>
      </w:r>
    </w:p>
    <w:p>
      <w:pPr>
        <w:spacing w:after="0" w:line="186" w:lineRule="exact"/>
        <w:rPr>
          <w:rFonts w:ascii="Times New Roman" w:cs="Times New Roman" w:eastAsia="Times New Roman" w:hAnsi="Times New Roman"/>
          <w:sz w:val="14"/>
          <w:szCs w:val="14"/>
          <w:color w:val="auto"/>
        </w:rPr>
      </w:pPr>
    </w:p>
    <w:p>
      <w:pPr>
        <w:ind w:left="640" w:hanging="213"/>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the Company’s common stock, par value $1.00 per share (the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w:t>
      </w:r>
    </w:p>
    <w:p>
      <w:pPr>
        <w:spacing w:after="0" w:line="186" w:lineRule="exact"/>
        <w:rPr>
          <w:rFonts w:ascii="Times New Roman" w:cs="Times New Roman" w:eastAsia="Times New Roman" w:hAnsi="Times New Roman"/>
          <w:sz w:val="14"/>
          <w:szCs w:val="14"/>
          <w:color w:val="auto"/>
        </w:rPr>
      </w:pPr>
    </w:p>
    <w:p>
      <w:pPr>
        <w:ind w:left="680" w:hanging="253"/>
        <w:spacing w:after="0"/>
        <w:tabs>
          <w:tab w:leader="none" w:pos="6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the Company’s preferred stock, par value $1.00 per share (the “</w:t>
      </w:r>
      <w:r>
        <w:rPr>
          <w:rFonts w:ascii="Times New Roman" w:cs="Times New Roman" w:eastAsia="Times New Roman" w:hAnsi="Times New Roman"/>
          <w:sz w:val="14"/>
          <w:szCs w:val="14"/>
          <w:u w:val="single" w:color="auto"/>
          <w:color w:val="auto"/>
        </w:rPr>
        <w:t>Preferred Stock</w:t>
      </w:r>
      <w:r>
        <w:rPr>
          <w:rFonts w:ascii="Times New Roman" w:cs="Times New Roman" w:eastAsia="Times New Roman" w:hAnsi="Times New Roman"/>
          <w:sz w:val="14"/>
          <w:szCs w:val="14"/>
          <w:color w:val="auto"/>
        </w:rPr>
        <w:t>”);</w:t>
      </w:r>
    </w:p>
    <w:p>
      <w:pPr>
        <w:spacing w:after="0" w:line="186" w:lineRule="exact"/>
        <w:rPr>
          <w:rFonts w:ascii="Times New Roman" w:cs="Times New Roman" w:eastAsia="Times New Roman" w:hAnsi="Times New Roman"/>
          <w:sz w:val="14"/>
          <w:szCs w:val="14"/>
          <w:color w:val="auto"/>
        </w:rPr>
      </w:pPr>
    </w:p>
    <w:p>
      <w:pPr>
        <w:ind w:left="80" w:right="339" w:firstLine="347"/>
        <w:spacing w:after="0" w:line="300" w:lineRule="auto"/>
        <w:tabs>
          <w:tab w:leader="none" w:pos="679"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contracts for the purchase or sale of Debt Securities, Preferred Stock or Common Stock or other securities, currencies or commodities (the “</w:t>
      </w:r>
      <w:r>
        <w:rPr>
          <w:rFonts w:ascii="Times New Roman" w:cs="Times New Roman" w:eastAsia="Times New Roman" w:hAnsi="Times New Roman"/>
          <w:sz w:val="14"/>
          <w:szCs w:val="14"/>
          <w:u w:val="single" w:color="auto"/>
          <w:color w:val="auto"/>
        </w:rPr>
        <w:t>Purchase Contracts</w:t>
      </w:r>
      <w:r>
        <w:rPr>
          <w:rFonts w:ascii="Times New Roman" w:cs="Times New Roman" w:eastAsia="Times New Roman" w:hAnsi="Times New Roman"/>
          <w:sz w:val="14"/>
          <w:szCs w:val="14"/>
          <w:color w:val="auto"/>
        </w:rPr>
        <w:t>”);</w:t>
      </w:r>
    </w:p>
    <w:p>
      <w:pPr>
        <w:spacing w:after="0" w:line="118" w:lineRule="exact"/>
        <w:rPr>
          <w:rFonts w:ascii="Times New Roman" w:cs="Times New Roman" w:eastAsia="Times New Roman" w:hAnsi="Times New Roman"/>
          <w:sz w:val="14"/>
          <w:szCs w:val="14"/>
          <w:color w:val="auto"/>
        </w:rPr>
      </w:pPr>
    </w:p>
    <w:p>
      <w:pPr>
        <w:ind w:left="640" w:hanging="213"/>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for the purchase of Common Stock, Preferred Stock or Debt Securities (the “</w:t>
      </w:r>
      <w:r>
        <w:rPr>
          <w:rFonts w:ascii="Times New Roman" w:cs="Times New Roman" w:eastAsia="Times New Roman" w:hAnsi="Times New Roman"/>
          <w:sz w:val="14"/>
          <w:szCs w:val="14"/>
          <w:u w:val="single" w:color="auto"/>
          <w:color w:val="auto"/>
        </w:rPr>
        <w:t>Warrants</w:t>
      </w:r>
      <w:r>
        <w:rPr>
          <w:rFonts w:ascii="Times New Roman" w:cs="Times New Roman" w:eastAsia="Times New Roman" w:hAnsi="Times New Roman"/>
          <w:sz w:val="14"/>
          <w:szCs w:val="14"/>
          <w:color w:val="auto"/>
        </w:rPr>
        <w:t>”); and</w:t>
      </w:r>
    </w:p>
    <w:p>
      <w:pPr>
        <w:spacing w:after="0" w:line="186" w:lineRule="exact"/>
        <w:rPr>
          <w:rFonts w:ascii="Times New Roman" w:cs="Times New Roman" w:eastAsia="Times New Roman" w:hAnsi="Times New Roman"/>
          <w:sz w:val="14"/>
          <w:szCs w:val="14"/>
          <w:color w:val="auto"/>
        </w:rPr>
      </w:pPr>
    </w:p>
    <w:p>
      <w:pPr>
        <w:ind w:left="680" w:hanging="253"/>
        <w:spacing w:after="0"/>
        <w:tabs>
          <w:tab w:leader="none" w:pos="6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of the Company comprised of any combination of Common Stock, Preferred Stock, Warrants, Purchase Contracts or Debt Securities (the</w:t>
      </w:r>
    </w:p>
    <w:p>
      <w:pPr>
        <w:spacing w:after="0" w:line="28" w:lineRule="exact"/>
        <w:rPr>
          <w:rFonts w:ascii="Times New Roman" w:cs="Times New Roman" w:eastAsia="Times New Roman" w:hAnsi="Times New Roman"/>
          <w:sz w:val="14"/>
          <w:szCs w:val="14"/>
          <w:color w:val="auto"/>
        </w:rPr>
      </w:pPr>
    </w:p>
    <w:p>
      <w:pPr>
        <w:ind w:left="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Units</w:t>
      </w:r>
      <w:r>
        <w:rPr>
          <w:rFonts w:ascii="Times New Roman" w:cs="Times New Roman" w:eastAsia="Times New Roman" w:hAnsi="Times New Roman"/>
          <w:sz w:val="14"/>
          <w:szCs w:val="14"/>
          <w:color w:val="auto"/>
        </w:rPr>
        <w:t>”).</w:t>
      </w:r>
    </w:p>
    <w:p>
      <w:pPr>
        <w:spacing w:after="0" w:line="1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Gibson, Dunn &amp; Crutcher LLP</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200 Park Avenue | New York, NY 10166-0193 | T: 212.351.4000 | F: 212.351.4035 | gibsondunn.com</w:t>
      </w:r>
    </w:p>
    <w:p>
      <w:pPr>
        <w:sectPr>
          <w:pgSz w:w="11900" w:h="16838" w:orient="portrait"/>
          <w:cols w:equalWidth="0" w:num="1">
            <w:col w:w="9019"/>
          </w:cols>
          <w:pgMar w:left="1440" w:top="123" w:right="1440" w:bottom="1440" w:gutter="0" w:footer="0" w:header="0"/>
        </w:sectPr>
      </w:pPr>
    </w:p>
    <w:bookmarkStart w:id="34" w:name="page35"/>
    <w:bookmarkEnd w:id="34"/>
    <w:p>
      <w:pPr>
        <w:ind w:left="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7198360" cy="33655"/>
                    </a:xfrm>
                    <a:prstGeom prst="rect">
                      <a:avLst/>
                    </a:prstGeom>
                    <a:noFill/>
                  </pic:spPr>
                </pic:pic>
              </a:graphicData>
            </a:graphic>
          </wp:anchor>
        </w:drawing>
        <w:drawing>
          <wp:anchor simplePos="0" relativeHeight="251657728" behindDoc="1" locked="0" layoutInCell="0" allowOverlap="1">
            <wp:simplePos x="0" y="0"/>
            <wp:positionH relativeFrom="page">
              <wp:posOffset>960755</wp:posOffset>
            </wp:positionH>
            <wp:positionV relativeFrom="page">
              <wp:posOffset>288925</wp:posOffset>
            </wp:positionV>
            <wp:extent cx="1289685" cy="1447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289685" cy="144780"/>
                    </a:xfrm>
                    <a:prstGeom prst="rect">
                      <a:avLst/>
                    </a:prstGeom>
                    <a:noFill/>
                  </pic:spPr>
                </pic:pic>
              </a:graphicData>
            </a:graphic>
          </wp:anchor>
        </w:drawing>
        <w:t>November 2, 2026</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Page 2</w:t>
      </w:r>
    </w:p>
    <w:p>
      <w:pPr>
        <w:spacing w:after="0" w:line="291" w:lineRule="exact"/>
        <w:rPr>
          <w:sz w:val="20"/>
          <w:szCs w:val="20"/>
          <w:color w:val="auto"/>
        </w:rPr>
      </w:pPr>
    </w:p>
    <w:p>
      <w:pPr>
        <w:ind w:left="80" w:right="319"/>
        <w:spacing w:after="0" w:line="279" w:lineRule="auto"/>
        <w:rPr>
          <w:sz w:val="20"/>
          <w:szCs w:val="20"/>
          <w:color w:val="auto"/>
        </w:rPr>
      </w:pPr>
      <w:r>
        <w:rPr>
          <w:rFonts w:ascii="Times New Roman" w:cs="Times New Roman" w:eastAsia="Times New Roman" w:hAnsi="Times New Roman"/>
          <w:sz w:val="14"/>
          <w:szCs w:val="14"/>
          <w:color w:val="auto"/>
        </w:rPr>
        <w:t>The Debt Securities, Common Stock, Preferred Stock, Purchase Contracts, Warrants, and Units are collectively referred to herein as the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 The Debt Securities are to be issued under an indenture, dated as of December 18, 2012, between the Company and The Bank of New York Mellon Trust Company, N.A. (the “</w:t>
      </w:r>
      <w:r>
        <w:rPr>
          <w:rFonts w:ascii="Times New Roman" w:cs="Times New Roman" w:eastAsia="Times New Roman" w:hAnsi="Times New Roman"/>
          <w:sz w:val="14"/>
          <w:szCs w:val="14"/>
          <w:u w:val="single" w:color="auto"/>
          <w:color w:val="auto"/>
        </w:rPr>
        <w:t>Trust Company</w:t>
      </w:r>
      <w:r>
        <w:rPr>
          <w:rFonts w:ascii="Times New Roman" w:cs="Times New Roman" w:eastAsia="Times New Roman" w:hAnsi="Times New Roman"/>
          <w:sz w:val="14"/>
          <w:szCs w:val="14"/>
          <w:color w:val="auto"/>
        </w:rPr>
        <w:t>”), as indenture trustee (the “</w:t>
      </w:r>
      <w:r>
        <w:rPr>
          <w:rFonts w:ascii="Times New Roman" w:cs="Times New Roman" w:eastAsia="Times New Roman" w:hAnsi="Times New Roman"/>
          <w:sz w:val="14"/>
          <w:szCs w:val="14"/>
          <w:u w:val="single" w:color="auto"/>
          <w:color w:val="auto"/>
        </w:rPr>
        <w:t>Base Indenture</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80" w:right="99"/>
        <w:spacing w:after="0" w:line="266" w:lineRule="auto"/>
        <w:rPr>
          <w:sz w:val="20"/>
          <w:szCs w:val="20"/>
          <w:color w:val="auto"/>
        </w:rPr>
      </w:pPr>
      <w:r>
        <w:rPr>
          <w:rFonts w:ascii="Times New Roman" w:cs="Times New Roman" w:eastAsia="Times New Roman" w:hAnsi="Times New Roman"/>
          <w:sz w:val="14"/>
          <w:szCs w:val="14"/>
          <w:color w:val="auto"/>
        </w:rPr>
        <w:t>In arriving at the opinions expressed below, we have examined originals, or copies certified or otherwise identified to our satisfaction as being true and complete copies of the originals, of the Base Indenture, specimen Common Stock certificate, and such other documents, corporate records, certificates of officers of the Company and of public officials and other instruments as we have deemed necessary or advisable to enable us to render these opinions. In our examination, we have assumed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and others.</w:t>
      </w:r>
    </w:p>
    <w:p>
      <w:pPr>
        <w:spacing w:after="0" w:line="1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We have assumed without independent investigation that:</w:t>
      </w:r>
    </w:p>
    <w:p>
      <w:pPr>
        <w:spacing w:after="0" w:line="100" w:lineRule="exact"/>
        <w:rPr>
          <w:sz w:val="20"/>
          <w:szCs w:val="20"/>
          <w:color w:val="auto"/>
        </w:rPr>
      </w:pPr>
    </w:p>
    <w:p>
      <w:pPr>
        <w:ind w:left="80" w:right="779" w:firstLine="347"/>
        <w:spacing w:after="0" w:line="300" w:lineRule="auto"/>
        <w:tabs>
          <w:tab w:leader="none" w:pos="607"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any Securities are sold pursuant to the Registration Statement (the “</w:t>
      </w:r>
      <w:r>
        <w:rPr>
          <w:rFonts w:ascii="Times New Roman" w:cs="Times New Roman" w:eastAsia="Times New Roman" w:hAnsi="Times New Roman"/>
          <w:sz w:val="14"/>
          <w:szCs w:val="14"/>
          <w:u w:val="single" w:color="auto"/>
          <w:color w:val="auto"/>
        </w:rPr>
        <w:t>Relevant Time</w:t>
      </w:r>
      <w:r>
        <w:rPr>
          <w:rFonts w:ascii="Times New Roman" w:cs="Times New Roman" w:eastAsia="Times New Roman" w:hAnsi="Times New Roman"/>
          <w:sz w:val="14"/>
          <w:szCs w:val="14"/>
          <w:color w:val="auto"/>
        </w:rPr>
        <w:t>”), the Registration Statement and any supplements and amendments thereto (including post-effective amendments) will be effective and will comply with all applicable laws;</w:t>
      </w:r>
    </w:p>
    <w:p>
      <w:pPr>
        <w:spacing w:after="0" w:line="118" w:lineRule="exact"/>
        <w:rPr>
          <w:rFonts w:ascii="Times New Roman" w:cs="Times New Roman" w:eastAsia="Times New Roman" w:hAnsi="Times New Roman"/>
          <w:sz w:val="14"/>
          <w:szCs w:val="14"/>
          <w:color w:val="auto"/>
        </w:rPr>
      </w:pPr>
    </w:p>
    <w:p>
      <w:pPr>
        <w:ind w:left="80" w:right="519" w:firstLine="347"/>
        <w:spacing w:after="0" w:line="300" w:lineRule="auto"/>
        <w:tabs>
          <w:tab w:leader="none" w:pos="647"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Relevant Time, a prospectus supplement will have been prepared and filed with the Commission describing the Securities offered thereby and all related documentation and will comply with all applicable laws;</w:t>
      </w:r>
    </w:p>
    <w:p>
      <w:pPr>
        <w:spacing w:after="0" w:line="118" w:lineRule="exact"/>
        <w:rPr>
          <w:rFonts w:ascii="Times New Roman" w:cs="Times New Roman" w:eastAsia="Times New Roman" w:hAnsi="Times New Roman"/>
          <w:sz w:val="14"/>
          <w:szCs w:val="14"/>
          <w:color w:val="auto"/>
        </w:rPr>
      </w:pPr>
    </w:p>
    <w:p>
      <w:pPr>
        <w:ind w:left="680" w:hanging="253"/>
        <w:spacing w:after="0"/>
        <w:tabs>
          <w:tab w:leader="none" w:pos="6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will be issued and sold in the manner stated in the Registration Statement and the applicable prospectus supplement;</w:t>
      </w:r>
    </w:p>
    <w:p>
      <w:pPr>
        <w:spacing w:after="0" w:line="186" w:lineRule="exact"/>
        <w:rPr>
          <w:rFonts w:ascii="Times New Roman" w:cs="Times New Roman" w:eastAsia="Times New Roman" w:hAnsi="Times New Roman"/>
          <w:sz w:val="14"/>
          <w:szCs w:val="14"/>
          <w:color w:val="auto"/>
        </w:rPr>
      </w:pPr>
    </w:p>
    <w:p>
      <w:pPr>
        <w:ind w:left="80" w:right="99" w:firstLine="347"/>
        <w:spacing w:after="0" w:line="269" w:lineRule="auto"/>
        <w:tabs>
          <w:tab w:leader="none" w:pos="679"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Relevant Time, all corporate or other action required to be taken by the Company to duly authorize each proposed issuance of Securities and any related documentation (including (i) the due reservation of any shares of Common Stock or Preferred Stock for issuance upon exercise, conversion or exchange of any Securities for Common Stock or Preferred Stock (a “</w:t>
      </w:r>
      <w:r>
        <w:rPr>
          <w:rFonts w:ascii="Times New Roman" w:cs="Times New Roman" w:eastAsia="Times New Roman" w:hAnsi="Times New Roman"/>
          <w:sz w:val="14"/>
          <w:szCs w:val="14"/>
          <w:u w:val="single" w:color="auto"/>
          <w:color w:val="auto"/>
        </w:rPr>
        <w:t>Convertible Security</w:t>
      </w:r>
      <w:r>
        <w:rPr>
          <w:rFonts w:ascii="Times New Roman" w:cs="Times New Roman" w:eastAsia="Times New Roman" w:hAnsi="Times New Roman"/>
          <w:sz w:val="14"/>
          <w:szCs w:val="14"/>
          <w:color w:val="auto"/>
        </w:rPr>
        <w:t>”), and (ii) the execution (in the case of certificated Securities), delivery and performance of the Securities and any related documentation referred to in paragraphs 1 through 6 below) shall have been duly completed and shall remain in full force and effect;</w:t>
      </w:r>
    </w:p>
    <w:p>
      <w:pPr>
        <w:sectPr>
          <w:pgSz w:w="11900" w:h="16838" w:orient="portrait"/>
          <w:cols w:equalWidth="0" w:num="1">
            <w:col w:w="9019"/>
          </w:cols>
          <w:pgMar w:left="1440" w:top="755" w:right="1440" w:bottom="1440" w:gutter="0" w:footer="0" w:header="0"/>
        </w:sectPr>
      </w:pPr>
    </w:p>
    <w:bookmarkStart w:id="35" w:name="page36"/>
    <w:bookmarkEnd w:id="35"/>
    <w:p>
      <w:pPr>
        <w:ind w:left="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7198360" cy="33655"/>
                    </a:xfrm>
                    <a:prstGeom prst="rect">
                      <a:avLst/>
                    </a:prstGeom>
                    <a:noFill/>
                  </pic:spPr>
                </pic:pic>
              </a:graphicData>
            </a:graphic>
          </wp:anchor>
        </w:drawing>
        <w:drawing>
          <wp:anchor simplePos="0" relativeHeight="251657728" behindDoc="1" locked="0" layoutInCell="0" allowOverlap="1">
            <wp:simplePos x="0" y="0"/>
            <wp:positionH relativeFrom="page">
              <wp:posOffset>960755</wp:posOffset>
            </wp:positionH>
            <wp:positionV relativeFrom="page">
              <wp:posOffset>226695</wp:posOffset>
            </wp:positionV>
            <wp:extent cx="1289685" cy="1447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289685" cy="144780"/>
                    </a:xfrm>
                    <a:prstGeom prst="rect">
                      <a:avLst/>
                    </a:prstGeom>
                    <a:noFill/>
                  </pic:spPr>
                </pic:pic>
              </a:graphicData>
            </a:graphic>
          </wp:anchor>
        </w:drawing>
        <w:t>November 2, 2026</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Page 3</w:t>
      </w:r>
    </w:p>
    <w:p>
      <w:pPr>
        <w:spacing w:after="0" w:line="117" w:lineRule="exact"/>
        <w:rPr>
          <w:sz w:val="20"/>
          <w:szCs w:val="20"/>
          <w:color w:val="auto"/>
        </w:rPr>
      </w:pPr>
    </w:p>
    <w:p>
      <w:pPr>
        <w:jc w:val="both"/>
        <w:ind w:left="80" w:right="339" w:firstLine="347"/>
        <w:spacing w:after="0" w:line="279" w:lineRule="auto"/>
        <w:tabs>
          <w:tab w:leader="none" w:pos="63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issuance of any Common Stock or Preferred Stock, including upon exercise, conversion or exchange of any Convertible Security, the total number of shares of Common Stock or Preferred Stock issued and outstanding will not exceed the total number of shares of Common Stock or Preferred Stock, as applicable, that the Company is then authorized to issue under its certificate of incorporation and other relevant documents;</w:t>
      </w:r>
    </w:p>
    <w:p>
      <w:pPr>
        <w:spacing w:after="0" w:line="133" w:lineRule="exact"/>
        <w:rPr>
          <w:rFonts w:ascii="Times New Roman" w:cs="Times New Roman" w:eastAsia="Times New Roman" w:hAnsi="Times New Roman"/>
          <w:sz w:val="14"/>
          <w:szCs w:val="14"/>
          <w:color w:val="auto"/>
        </w:rPr>
      </w:pPr>
    </w:p>
    <w:p>
      <w:pPr>
        <w:ind w:left="80" w:right="179" w:firstLine="347"/>
        <w:spacing w:after="0" w:line="300" w:lineRule="auto"/>
        <w:tabs>
          <w:tab w:leader="none" w:pos="67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Debt Securities, at the Relevant Time, the Base Indenture shall have been duly qualified under the Trust Indenture Act of 1939, as amended; and</w:t>
      </w:r>
    </w:p>
    <w:p>
      <w:pPr>
        <w:spacing w:after="0" w:line="118" w:lineRule="exact"/>
        <w:rPr>
          <w:rFonts w:ascii="Times New Roman" w:cs="Times New Roman" w:eastAsia="Times New Roman" w:hAnsi="Times New Roman"/>
          <w:sz w:val="14"/>
          <w:szCs w:val="14"/>
          <w:color w:val="auto"/>
        </w:rPr>
      </w:pPr>
    </w:p>
    <w:p>
      <w:pPr>
        <w:ind w:left="80" w:right="239" w:firstLine="347"/>
        <w:spacing w:after="0" w:line="279" w:lineRule="auto"/>
        <w:tabs>
          <w:tab w:leader="none" w:pos="7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Relevant Time, a definitive purchase, underwriting or similar agreement and any other necessary agreement with respect to any Securities offered or issued will have been duly authorized by all necessary corporate or other action of the Company and duly executed and delivered by the Company and the other parties thereto.</w:t>
      </w:r>
    </w:p>
    <w:p>
      <w:pPr>
        <w:spacing w:after="0" w:line="134" w:lineRule="exact"/>
        <w:rPr>
          <w:sz w:val="20"/>
          <w:szCs w:val="20"/>
          <w:color w:val="auto"/>
        </w:rPr>
      </w:pPr>
    </w:p>
    <w:p>
      <w:pPr>
        <w:ind w:left="80" w:right="219"/>
        <w:spacing w:after="0" w:line="300" w:lineRule="auto"/>
        <w:rPr>
          <w:sz w:val="20"/>
          <w:szCs w:val="20"/>
          <w:color w:val="auto"/>
        </w:rPr>
      </w:pPr>
      <w:r>
        <w:rPr>
          <w:rFonts w:ascii="Times New Roman" w:cs="Times New Roman" w:eastAsia="Times New Roman" w:hAnsi="Times New Roman"/>
          <w:sz w:val="14"/>
          <w:szCs w:val="14"/>
          <w:color w:val="auto"/>
        </w:rPr>
        <w:t>Based on the foregoing and in reliance thereon, and subject to the assumptions, exceptions, qualifications and limitations set forth herein, we are of the opinion that:</w:t>
      </w:r>
    </w:p>
    <w:p>
      <w:pPr>
        <w:spacing w:after="0" w:line="43" w:lineRule="exact"/>
        <w:rPr>
          <w:sz w:val="20"/>
          <w:szCs w:val="20"/>
          <w:color w:val="auto"/>
        </w:rPr>
      </w:pPr>
    </w:p>
    <w:p>
      <w:pPr>
        <w:ind w:left="860" w:hanging="440"/>
        <w:spacing w:after="0"/>
        <w:tabs>
          <w:tab w:leader="none" w:pos="8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Debt Securities, when:</w:t>
      </w:r>
    </w:p>
    <w:p>
      <w:pPr>
        <w:spacing w:after="0" w:line="110" w:lineRule="exact"/>
        <w:rPr>
          <w:rFonts w:ascii="Times New Roman" w:cs="Times New Roman" w:eastAsia="Times New Roman" w:hAnsi="Times New Roman"/>
          <w:sz w:val="14"/>
          <w:szCs w:val="14"/>
          <w:color w:val="auto"/>
        </w:rPr>
      </w:pPr>
    </w:p>
    <w:p>
      <w:pPr>
        <w:ind w:left="1220" w:right="399" w:hanging="355"/>
        <w:spacing w:after="0" w:line="300" w:lineRule="auto"/>
        <w:tabs>
          <w:tab w:leader="none" w:pos="122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of such Debt Securities have been duly established by supplemental indenture or officers’ certificate in accordance with the terms and conditions of the Base Indenture,</w:t>
      </w:r>
    </w:p>
    <w:p>
      <w:pPr>
        <w:spacing w:after="0" w:line="42" w:lineRule="exact"/>
        <w:rPr>
          <w:rFonts w:ascii="Times New Roman" w:cs="Times New Roman" w:eastAsia="Times New Roman" w:hAnsi="Times New Roman"/>
          <w:sz w:val="14"/>
          <w:szCs w:val="14"/>
          <w:color w:val="auto"/>
        </w:rPr>
      </w:pPr>
    </w:p>
    <w:p>
      <w:pPr>
        <w:ind w:left="1220" w:right="119" w:hanging="355"/>
        <w:spacing w:after="0" w:line="300" w:lineRule="auto"/>
        <w:tabs>
          <w:tab w:leader="none" w:pos="122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such supplemental indenture has been duly executed and delivered by the Company and the trustee (the Base Indenture, together with any such supplemental indenture or any officers’ certificate described in clause (a) above,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and</w:t>
      </w:r>
    </w:p>
    <w:p>
      <w:pPr>
        <w:spacing w:after="0" w:line="42" w:lineRule="exact"/>
        <w:rPr>
          <w:rFonts w:ascii="Times New Roman" w:cs="Times New Roman" w:eastAsia="Times New Roman" w:hAnsi="Times New Roman"/>
          <w:sz w:val="14"/>
          <w:szCs w:val="14"/>
          <w:color w:val="auto"/>
        </w:rPr>
      </w:pPr>
    </w:p>
    <w:p>
      <w:pPr>
        <w:ind w:left="1220" w:right="139" w:hanging="355"/>
        <w:spacing w:after="0" w:line="279" w:lineRule="auto"/>
        <w:tabs>
          <w:tab w:leader="none" w:pos="122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Debt Securities have been executed (in the case of certificated Debt Securities), delivered and authenticated in accordance with the terms of the Indenture and issued and sold for the consideration set forth in the applicable definitive purchase, underwriting or similar agreement,</w:t>
      </w:r>
    </w:p>
    <w:p>
      <w:pPr>
        <w:spacing w:after="0" w:line="47" w:lineRule="exact"/>
        <w:rPr>
          <w:sz w:val="20"/>
          <w:szCs w:val="20"/>
          <w:color w:val="auto"/>
        </w:rPr>
      </w:pPr>
    </w:p>
    <w:p>
      <w:pPr>
        <w:ind w:left="420" w:right="479"/>
        <w:spacing w:after="0" w:line="300" w:lineRule="auto"/>
        <w:rPr>
          <w:sz w:val="20"/>
          <w:szCs w:val="20"/>
          <w:color w:val="auto"/>
        </w:rPr>
      </w:pPr>
      <w:r>
        <w:rPr>
          <w:rFonts w:ascii="Times New Roman" w:cs="Times New Roman" w:eastAsia="Times New Roman" w:hAnsi="Times New Roman"/>
          <w:sz w:val="14"/>
          <w:szCs w:val="14"/>
          <w:color w:val="auto"/>
        </w:rPr>
        <w:t>such Debt Securities will be legal, valid and binding obligations of the Company, enforceable against the Company in accordance with their respective terms.</w:t>
      </w:r>
    </w:p>
    <w:p>
      <w:pPr>
        <w:sectPr>
          <w:pgSz w:w="11900" w:h="16838" w:orient="portrait"/>
          <w:cols w:equalWidth="0" w:num="1">
            <w:col w:w="9019"/>
          </w:cols>
          <w:pgMar w:left="1440" w:top="657" w:right="1440" w:bottom="1440" w:gutter="0" w:footer="0" w:header="0"/>
        </w:sectPr>
      </w:pPr>
    </w:p>
    <w:bookmarkStart w:id="36" w:name="page37"/>
    <w:bookmarkEnd w:id="36"/>
    <w:p>
      <w:pPr>
        <w:ind w:left="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7198360" cy="33655"/>
                    </a:xfrm>
                    <a:prstGeom prst="rect">
                      <a:avLst/>
                    </a:prstGeom>
                    <a:noFill/>
                  </pic:spPr>
                </pic:pic>
              </a:graphicData>
            </a:graphic>
          </wp:anchor>
        </w:drawing>
        <w:drawing>
          <wp:anchor simplePos="0" relativeHeight="251657728" behindDoc="1" locked="0" layoutInCell="0" allowOverlap="1">
            <wp:simplePos x="0" y="0"/>
            <wp:positionH relativeFrom="page">
              <wp:posOffset>960755</wp:posOffset>
            </wp:positionH>
            <wp:positionV relativeFrom="page">
              <wp:posOffset>164465</wp:posOffset>
            </wp:positionV>
            <wp:extent cx="1269365" cy="1447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269365" cy="144780"/>
                    </a:xfrm>
                    <a:prstGeom prst="rect">
                      <a:avLst/>
                    </a:prstGeom>
                    <a:noFill/>
                  </pic:spPr>
                </pic:pic>
              </a:graphicData>
            </a:graphic>
          </wp:anchor>
        </w:drawing>
        <w:t>November 2, 2026</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Page 4</w:t>
      </w:r>
    </w:p>
    <w:p>
      <w:pPr>
        <w:spacing w:after="0" w:line="117" w:lineRule="exact"/>
        <w:rPr>
          <w:sz w:val="20"/>
          <w:szCs w:val="20"/>
          <w:color w:val="auto"/>
        </w:rPr>
      </w:pPr>
    </w:p>
    <w:p>
      <w:pPr>
        <w:ind w:left="860" w:hanging="440"/>
        <w:spacing w:after="0"/>
        <w:tabs>
          <w:tab w:leader="none" w:pos="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shares of Preferred Stock, when:</w:t>
      </w:r>
    </w:p>
    <w:p>
      <w:pPr>
        <w:spacing w:after="0" w:line="110" w:lineRule="exact"/>
        <w:rPr>
          <w:rFonts w:ascii="Times New Roman" w:cs="Times New Roman" w:eastAsia="Times New Roman" w:hAnsi="Times New Roman"/>
          <w:sz w:val="14"/>
          <w:szCs w:val="14"/>
          <w:color w:val="auto"/>
        </w:rPr>
      </w:pPr>
    </w:p>
    <w:p>
      <w:pPr>
        <w:ind w:left="1220" w:right="279" w:hanging="355"/>
        <w:spacing w:after="0" w:line="300" w:lineRule="auto"/>
        <w:tabs>
          <w:tab w:leader="none" w:pos="12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certificate of designations relating to such Preferred Stock has been duly executed and filed with the Office of the Secretary of State of the State of Delaware,</w:t>
      </w:r>
    </w:p>
    <w:p>
      <w:pPr>
        <w:spacing w:after="0" w:line="42" w:lineRule="exact"/>
        <w:rPr>
          <w:rFonts w:ascii="Times New Roman" w:cs="Times New Roman" w:eastAsia="Times New Roman" w:hAnsi="Times New Roman"/>
          <w:sz w:val="14"/>
          <w:szCs w:val="14"/>
          <w:color w:val="auto"/>
        </w:rPr>
      </w:pPr>
    </w:p>
    <w:p>
      <w:pPr>
        <w:jc w:val="both"/>
        <w:ind w:left="1220" w:right="99" w:hanging="355"/>
        <w:spacing w:after="0" w:line="269" w:lineRule="auto"/>
        <w:tabs>
          <w:tab w:leader="none" w:pos="12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shares have been issued either (i) in accordance with the applicable definitive purchase, underwriting or similar agreement and for the consideration therefor provided for therein or (ii) upon exercise, conversion or exchange of any Convertible Security and for any additional consideration specified in such Convertible Security or the instrument governing such Convertible Security providing for such conversion or exercise, which consideration (including any consideration paid for such Convertible Security), on a per-share basis, shall in either event not be less than the par value of the Preferred Stock, and</w:t>
      </w:r>
    </w:p>
    <w:p>
      <w:pPr>
        <w:spacing w:after="0" w:line="64" w:lineRule="exact"/>
        <w:rPr>
          <w:rFonts w:ascii="Times New Roman" w:cs="Times New Roman" w:eastAsia="Times New Roman" w:hAnsi="Times New Roman"/>
          <w:sz w:val="14"/>
          <w:szCs w:val="14"/>
          <w:color w:val="auto"/>
        </w:rPr>
      </w:pPr>
    </w:p>
    <w:p>
      <w:pPr>
        <w:ind w:left="1220" w:right="199" w:hanging="355"/>
        <w:spacing w:after="0" w:line="300" w:lineRule="auto"/>
        <w:tabs>
          <w:tab w:leader="none" w:pos="12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such Convertible Security was previously validly issued and is fully paid and non-assessable (in the case of an equity Security) or is a legal, valid and binding obligation of the Company, enforceable against the Company in accordance with its terms,</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such shares of Preferred Stock will be validly issued, fully paid and non-assessable.</w:t>
      </w:r>
    </w:p>
    <w:p>
      <w:pPr>
        <w:spacing w:after="0" w:line="208" w:lineRule="exact"/>
        <w:rPr>
          <w:sz w:val="20"/>
          <w:szCs w:val="20"/>
          <w:color w:val="auto"/>
        </w:rPr>
      </w:pPr>
    </w:p>
    <w:p>
      <w:pPr>
        <w:ind w:left="860" w:hanging="440"/>
        <w:spacing w:after="0"/>
        <w:tabs>
          <w:tab w:leader="none" w:pos="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shares of Common Stock, when:</w:t>
      </w:r>
    </w:p>
    <w:p>
      <w:pPr>
        <w:spacing w:after="0" w:line="110" w:lineRule="exact"/>
        <w:rPr>
          <w:rFonts w:ascii="Times New Roman" w:cs="Times New Roman" w:eastAsia="Times New Roman" w:hAnsi="Times New Roman"/>
          <w:sz w:val="14"/>
          <w:szCs w:val="14"/>
          <w:color w:val="auto"/>
        </w:rPr>
      </w:pPr>
    </w:p>
    <w:p>
      <w:pPr>
        <w:ind w:left="1220" w:right="99" w:hanging="355"/>
        <w:spacing w:after="0" w:line="267" w:lineRule="auto"/>
        <w:tabs>
          <w:tab w:leader="none" w:pos="122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shares of Common Stock have been duly executed (in the case of certificated shares) and delivered either (i) in accordance with the applicable definitive purchase, underwriting or similar agreement for the consideration provided for therein, or (ii) upon conversion or exercise of any Convertible Security, in accordance with the terms of such Convertible Security or the instrument governing such Convertible Security providing for such conversion or exercise, and for any additional consideration specified therein, which consideration (including any consideration paid for such Convertible Security), on a per-share basis, shall in either event not be less than the par value of the Common Stock, and</w:t>
      </w:r>
    </w:p>
    <w:p>
      <w:pPr>
        <w:spacing w:after="0" w:line="65" w:lineRule="exact"/>
        <w:rPr>
          <w:rFonts w:ascii="Times New Roman" w:cs="Times New Roman" w:eastAsia="Times New Roman" w:hAnsi="Times New Roman"/>
          <w:sz w:val="14"/>
          <w:szCs w:val="14"/>
          <w:color w:val="auto"/>
        </w:rPr>
      </w:pPr>
    </w:p>
    <w:p>
      <w:pPr>
        <w:ind w:left="1220" w:right="199" w:hanging="355"/>
        <w:spacing w:after="0" w:line="300" w:lineRule="auto"/>
        <w:tabs>
          <w:tab w:leader="none" w:pos="122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such Convertible Security was previously validly issued and is fully paid and non-assessable (in the case of an equity Security) or is a legal, valid and binding obligation of the Company, enforceable against the Company in accordance with its terms,</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such shares of Common Stock will be validly issued, fully paid and non-assessable.</w:t>
      </w:r>
    </w:p>
    <w:p>
      <w:pPr>
        <w:sectPr>
          <w:pgSz w:w="11900" w:h="16838" w:orient="portrait"/>
          <w:cols w:equalWidth="0" w:num="1">
            <w:col w:w="9019"/>
          </w:cols>
          <w:pgMar w:left="1440" w:top="559" w:right="1440" w:bottom="1440" w:gutter="0" w:footer="0" w:header="0"/>
        </w:sectPr>
      </w:pPr>
    </w:p>
    <w:bookmarkStart w:id="37" w:name="page38"/>
    <w:bookmarkEnd w:id="37"/>
    <w:p>
      <w:pPr>
        <w:ind w:left="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7198360" cy="33655"/>
                    </a:xfrm>
                    <a:prstGeom prst="rect">
                      <a:avLst/>
                    </a:prstGeom>
                    <a:noFill/>
                  </pic:spPr>
                </pic:pic>
              </a:graphicData>
            </a:graphic>
          </wp:anchor>
        </w:drawing>
        <w:drawing>
          <wp:anchor simplePos="0" relativeHeight="251657728" behindDoc="1" locked="0" layoutInCell="0" allowOverlap="1">
            <wp:simplePos x="0" y="0"/>
            <wp:positionH relativeFrom="page">
              <wp:posOffset>960755</wp:posOffset>
            </wp:positionH>
            <wp:positionV relativeFrom="page">
              <wp:posOffset>164465</wp:posOffset>
            </wp:positionV>
            <wp:extent cx="1269365" cy="1447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269365" cy="144780"/>
                    </a:xfrm>
                    <a:prstGeom prst="rect">
                      <a:avLst/>
                    </a:prstGeom>
                    <a:noFill/>
                  </pic:spPr>
                </pic:pic>
              </a:graphicData>
            </a:graphic>
          </wp:anchor>
        </w:drawing>
        <w:t>November 2, 2026</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Page 5</w:t>
      </w:r>
    </w:p>
    <w:p>
      <w:pPr>
        <w:spacing w:after="0" w:line="117" w:lineRule="exact"/>
        <w:rPr>
          <w:sz w:val="20"/>
          <w:szCs w:val="20"/>
          <w:color w:val="auto"/>
        </w:rPr>
      </w:pPr>
    </w:p>
    <w:p>
      <w:pPr>
        <w:ind w:left="860" w:hanging="440"/>
        <w:spacing w:after="0"/>
        <w:tabs>
          <w:tab w:leader="none" w:pos="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Purchase Contracts, when:</w:t>
      </w:r>
    </w:p>
    <w:p>
      <w:pPr>
        <w:spacing w:after="0" w:line="110" w:lineRule="exact"/>
        <w:rPr>
          <w:rFonts w:ascii="Times New Roman" w:cs="Times New Roman" w:eastAsia="Times New Roman" w:hAnsi="Times New Roman"/>
          <w:sz w:val="14"/>
          <w:szCs w:val="14"/>
          <w:color w:val="auto"/>
        </w:rPr>
      </w:pPr>
    </w:p>
    <w:p>
      <w:pPr>
        <w:ind w:left="1220" w:right="159" w:hanging="355"/>
        <w:spacing w:after="0" w:line="300" w:lineRule="auto"/>
        <w:tabs>
          <w:tab w:leader="none" w:pos="122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related purchase contract agreement (“</w:t>
      </w:r>
      <w:r>
        <w:rPr>
          <w:rFonts w:ascii="Times New Roman" w:cs="Times New Roman" w:eastAsia="Times New Roman" w:hAnsi="Times New Roman"/>
          <w:sz w:val="14"/>
          <w:szCs w:val="14"/>
          <w:u w:val="single" w:color="auto"/>
          <w:color w:val="auto"/>
        </w:rPr>
        <w:t>Purchase Contract Agreement</w:t>
      </w:r>
      <w:r>
        <w:rPr>
          <w:rFonts w:ascii="Times New Roman" w:cs="Times New Roman" w:eastAsia="Times New Roman" w:hAnsi="Times New Roman"/>
          <w:sz w:val="14"/>
          <w:szCs w:val="14"/>
          <w:color w:val="auto"/>
        </w:rPr>
        <w:t>”), if any, has been duly executed by the Company and each other party thereto,</w:t>
      </w:r>
    </w:p>
    <w:p>
      <w:pPr>
        <w:spacing w:after="0" w:line="42" w:lineRule="exact"/>
        <w:rPr>
          <w:rFonts w:ascii="Times New Roman" w:cs="Times New Roman" w:eastAsia="Times New Roman" w:hAnsi="Times New Roman"/>
          <w:sz w:val="14"/>
          <w:szCs w:val="14"/>
          <w:color w:val="auto"/>
        </w:rPr>
      </w:pPr>
    </w:p>
    <w:p>
      <w:pPr>
        <w:ind w:left="1220" w:right="539" w:hanging="355"/>
        <w:spacing w:after="0" w:line="300" w:lineRule="auto"/>
        <w:tabs>
          <w:tab w:leader="none" w:pos="122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Purchase Contracts have been established in accordance with the Purchase Contract Agreement, if any, or the applicable definitive purchase, underwriting or similar agreement,</w:t>
      </w:r>
    </w:p>
    <w:p>
      <w:pPr>
        <w:spacing w:after="0" w:line="42" w:lineRule="exact"/>
        <w:rPr>
          <w:rFonts w:ascii="Times New Roman" w:cs="Times New Roman" w:eastAsia="Times New Roman" w:hAnsi="Times New Roman"/>
          <w:sz w:val="14"/>
          <w:szCs w:val="14"/>
          <w:color w:val="auto"/>
        </w:rPr>
      </w:pPr>
    </w:p>
    <w:p>
      <w:pPr>
        <w:ind w:left="1220" w:right="299" w:hanging="355"/>
        <w:spacing w:after="0" w:line="279" w:lineRule="auto"/>
        <w:tabs>
          <w:tab w:leader="none" w:pos="122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collateral or security arrangements relating to such Purchase Contracts have been established and the agreements thereto have been validly executed and delivered by each of the parties thereto and any collateral has been deposited with the collateral agent, if applicable, in accordance with such arrangements, and</w:t>
      </w:r>
    </w:p>
    <w:p>
      <w:pPr>
        <w:spacing w:after="0" w:line="57" w:lineRule="exact"/>
        <w:rPr>
          <w:rFonts w:ascii="Times New Roman" w:cs="Times New Roman" w:eastAsia="Times New Roman" w:hAnsi="Times New Roman"/>
          <w:sz w:val="14"/>
          <w:szCs w:val="14"/>
          <w:color w:val="auto"/>
        </w:rPr>
      </w:pPr>
    </w:p>
    <w:p>
      <w:pPr>
        <w:ind w:left="1220" w:right="119" w:hanging="355"/>
        <w:spacing w:after="0" w:line="279" w:lineRule="auto"/>
        <w:tabs>
          <w:tab w:leader="none" w:pos="122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Purchase Contracts have been executed (in the case of certificated Purchase Contracts) and delivered in accordance with the Purchase Contract Agreement, if any, and the applicable definitive purchase, underwriting or similar agreement for the consideration provided for therein,</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such Purchase Contracts will be legal, valid and binding obligations of the Company, enforceable in accordance with their terms.</w:t>
      </w:r>
    </w:p>
    <w:p>
      <w:pPr>
        <w:spacing w:after="0" w:line="208" w:lineRule="exact"/>
        <w:rPr>
          <w:sz w:val="20"/>
          <w:szCs w:val="20"/>
          <w:color w:val="auto"/>
        </w:rPr>
      </w:pPr>
    </w:p>
    <w:p>
      <w:pPr>
        <w:ind w:left="860" w:hanging="440"/>
        <w:spacing w:after="0"/>
        <w:tabs>
          <w:tab w:leader="none" w:pos="8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Warrants, when:</w:t>
      </w:r>
    </w:p>
    <w:p>
      <w:pPr>
        <w:spacing w:after="0" w:line="110" w:lineRule="exact"/>
        <w:rPr>
          <w:rFonts w:ascii="Times New Roman" w:cs="Times New Roman" w:eastAsia="Times New Roman" w:hAnsi="Times New Roman"/>
          <w:sz w:val="14"/>
          <w:szCs w:val="14"/>
          <w:color w:val="auto"/>
        </w:rPr>
      </w:pPr>
    </w:p>
    <w:p>
      <w:pPr>
        <w:ind w:left="1220" w:right="379" w:hanging="355"/>
        <w:spacing w:after="0" w:line="300" w:lineRule="auto"/>
        <w:tabs>
          <w:tab w:leader="none" w:pos="122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warrant agreement relating to such Warrants (the “</w:t>
      </w:r>
      <w:r>
        <w:rPr>
          <w:rFonts w:ascii="Times New Roman" w:cs="Times New Roman" w:eastAsia="Times New Roman" w:hAnsi="Times New Roman"/>
          <w:sz w:val="14"/>
          <w:szCs w:val="14"/>
          <w:u w:val="single" w:color="auto"/>
          <w:color w:val="auto"/>
        </w:rPr>
        <w:t>Warrant Agreement</w:t>
      </w:r>
      <w:r>
        <w:rPr>
          <w:rFonts w:ascii="Times New Roman" w:cs="Times New Roman" w:eastAsia="Times New Roman" w:hAnsi="Times New Roman"/>
          <w:sz w:val="14"/>
          <w:szCs w:val="14"/>
          <w:color w:val="auto"/>
        </w:rPr>
        <w:t>”), if any, has been duly executed and delivered by the Company and each other party thereto,</w:t>
      </w:r>
    </w:p>
    <w:p>
      <w:pPr>
        <w:spacing w:after="0" w:line="42" w:lineRule="exact"/>
        <w:rPr>
          <w:rFonts w:ascii="Times New Roman" w:cs="Times New Roman" w:eastAsia="Times New Roman" w:hAnsi="Times New Roman"/>
          <w:sz w:val="14"/>
          <w:szCs w:val="14"/>
          <w:color w:val="auto"/>
        </w:rPr>
      </w:pPr>
    </w:p>
    <w:p>
      <w:pPr>
        <w:ind w:left="1220" w:right="419" w:hanging="355"/>
        <w:spacing w:after="0" w:line="300" w:lineRule="auto"/>
        <w:tabs>
          <w:tab w:leader="none" w:pos="122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Warrants have been established in accordance with the Warrant Agreement, if any, and the applicable definitive purchase, underwriting or similar agreement, and</w:t>
      </w:r>
    </w:p>
    <w:p>
      <w:pPr>
        <w:spacing w:after="0" w:line="42" w:lineRule="exact"/>
        <w:rPr>
          <w:rFonts w:ascii="Times New Roman" w:cs="Times New Roman" w:eastAsia="Times New Roman" w:hAnsi="Times New Roman"/>
          <w:sz w:val="14"/>
          <w:szCs w:val="14"/>
          <w:color w:val="auto"/>
        </w:rPr>
      </w:pPr>
    </w:p>
    <w:p>
      <w:pPr>
        <w:ind w:left="1220" w:right="99" w:hanging="355"/>
        <w:spacing w:after="0" w:line="300" w:lineRule="auto"/>
        <w:tabs>
          <w:tab w:leader="none" w:pos="122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Warrants have been duly executed (in the case of certificated Warrants) and delivered in accordance with the Warrant Agreement, if any, and the applicable definitive purchase, underwriting or similar agreement for the consideration provided for therein,</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such Warrants will be legal, valid and binding obligations of the Company, enforceable against the Company in accordance with their terms.</w:t>
      </w:r>
    </w:p>
    <w:p>
      <w:pPr>
        <w:sectPr>
          <w:pgSz w:w="11900" w:h="16838" w:orient="portrait"/>
          <w:cols w:equalWidth="0" w:num="1">
            <w:col w:w="9019"/>
          </w:cols>
          <w:pgMar w:left="1440" w:top="559" w:right="1440" w:bottom="1440" w:gutter="0" w:footer="0" w:header="0"/>
        </w:sectPr>
      </w:pPr>
    </w:p>
    <w:bookmarkStart w:id="38" w:name="page39"/>
    <w:bookmarkEnd w:id="38"/>
    <w:p>
      <w:pPr>
        <w:ind w:left="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7198360" cy="33655"/>
                    </a:xfrm>
                    <a:prstGeom prst="rect">
                      <a:avLst/>
                    </a:prstGeom>
                    <a:noFill/>
                  </pic:spPr>
                </pic:pic>
              </a:graphicData>
            </a:graphic>
          </wp:anchor>
        </w:drawing>
        <w:drawing>
          <wp:anchor simplePos="0" relativeHeight="251657728" behindDoc="1" locked="0" layoutInCell="0" allowOverlap="1">
            <wp:simplePos x="0" y="0"/>
            <wp:positionH relativeFrom="page">
              <wp:posOffset>960755</wp:posOffset>
            </wp:positionH>
            <wp:positionV relativeFrom="page">
              <wp:posOffset>226695</wp:posOffset>
            </wp:positionV>
            <wp:extent cx="1289685" cy="1447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289685" cy="144780"/>
                    </a:xfrm>
                    <a:prstGeom prst="rect">
                      <a:avLst/>
                    </a:prstGeom>
                    <a:noFill/>
                  </pic:spPr>
                </pic:pic>
              </a:graphicData>
            </a:graphic>
          </wp:anchor>
        </w:drawing>
        <w:t>November 2, 2026</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Page 6</w:t>
      </w:r>
    </w:p>
    <w:p>
      <w:pPr>
        <w:spacing w:after="0" w:line="117" w:lineRule="exact"/>
        <w:rPr>
          <w:sz w:val="20"/>
          <w:szCs w:val="20"/>
          <w:color w:val="auto"/>
        </w:rPr>
      </w:pPr>
    </w:p>
    <w:p>
      <w:pPr>
        <w:ind w:left="860" w:hanging="440"/>
        <w:spacing w:after="0"/>
        <w:tabs>
          <w:tab w:leader="none" w:pos="8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Units, when:</w:t>
      </w:r>
    </w:p>
    <w:p>
      <w:pPr>
        <w:spacing w:after="0" w:line="110" w:lineRule="exact"/>
        <w:rPr>
          <w:rFonts w:ascii="Times New Roman" w:cs="Times New Roman" w:eastAsia="Times New Roman" w:hAnsi="Times New Roman"/>
          <w:sz w:val="14"/>
          <w:szCs w:val="14"/>
          <w:color w:val="auto"/>
        </w:rPr>
      </w:pPr>
    </w:p>
    <w:p>
      <w:pPr>
        <w:ind w:left="1220" w:right="259" w:hanging="355"/>
        <w:spacing w:after="0" w:line="300" w:lineRule="auto"/>
        <w:tabs>
          <w:tab w:leader="none" w:pos="122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 agreement relating to the Units (the “</w:t>
      </w:r>
      <w:r>
        <w:rPr>
          <w:rFonts w:ascii="Times New Roman" w:cs="Times New Roman" w:eastAsia="Times New Roman" w:hAnsi="Times New Roman"/>
          <w:sz w:val="14"/>
          <w:szCs w:val="14"/>
          <w:u w:val="single" w:color="auto"/>
          <w:color w:val="auto"/>
        </w:rPr>
        <w:t>Unit Agreement</w:t>
      </w:r>
      <w:r>
        <w:rPr>
          <w:rFonts w:ascii="Times New Roman" w:cs="Times New Roman" w:eastAsia="Times New Roman" w:hAnsi="Times New Roman"/>
          <w:sz w:val="14"/>
          <w:szCs w:val="14"/>
          <w:color w:val="auto"/>
        </w:rPr>
        <w:t>”), if any, has been duly executed and delivered by the Company and each other party thereto,</w:t>
      </w:r>
    </w:p>
    <w:p>
      <w:pPr>
        <w:spacing w:after="0" w:line="42" w:lineRule="exact"/>
        <w:rPr>
          <w:rFonts w:ascii="Times New Roman" w:cs="Times New Roman" w:eastAsia="Times New Roman" w:hAnsi="Times New Roman"/>
          <w:sz w:val="14"/>
          <w:szCs w:val="14"/>
          <w:color w:val="auto"/>
        </w:rPr>
      </w:pPr>
    </w:p>
    <w:p>
      <w:pPr>
        <w:ind w:left="1220" w:right="539" w:hanging="355"/>
        <w:spacing w:after="0" w:line="300" w:lineRule="auto"/>
        <w:tabs>
          <w:tab w:leader="none" w:pos="122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Units have been duly established in accordance with the Unit Agreement, if any, and the applicable definitive purchase, underwriting or similar agreement, and</w:t>
      </w:r>
    </w:p>
    <w:p>
      <w:pPr>
        <w:spacing w:after="0" w:line="42" w:lineRule="exact"/>
        <w:rPr>
          <w:rFonts w:ascii="Times New Roman" w:cs="Times New Roman" w:eastAsia="Times New Roman" w:hAnsi="Times New Roman"/>
          <w:sz w:val="14"/>
          <w:szCs w:val="14"/>
          <w:color w:val="auto"/>
        </w:rPr>
      </w:pPr>
    </w:p>
    <w:p>
      <w:pPr>
        <w:ind w:left="1220" w:right="319" w:hanging="355"/>
        <w:spacing w:after="0" w:line="300" w:lineRule="auto"/>
        <w:tabs>
          <w:tab w:leader="none" w:pos="122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Units have been duly executed (in the case of certificated Units) and delivered in accordance with the Unit Agreement, if any, and the applicable definitive purchase, underwriting or similar agreement for the consideration provided for therein,</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Units will be legal, valid and binding obligations of the Company, enforceable against the Company in accordance with their terms.</w:t>
      </w:r>
    </w:p>
    <w:p>
      <w:pPr>
        <w:spacing w:after="0" w:line="1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The opinions expressed above are subject to the following exceptions, qualifications, limitations and assumptions:</w:t>
      </w:r>
    </w:p>
    <w:p>
      <w:pPr>
        <w:spacing w:after="0" w:line="100" w:lineRule="exact"/>
        <w:rPr>
          <w:sz w:val="20"/>
          <w:szCs w:val="20"/>
          <w:color w:val="auto"/>
        </w:rPr>
      </w:pPr>
    </w:p>
    <w:p>
      <w:pPr>
        <w:ind w:left="80" w:right="119" w:firstLine="354"/>
        <w:spacing w:after="0" w:line="273" w:lineRule="auto"/>
        <w:rPr>
          <w:sz w:val="20"/>
          <w:szCs w:val="20"/>
          <w:color w:val="auto"/>
        </w:rPr>
      </w:pPr>
      <w:r>
        <w:rPr>
          <w:rFonts w:ascii="Times New Roman" w:cs="Times New Roman" w:eastAsia="Times New Roman" w:hAnsi="Times New Roman"/>
          <w:sz w:val="14"/>
          <w:szCs w:val="14"/>
          <w:color w:val="auto"/>
        </w:rPr>
        <w:t>A. We render no opinion herein as to matters involving the laws of any jurisdiction other than the State of New York and, for purposes of paragraphs 2 and 3, the Delaware General Corporation Law. This opinion is limited to the effect of the current state of the laws of the State of New York and, to the limited extent set forth above, the laws of the State of Delaware and the facts as they currently exist. We assume no obligation to revise or supplement this opinion in the event of future changes in such laws or the interpretations thereof or such facts.</w:t>
      </w:r>
    </w:p>
    <w:p>
      <w:pPr>
        <w:spacing w:after="0" w:line="136" w:lineRule="exact"/>
        <w:rPr>
          <w:sz w:val="20"/>
          <w:szCs w:val="20"/>
          <w:color w:val="auto"/>
        </w:rPr>
      </w:pPr>
    </w:p>
    <w:p>
      <w:pPr>
        <w:ind w:left="80" w:right="119" w:firstLine="354"/>
        <w:spacing w:after="0" w:line="267" w:lineRule="auto"/>
        <w:rPr>
          <w:sz w:val="20"/>
          <w:szCs w:val="20"/>
          <w:color w:val="auto"/>
        </w:rPr>
      </w:pPr>
      <w:r>
        <w:rPr>
          <w:rFonts w:ascii="Times New Roman" w:cs="Times New Roman" w:eastAsia="Times New Roman" w:hAnsi="Times New Roman"/>
          <w:sz w:val="14"/>
          <w:szCs w:val="14"/>
          <w:color w:val="auto"/>
        </w:rPr>
        <w:t>B. The opinions above with respect to the Indenture, the Debt Securities, the Purchase Contracts, any Purchase Contract Agreement, the Warrants, the Warrant Agreement, the Units and the Unit Agreement (collectively, the “</w:t>
      </w:r>
      <w:r>
        <w:rPr>
          <w:rFonts w:ascii="Times New Roman" w:cs="Times New Roman" w:eastAsia="Times New Roman" w:hAnsi="Times New Roman"/>
          <w:sz w:val="14"/>
          <w:szCs w:val="14"/>
          <w:u w:val="single" w:color="auto"/>
          <w:color w:val="auto"/>
        </w:rPr>
        <w:t>Documents</w:t>
      </w:r>
      <w:r>
        <w:rPr>
          <w:rFonts w:ascii="Times New Roman" w:cs="Times New Roman" w:eastAsia="Times New Roman" w:hAnsi="Times New Roman"/>
          <w:sz w:val="14"/>
          <w:szCs w:val="14"/>
          <w:color w:val="auto"/>
        </w:rPr>
        <w:t>”)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w:t>
      </w:r>
    </w:p>
    <w:p>
      <w:pPr>
        <w:sectPr>
          <w:pgSz w:w="11900" w:h="16838" w:orient="portrait"/>
          <w:cols w:equalWidth="0" w:num="1">
            <w:col w:w="9019"/>
          </w:cols>
          <w:pgMar w:left="1440" w:top="657" w:right="1440" w:bottom="1440" w:gutter="0" w:footer="0" w:header="0"/>
        </w:sectPr>
      </w:pPr>
    </w:p>
    <w:bookmarkStart w:id="39" w:name="page40"/>
    <w:bookmarkEnd w:id="39"/>
    <w:p>
      <w:pPr>
        <w:ind w:left="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7198360" cy="33655"/>
                    </a:xfrm>
                    <a:prstGeom prst="rect">
                      <a:avLst/>
                    </a:prstGeom>
                    <a:noFill/>
                  </pic:spPr>
                </pic:pic>
              </a:graphicData>
            </a:graphic>
          </wp:anchor>
        </w:drawing>
        <w:drawing>
          <wp:anchor simplePos="0" relativeHeight="251657728" behindDoc="1" locked="0" layoutInCell="0" allowOverlap="1">
            <wp:simplePos x="0" y="0"/>
            <wp:positionH relativeFrom="page">
              <wp:posOffset>960755</wp:posOffset>
            </wp:positionH>
            <wp:positionV relativeFrom="page">
              <wp:posOffset>226695</wp:posOffset>
            </wp:positionV>
            <wp:extent cx="1289685" cy="1447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289685" cy="144780"/>
                    </a:xfrm>
                    <a:prstGeom prst="rect">
                      <a:avLst/>
                    </a:prstGeom>
                    <a:noFill/>
                  </pic:spPr>
                </pic:pic>
              </a:graphicData>
            </a:graphic>
          </wp:anchor>
        </w:drawing>
        <w:t>November 2, 2026</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Page 7</w:t>
      </w:r>
    </w:p>
    <w:p>
      <w:pPr>
        <w:spacing w:after="0" w:line="117" w:lineRule="exact"/>
        <w:rPr>
          <w:sz w:val="20"/>
          <w:szCs w:val="20"/>
          <w:color w:val="auto"/>
        </w:rPr>
      </w:pPr>
    </w:p>
    <w:p>
      <w:pPr>
        <w:ind w:left="80" w:right="139" w:firstLine="354"/>
        <w:spacing w:after="0" w:line="270" w:lineRule="auto"/>
        <w:rPr>
          <w:sz w:val="20"/>
          <w:szCs w:val="20"/>
          <w:color w:val="auto"/>
        </w:rPr>
      </w:pPr>
      <w:r>
        <w:rPr>
          <w:rFonts w:ascii="Times New Roman" w:cs="Times New Roman" w:eastAsia="Times New Roman" w:hAnsi="Times New Roman"/>
          <w:sz w:val="14"/>
          <w:szCs w:val="14"/>
          <w:color w:val="auto"/>
        </w:rPr>
        <w:t>C. We express no opinion regarding the effectiveness of (i) any waiver of stay, extension or usury laws; (ii) provisions relating to indemnification, exculpation or contribution, to the extent such provisions may be held unenforceable as contrary to public policy or federal or state securities laws;</w:t>
      </w:r>
    </w:p>
    <w:p>
      <w:pPr>
        <w:spacing w:after="0" w:line="1" w:lineRule="exact"/>
        <w:rPr>
          <w:sz w:val="20"/>
          <w:szCs w:val="20"/>
          <w:color w:val="auto"/>
        </w:rPr>
      </w:pPr>
    </w:p>
    <w:p>
      <w:pPr>
        <w:ind w:left="80" w:right="279" w:hanging="7"/>
        <w:spacing w:after="0" w:line="278" w:lineRule="auto"/>
        <w:tabs>
          <w:tab w:leader="none" w:pos="333"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waiver of the right to jury trial or (iv) any provision to the effect that every right or remedy is cumulative and may be exercised in addition to any other right or remedy or that the election of some particular remedy does not preclude recourse to one or more others.</w:t>
      </w:r>
    </w:p>
    <w:p>
      <w:pPr>
        <w:spacing w:after="0" w:line="133" w:lineRule="exact"/>
        <w:rPr>
          <w:rFonts w:ascii="Times New Roman" w:cs="Times New Roman" w:eastAsia="Times New Roman" w:hAnsi="Times New Roman"/>
          <w:sz w:val="14"/>
          <w:szCs w:val="14"/>
          <w:color w:val="auto"/>
        </w:rPr>
      </w:pPr>
    </w:p>
    <w:p>
      <w:pPr>
        <w:ind w:left="80" w:right="199" w:firstLine="347"/>
        <w:spacing w:after="0" w:line="273" w:lineRule="auto"/>
        <w:tabs>
          <w:tab w:leader="none" w:pos="611"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relevant to our opinions in paragraphs 4, 5 and 6 and not covered by our opinions in paragraphs 1, 2, or 3, we have assumed that any securities, currencies or commodities underlying, comprising or issuable upon exchange, conversion or exercise of any Purchase Contracts, Warrants, or Units are validly issued, fully paid and non-assessable (in the case of an equity security) or a legal, valid and binding obligation of the issuer thereof, enforceable against such issuer in accordance with its terms.</w:t>
      </w:r>
    </w:p>
    <w:p>
      <w:pPr>
        <w:spacing w:after="0" w:line="136" w:lineRule="exact"/>
        <w:rPr>
          <w:sz w:val="20"/>
          <w:szCs w:val="20"/>
          <w:color w:val="auto"/>
        </w:rPr>
      </w:pPr>
    </w:p>
    <w:p>
      <w:pPr>
        <w:ind w:left="80" w:right="139"/>
        <w:spacing w:after="0" w:line="270" w:lineRule="auto"/>
        <w:rPr>
          <w:sz w:val="20"/>
          <w:szCs w:val="20"/>
          <w:color w:val="auto"/>
        </w:rPr>
      </w:pPr>
      <w:r>
        <w:rPr>
          <w:rFonts w:ascii="Times New Roman" w:cs="Times New Roman" w:eastAsia="Times New Roman" w:hAnsi="Times New Roman"/>
          <w:sz w:val="14"/>
          <w:szCs w:val="14"/>
          <w:color w:val="auto"/>
        </w:rPr>
        <w:t>You have informed us that you intend to issue Securities from time to time on a delayed or continuous basis, and we understand that prior to issuing any Securities pursuant to the Registration Statement (i) you will advise us in writing of the terms thereof, and (ii) you will afford us an opportunity to</w:t>
      </w:r>
    </w:p>
    <w:p>
      <w:pPr>
        <w:spacing w:after="0" w:line="1" w:lineRule="exact"/>
        <w:rPr>
          <w:sz w:val="20"/>
          <w:szCs w:val="20"/>
          <w:color w:val="auto"/>
        </w:rPr>
      </w:pPr>
    </w:p>
    <w:p>
      <w:pPr>
        <w:ind w:left="80" w:right="139" w:hanging="7"/>
        <w:spacing w:after="0" w:line="278" w:lineRule="auto"/>
        <w:tabs>
          <w:tab w:leader="none" w:pos="285"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the operative documents pursuant to which such Securities are to be issued or sold (including the applicable offering documents), and (y) file such supplement or amendment to this opinion (if any) as we may reasonably consider necessary or appropriate.</w:t>
      </w:r>
    </w:p>
    <w:p>
      <w:pPr>
        <w:spacing w:after="0" w:line="133" w:lineRule="exact"/>
        <w:rPr>
          <w:sz w:val="20"/>
          <w:szCs w:val="20"/>
          <w:color w:val="auto"/>
        </w:rPr>
      </w:pPr>
    </w:p>
    <w:p>
      <w:pPr>
        <w:ind w:left="80" w:right="119"/>
        <w:spacing w:after="0" w:line="277" w:lineRule="auto"/>
        <w:rPr>
          <w:sz w:val="20"/>
          <w:szCs w:val="20"/>
          <w:color w:val="auto"/>
        </w:rPr>
      </w:pPr>
      <w:r>
        <w:rPr>
          <w:rFonts w:ascii="Times New Roman" w:cs="Times New Roman" w:eastAsia="Times New Roman" w:hAnsi="Times New Roman"/>
          <w:sz w:val="14"/>
          <w:szCs w:val="14"/>
          <w:color w:val="auto"/>
        </w:rPr>
        <w:t>We consent to the filing of this opinion as an exhibit to the Registration Statement, and we further consent to the use of our name under the caption “Legal Matters”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w:t>
      </w:r>
    </w:p>
    <w:p>
      <w:pPr>
        <w:spacing w:after="0" w:line="3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2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/s/ Gibson, Dunn &amp; Crutcher LLP</w:t>
      </w:r>
    </w:p>
    <w:p>
      <w:pPr>
        <w:sectPr>
          <w:pgSz w:w="11900" w:h="16838" w:orient="portrait"/>
          <w:cols w:equalWidth="0" w:num="1">
            <w:col w:w="9019"/>
          </w:cols>
          <w:pgMar w:left="1440" w:top="657" w:right="1440" w:bottom="1440" w:gutter="0" w:footer="0" w:header="0"/>
        </w:sectPr>
      </w:pPr>
    </w:p>
    <w:bookmarkStart w:id="40" w:name="page41"/>
    <w:bookmarkEnd w:id="40"/>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9" w:lineRule="exact"/>
        <w:rPr>
          <w:sz w:val="20"/>
          <w:szCs w:val="20"/>
          <w:color w:val="auto"/>
        </w:rPr>
      </w:pPr>
    </w:p>
    <w:p>
      <w:pPr>
        <w:ind w:left="80" w:right="99"/>
        <w:spacing w:after="0" w:line="269"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S-3) and related Prospectus of The Williams Companies, Inc. for the registration of debt securities, preferred stock, common stock, purchase contracts, warrants and units and to the incorporation by reference therein of our reports dated February 24, 2026, with respect to the consolidated financial statements and schedule of The Williams Companies, Inc., and the effectiveness of internal control over financial reporting of The Williams Companies, Inc., included in its Annual Report (Form 10-K) for the year ended December 31, 2025, filed with the Securities and Exchange Commission.</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Tulsa, Oklahoma</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November 2, 2026</w:t>
      </w:r>
    </w:p>
    <w:p>
      <w:pPr>
        <w:sectPr>
          <w:pgSz w:w="11900" w:h="16838" w:orient="portrait"/>
          <w:cols w:equalWidth="0" w:num="1">
            <w:col w:w="9019"/>
          </w:cols>
          <w:pgMar w:left="1440" w:top="123" w:right="1440" w:bottom="1440" w:gutter="0" w:footer="0" w:header="0"/>
        </w:sectPr>
      </w:pPr>
    </w:p>
    <w:bookmarkStart w:id="41" w:name="page42"/>
    <w:bookmarkEnd w:id="41"/>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9" w:lineRule="exact"/>
        <w:rPr>
          <w:sz w:val="20"/>
          <w:szCs w:val="20"/>
          <w:color w:val="auto"/>
        </w:rPr>
      </w:pPr>
    </w:p>
    <w:p>
      <w:pPr>
        <w:ind w:left="80" w:right="119"/>
        <w:spacing w:after="0" w:line="273"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S-3) and related Prospectus of The Williams Companies, Inc. for the registration of debt securities, preferred stock, common stock, purchase contracts, warrants and units and to the incorporation by reference therein of our report dated February 24, 2026, with respect to the financial statements of Transcontinental Gas Pipe Line Company, LLC, included in its Annual Report (Form 10-K) for the year ended December 31, 2025, filed with the Securities and Exchange Commission.</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Tulsa, Oklahoma</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November 2, 2026</w:t>
      </w:r>
    </w:p>
    <w:p>
      <w:pPr>
        <w:sectPr>
          <w:pgSz w:w="11900" w:h="16838" w:orient="portrait"/>
          <w:cols w:equalWidth="0" w:num="1">
            <w:col w:w="9019"/>
          </w:cols>
          <w:pgMar w:left="1440" w:top="123" w:right="1440" w:bottom="1440" w:gutter="0" w:footer="0" w:header="0"/>
        </w:sectPr>
      </w:pPr>
    </w:p>
    <w:bookmarkStart w:id="42" w:name="page43"/>
    <w:bookmarkEnd w:id="42"/>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Exhibit 23.3</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9" w:lineRule="exact"/>
        <w:rPr>
          <w:sz w:val="20"/>
          <w:szCs w:val="20"/>
          <w:color w:val="auto"/>
        </w:rPr>
      </w:pPr>
    </w:p>
    <w:p>
      <w:pPr>
        <w:ind w:left="80" w:right="119"/>
        <w:spacing w:after="0" w:line="273"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S-3) and related Prospectus of The Williams Companies, Inc. for the registration of debt securities, preferred stock, common stock, purchase contracts, warrants and units and to the incorporation by reference therein of our report dated February 24, 2026, with respect to the financial statements of Northwest Pipeline LLC, included in its Annual Report (Form 10-K) for the year ended December 31, 2025, filed with the Securities and Exchange Commission.</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Tulsa, Oklahoma</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November 2, 2026</w:t>
      </w:r>
    </w:p>
    <w:p>
      <w:pPr>
        <w:sectPr>
          <w:pgSz w:w="11900" w:h="16838" w:orient="portrait"/>
          <w:cols w:equalWidth="0" w:num="1">
            <w:col w:w="9019"/>
          </w:cols>
          <w:pgMar w:left="1440" w:top="123" w:right="1440" w:bottom="1440" w:gutter="0" w:footer="0" w:header="0"/>
        </w:sectPr>
      </w:pPr>
    </w:p>
    <w:bookmarkStart w:id="43" w:name="page44"/>
    <w:bookmarkEnd w:id="43"/>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149860</wp:posOffset>
            </wp:positionV>
            <wp:extent cx="562800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5628005" cy="698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184150</wp:posOffset>
            </wp:positionV>
            <wp:extent cx="562800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5628005" cy="6985"/>
                    </a:xfrm>
                    <a:prstGeom prst="rect">
                      <a:avLst/>
                    </a:prstGeom>
                    <a:noFill/>
                  </pic:spPr>
                </pic:pic>
              </a:graphicData>
            </a:graphic>
          </wp:anchor>
        </w:drawing>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180975</wp:posOffset>
            </wp:positionV>
            <wp:extent cx="118618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200025</wp:posOffset>
            </wp:positionV>
            <wp:extent cx="118618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ind w:left="73" w:right="92"/>
        <w:spacing w:after="0" w:line="260" w:lineRule="auto"/>
        <w:rPr>
          <w:sz w:val="20"/>
          <w:szCs w:val="20"/>
          <w:color w:val="auto"/>
        </w:rPr>
      </w:pPr>
      <w:r>
        <w:rPr>
          <w:rFonts w:ascii="Times New Roman" w:cs="Times New Roman" w:eastAsia="Times New Roman" w:hAnsi="Times New Roman"/>
          <w:sz w:val="17"/>
          <w:szCs w:val="17"/>
          <w:b w:val="1"/>
          <w:bCs w:val="1"/>
          <w:color w:val="auto"/>
        </w:rPr>
        <w:t>STATEMENT OF ELIGIBILITY UNDER THE TRUST INDENTURE ACT OF 1939 OF A CORPORATION DESIGNATED TO ACT AS TRUSTEE</w:t>
      </w:r>
    </w:p>
    <w:p>
      <w:pPr>
        <w:spacing w:after="0" w:line="147" w:lineRule="exact"/>
        <w:rPr>
          <w:sz w:val="20"/>
          <w:szCs w:val="20"/>
          <w:color w:val="auto"/>
        </w:rPr>
      </w:pPr>
    </w:p>
    <w:p>
      <w:pPr>
        <w:ind w:left="420" w:right="1059" w:hanging="347"/>
        <w:spacing w:after="0" w:line="280" w:lineRule="auto"/>
        <w:tabs>
          <w:tab w:leader="none" w:pos="420" w:val="left"/>
        </w:tabs>
        <w:numPr>
          <w:ilvl w:val="0"/>
          <w:numId w:val="46"/>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160655</wp:posOffset>
            </wp:positionV>
            <wp:extent cx="118618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377" w:lineRule="exact"/>
        <w:rPr>
          <w:sz w:val="20"/>
          <w:szCs w:val="20"/>
          <w:color w:val="auto"/>
        </w:rPr>
      </w:pPr>
    </w:p>
    <w:p>
      <w:pPr>
        <w:jc w:val="center"/>
        <w:ind w:left="73" w:right="92"/>
        <w:spacing w:after="0" w:line="252" w:lineRule="auto"/>
        <w:rPr>
          <w:sz w:val="20"/>
          <w:szCs w:val="20"/>
          <w:color w:val="auto"/>
        </w:rPr>
      </w:pPr>
      <w:r>
        <w:rPr>
          <w:rFonts w:ascii="Times New Roman" w:cs="Times New Roman" w:eastAsia="Times New Roman" w:hAnsi="Times New Roman"/>
          <w:sz w:val="35"/>
          <w:szCs w:val="35"/>
          <w:b w:val="1"/>
          <w:bCs w:val="1"/>
          <w:color w:val="auto"/>
        </w:rPr>
        <w:t>THE BANK OF NEW YORK MELLON TRUST COMPANY, N.A.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186690</wp:posOffset>
            </wp:positionV>
            <wp:extent cx="118618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00" w:type="dxa"/>
            <w:vAlign w:val="bottom"/>
          </w:tcPr>
          <w:p>
            <w:pPr>
              <w:jc w:val="center"/>
              <w:ind w:right="1336"/>
              <w:spacing w:after="0"/>
              <w:rPr>
                <w:sz w:val="20"/>
                <w:szCs w:val="20"/>
                <w:color w:val="auto"/>
              </w:rPr>
            </w:pPr>
            <w:r>
              <w:rPr>
                <w:rFonts w:ascii="Times New Roman" w:cs="Times New Roman" w:eastAsia="Times New Roman" w:hAnsi="Times New Roman"/>
                <w:sz w:val="14"/>
                <w:szCs w:val="14"/>
                <w:b w:val="1"/>
                <w:bCs w:val="1"/>
                <w:color w:val="auto"/>
              </w:rPr>
              <w:t>95-3571558</w:t>
            </w:r>
          </w:p>
        </w:tc>
      </w:tr>
      <w:tr>
        <w:trPr>
          <w:trHeight w:val="119"/>
        </w:trPr>
        <w:tc>
          <w:tcPr>
            <w:tcW w:w="5960" w:type="dxa"/>
            <w:vAlign w:val="bottom"/>
            <w:gridSpan w:val="3"/>
          </w:tcPr>
          <w:p>
            <w:pPr>
              <w:jc w:val="center"/>
              <w:ind w:right="1500"/>
              <w:spacing w:after="0" w:line="120" w:lineRule="exact"/>
              <w:rPr>
                <w:sz w:val="20"/>
                <w:szCs w:val="20"/>
                <w:color w:val="auto"/>
              </w:rPr>
            </w:pPr>
            <w:r>
              <w:rPr>
                <w:rFonts w:ascii="Times New Roman" w:cs="Times New Roman" w:eastAsia="Times New Roman" w:hAnsi="Times New Roman"/>
                <w:sz w:val="12"/>
                <w:szCs w:val="12"/>
                <w:b w:val="1"/>
                <w:bCs w:val="1"/>
                <w:color w:val="auto"/>
                <w:w w:val="96"/>
              </w:rPr>
              <w:t>(Jurisdiction of incorporation</w:t>
            </w:r>
          </w:p>
        </w:tc>
        <w:tc>
          <w:tcPr>
            <w:tcW w:w="2900" w:type="dxa"/>
            <w:vAlign w:val="bottom"/>
          </w:tcPr>
          <w:p>
            <w:pPr>
              <w:jc w:val="center"/>
              <w:ind w:right="1336"/>
              <w:spacing w:after="0" w:line="120" w:lineRule="exact"/>
              <w:rPr>
                <w:sz w:val="20"/>
                <w:szCs w:val="20"/>
                <w:color w:val="auto"/>
              </w:rPr>
            </w:pPr>
            <w:r>
              <w:rPr>
                <w:rFonts w:ascii="Times New Roman" w:cs="Times New Roman" w:eastAsia="Times New Roman" w:hAnsi="Times New Roman"/>
                <w:sz w:val="12"/>
                <w:szCs w:val="12"/>
                <w:b w:val="1"/>
                <w:bCs w:val="1"/>
                <w:color w:val="auto"/>
                <w:w w:val="97"/>
              </w:rPr>
              <w:t>(I.R.S. employer</w:t>
            </w:r>
          </w:p>
        </w:tc>
      </w:tr>
      <w:tr>
        <w:trPr>
          <w:trHeight w:val="151"/>
        </w:trPr>
        <w:tc>
          <w:tcPr>
            <w:tcW w:w="5960" w:type="dxa"/>
            <w:vAlign w:val="bottom"/>
            <w:gridSpan w:val="3"/>
          </w:tcPr>
          <w:p>
            <w:pPr>
              <w:jc w:val="center"/>
              <w:ind w:right="1500"/>
              <w:spacing w:after="0"/>
              <w:rPr>
                <w:sz w:val="20"/>
                <w:szCs w:val="20"/>
                <w:color w:val="auto"/>
              </w:rPr>
            </w:pPr>
            <w:r>
              <w:rPr>
                <w:rFonts w:ascii="Times New Roman" w:cs="Times New Roman" w:eastAsia="Times New Roman" w:hAnsi="Times New Roman"/>
                <w:sz w:val="12"/>
                <w:szCs w:val="12"/>
                <w:b w:val="1"/>
                <w:bCs w:val="1"/>
                <w:color w:val="auto"/>
                <w:w w:val="96"/>
              </w:rPr>
              <w:t>if not a U.S. national bank)</w:t>
            </w:r>
          </w:p>
        </w:tc>
        <w:tc>
          <w:tcPr>
            <w:tcW w:w="2900" w:type="dxa"/>
            <w:vAlign w:val="bottom"/>
          </w:tcPr>
          <w:p>
            <w:pPr>
              <w:jc w:val="center"/>
              <w:ind w:right="1356"/>
              <w:spacing w:after="0"/>
              <w:rPr>
                <w:sz w:val="20"/>
                <w:szCs w:val="20"/>
                <w:color w:val="auto"/>
              </w:rPr>
            </w:pPr>
            <w:r>
              <w:rPr>
                <w:rFonts w:ascii="Times New Roman" w:cs="Times New Roman" w:eastAsia="Times New Roman" w:hAnsi="Times New Roman"/>
                <w:sz w:val="12"/>
                <w:szCs w:val="12"/>
                <w:b w:val="1"/>
                <w:bCs w:val="1"/>
                <w:color w:val="auto"/>
                <w:w w:val="96"/>
              </w:rPr>
              <w:t>identification no.)</w:t>
            </w:r>
          </w:p>
        </w:tc>
      </w:tr>
      <w:tr>
        <w:trPr>
          <w:trHeight w:val="316"/>
        </w:trPr>
        <w:tc>
          <w:tcPr>
            <w:tcW w:w="5960" w:type="dxa"/>
            <w:vAlign w:val="bottom"/>
            <w:gridSpan w:val="3"/>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333 South Hope Street Suite 2525 Los Angeles, California</w:t>
            </w:r>
          </w:p>
        </w:tc>
        <w:tc>
          <w:tcPr>
            <w:tcW w:w="2900" w:type="dxa"/>
            <w:vAlign w:val="bottom"/>
          </w:tcPr>
          <w:p>
            <w:pPr>
              <w:jc w:val="center"/>
              <w:ind w:right="1356"/>
              <w:spacing w:after="0"/>
              <w:rPr>
                <w:sz w:val="20"/>
                <w:szCs w:val="20"/>
                <w:color w:val="auto"/>
              </w:rPr>
            </w:pPr>
            <w:r>
              <w:rPr>
                <w:rFonts w:ascii="Times New Roman" w:cs="Times New Roman" w:eastAsia="Times New Roman" w:hAnsi="Times New Roman"/>
                <w:sz w:val="14"/>
                <w:szCs w:val="14"/>
                <w:b w:val="1"/>
                <w:bCs w:val="1"/>
                <w:color w:val="auto"/>
              </w:rPr>
              <w:t>90071</w:t>
            </w:r>
          </w:p>
        </w:tc>
      </w:tr>
      <w:tr>
        <w:trPr>
          <w:trHeight w:val="151"/>
        </w:trPr>
        <w:tc>
          <w:tcPr>
            <w:tcW w:w="5960" w:type="dxa"/>
            <w:vAlign w:val="bottom"/>
            <w:gridSpan w:val="3"/>
          </w:tcPr>
          <w:p>
            <w:pPr>
              <w:jc w:val="center"/>
              <w:ind w:right="1500"/>
              <w:spacing w:after="0"/>
              <w:rPr>
                <w:sz w:val="20"/>
                <w:szCs w:val="20"/>
                <w:color w:val="auto"/>
              </w:rPr>
            </w:pPr>
            <w:r>
              <w:rPr>
                <w:rFonts w:ascii="Times New Roman" w:cs="Times New Roman" w:eastAsia="Times New Roman" w:hAnsi="Times New Roman"/>
                <w:sz w:val="12"/>
                <w:szCs w:val="12"/>
                <w:b w:val="1"/>
                <w:bCs w:val="1"/>
                <w:color w:val="auto"/>
                <w:w w:val="95"/>
              </w:rPr>
              <w:t>(Address of principal executive offices)</w:t>
            </w:r>
          </w:p>
        </w:tc>
        <w:tc>
          <w:tcPr>
            <w:tcW w:w="2900" w:type="dxa"/>
            <w:vAlign w:val="bottom"/>
          </w:tcPr>
          <w:p>
            <w:pPr>
              <w:jc w:val="center"/>
              <w:ind w:right="1336"/>
              <w:spacing w:after="0"/>
              <w:rPr>
                <w:sz w:val="20"/>
                <w:szCs w:val="20"/>
                <w:color w:val="auto"/>
              </w:rPr>
            </w:pPr>
            <w:r>
              <w:rPr>
                <w:rFonts w:ascii="Times New Roman" w:cs="Times New Roman" w:eastAsia="Times New Roman" w:hAnsi="Times New Roman"/>
                <w:sz w:val="12"/>
                <w:szCs w:val="12"/>
                <w:b w:val="1"/>
                <w:bCs w:val="1"/>
                <w:color w:val="auto"/>
                <w:w w:val="95"/>
              </w:rPr>
              <w:t>(Zip code)</w:t>
            </w:r>
          </w:p>
        </w:tc>
      </w:tr>
      <w:tr>
        <w:trPr>
          <w:trHeight w:val="270"/>
        </w:trPr>
        <w:tc>
          <w:tcPr>
            <w:tcW w:w="3480" w:type="dxa"/>
            <w:vAlign w:val="bottom"/>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c>
          <w:tcPr>
            <w:tcW w:w="600" w:type="dxa"/>
            <w:vAlign w:val="bottom"/>
          </w:tcPr>
          <w:p>
            <w:pPr>
              <w:spacing w:after="0"/>
              <w:rPr>
                <w:sz w:val="23"/>
                <w:szCs w:val="23"/>
                <w:color w:val="auto"/>
              </w:rPr>
            </w:pPr>
          </w:p>
        </w:tc>
        <w:tc>
          <w:tcPr>
            <w:tcW w:w="2900" w:type="dxa"/>
            <w:vAlign w:val="bottom"/>
          </w:tcPr>
          <w:p>
            <w:pPr>
              <w:spacing w:after="0"/>
              <w:rPr>
                <w:sz w:val="23"/>
                <w:szCs w:val="23"/>
                <w:color w:val="auto"/>
              </w:rPr>
            </w:pPr>
          </w:p>
        </w:tc>
      </w:tr>
      <w:tr>
        <w:trPr>
          <w:trHeight w:val="319"/>
        </w:trPr>
        <w:tc>
          <w:tcPr>
            <w:tcW w:w="3480" w:type="dxa"/>
            <w:vAlign w:val="bottom"/>
          </w:tcPr>
          <w:p>
            <w:pPr>
              <w:spacing w:after="0"/>
              <w:rPr>
                <w:sz w:val="24"/>
                <w:szCs w:val="24"/>
                <w:color w:val="auto"/>
              </w:rPr>
            </w:pPr>
          </w:p>
        </w:tc>
        <w:tc>
          <w:tcPr>
            <w:tcW w:w="24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The Williams Companies, Inc.</w:t>
            </w:r>
          </w:p>
        </w:tc>
        <w:tc>
          <w:tcPr>
            <w:tcW w:w="2900" w:type="dxa"/>
            <w:vAlign w:val="bottom"/>
          </w:tcPr>
          <w:p>
            <w:pPr>
              <w:spacing w:after="0"/>
              <w:rPr>
                <w:sz w:val="24"/>
                <w:szCs w:val="24"/>
                <w:color w:val="auto"/>
              </w:rPr>
            </w:pPr>
          </w:p>
        </w:tc>
      </w:tr>
      <w:tr>
        <w:trPr>
          <w:trHeight w:val="151"/>
        </w:trPr>
        <w:tc>
          <w:tcPr>
            <w:tcW w:w="5960" w:type="dxa"/>
            <w:vAlign w:val="bottom"/>
            <w:gridSpan w:val="3"/>
          </w:tcPr>
          <w:p>
            <w:pPr>
              <w:jc w:val="center"/>
              <w:ind w:left="2838"/>
              <w:spacing w:after="0"/>
              <w:rPr>
                <w:sz w:val="20"/>
                <w:szCs w:val="20"/>
                <w:color w:val="auto"/>
              </w:rPr>
            </w:pPr>
            <w:r>
              <w:rPr>
                <w:rFonts w:ascii="Times New Roman" w:cs="Times New Roman" w:eastAsia="Times New Roman" w:hAnsi="Times New Roman"/>
                <w:sz w:val="12"/>
                <w:szCs w:val="12"/>
                <w:b w:val="1"/>
                <w:bCs w:val="1"/>
                <w:color w:val="auto"/>
                <w:w w:val="96"/>
              </w:rPr>
              <w:t>(Exact name of obligor as specified in its charter)</w:t>
            </w:r>
          </w:p>
        </w:tc>
        <w:tc>
          <w:tcPr>
            <w:tcW w:w="2900" w:type="dxa"/>
            <w:vAlign w:val="bottom"/>
          </w:tcPr>
          <w:p>
            <w:pPr>
              <w:spacing w:after="0"/>
              <w:rPr>
                <w:sz w:val="13"/>
                <w:szCs w:val="13"/>
                <w:color w:val="auto"/>
              </w:rPr>
            </w:pPr>
          </w:p>
        </w:tc>
      </w:tr>
      <w:tr>
        <w:trPr>
          <w:trHeight w:val="270"/>
        </w:trPr>
        <w:tc>
          <w:tcPr>
            <w:tcW w:w="3480" w:type="dxa"/>
            <w:vAlign w:val="bottom"/>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c>
          <w:tcPr>
            <w:tcW w:w="600" w:type="dxa"/>
            <w:vAlign w:val="bottom"/>
          </w:tcPr>
          <w:p>
            <w:pPr>
              <w:spacing w:after="0"/>
              <w:rPr>
                <w:sz w:val="23"/>
                <w:szCs w:val="23"/>
                <w:color w:val="auto"/>
              </w:rPr>
            </w:pPr>
          </w:p>
        </w:tc>
        <w:tc>
          <w:tcPr>
            <w:tcW w:w="2900" w:type="dxa"/>
            <w:vAlign w:val="bottom"/>
          </w:tcPr>
          <w:p>
            <w:pPr>
              <w:spacing w:after="0"/>
              <w:rPr>
                <w:sz w:val="23"/>
                <w:szCs w:val="23"/>
                <w:color w:val="auto"/>
              </w:rPr>
            </w:pPr>
          </w:p>
        </w:tc>
      </w:tr>
      <w:tr>
        <w:trPr>
          <w:trHeight w:val="373"/>
        </w:trPr>
        <w:tc>
          <w:tcPr>
            <w:tcW w:w="5960" w:type="dxa"/>
            <w:vAlign w:val="bottom"/>
            <w:gridSpan w:val="3"/>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900" w:type="dxa"/>
            <w:vAlign w:val="bottom"/>
          </w:tcPr>
          <w:p>
            <w:pPr>
              <w:jc w:val="center"/>
              <w:ind w:right="1336"/>
              <w:spacing w:after="0"/>
              <w:rPr>
                <w:sz w:val="20"/>
                <w:szCs w:val="20"/>
                <w:color w:val="auto"/>
              </w:rPr>
            </w:pPr>
            <w:r>
              <w:rPr>
                <w:rFonts w:ascii="Times New Roman" w:cs="Times New Roman" w:eastAsia="Times New Roman" w:hAnsi="Times New Roman"/>
                <w:sz w:val="14"/>
                <w:szCs w:val="14"/>
                <w:b w:val="1"/>
                <w:bCs w:val="1"/>
                <w:color w:val="auto"/>
              </w:rPr>
              <w:t>73-0569878</w:t>
            </w:r>
          </w:p>
        </w:tc>
      </w:tr>
      <w:tr>
        <w:trPr>
          <w:trHeight w:val="119"/>
        </w:trPr>
        <w:tc>
          <w:tcPr>
            <w:tcW w:w="5960" w:type="dxa"/>
            <w:vAlign w:val="bottom"/>
            <w:gridSpan w:val="3"/>
          </w:tcPr>
          <w:p>
            <w:pPr>
              <w:jc w:val="center"/>
              <w:ind w:right="1500"/>
              <w:spacing w:after="0" w:line="120" w:lineRule="exact"/>
              <w:rPr>
                <w:sz w:val="20"/>
                <w:szCs w:val="20"/>
                <w:color w:val="auto"/>
              </w:rPr>
            </w:pPr>
            <w:r>
              <w:rPr>
                <w:rFonts w:ascii="Times New Roman" w:cs="Times New Roman" w:eastAsia="Times New Roman" w:hAnsi="Times New Roman"/>
                <w:sz w:val="12"/>
                <w:szCs w:val="12"/>
                <w:b w:val="1"/>
                <w:bCs w:val="1"/>
                <w:color w:val="auto"/>
                <w:w w:val="97"/>
              </w:rPr>
              <w:t>(State or other jurisdiction of</w:t>
            </w:r>
          </w:p>
        </w:tc>
        <w:tc>
          <w:tcPr>
            <w:tcW w:w="2900" w:type="dxa"/>
            <w:vAlign w:val="bottom"/>
          </w:tcPr>
          <w:p>
            <w:pPr>
              <w:jc w:val="center"/>
              <w:ind w:right="1336"/>
              <w:spacing w:after="0" w:line="120" w:lineRule="exact"/>
              <w:rPr>
                <w:sz w:val="20"/>
                <w:szCs w:val="20"/>
                <w:color w:val="auto"/>
              </w:rPr>
            </w:pPr>
            <w:r>
              <w:rPr>
                <w:rFonts w:ascii="Times New Roman" w:cs="Times New Roman" w:eastAsia="Times New Roman" w:hAnsi="Times New Roman"/>
                <w:sz w:val="12"/>
                <w:szCs w:val="12"/>
                <w:b w:val="1"/>
                <w:bCs w:val="1"/>
                <w:color w:val="auto"/>
                <w:w w:val="97"/>
              </w:rPr>
              <w:t>(I.R.S. employer</w:t>
            </w:r>
          </w:p>
        </w:tc>
      </w:tr>
      <w:tr>
        <w:trPr>
          <w:trHeight w:val="151"/>
        </w:trPr>
        <w:tc>
          <w:tcPr>
            <w:tcW w:w="5960" w:type="dxa"/>
            <w:vAlign w:val="bottom"/>
            <w:gridSpan w:val="3"/>
          </w:tcPr>
          <w:p>
            <w:pPr>
              <w:jc w:val="center"/>
              <w:ind w:right="1500"/>
              <w:spacing w:after="0"/>
              <w:rPr>
                <w:sz w:val="20"/>
                <w:szCs w:val="20"/>
                <w:color w:val="auto"/>
              </w:rPr>
            </w:pPr>
            <w:r>
              <w:rPr>
                <w:rFonts w:ascii="Times New Roman" w:cs="Times New Roman" w:eastAsia="Times New Roman" w:hAnsi="Times New Roman"/>
                <w:sz w:val="12"/>
                <w:szCs w:val="12"/>
                <w:b w:val="1"/>
                <w:bCs w:val="1"/>
                <w:color w:val="auto"/>
                <w:w w:val="95"/>
              </w:rPr>
              <w:t>incorporation or organization)</w:t>
            </w:r>
          </w:p>
        </w:tc>
        <w:tc>
          <w:tcPr>
            <w:tcW w:w="2900" w:type="dxa"/>
            <w:vAlign w:val="bottom"/>
          </w:tcPr>
          <w:p>
            <w:pPr>
              <w:jc w:val="center"/>
              <w:ind w:right="1356"/>
              <w:spacing w:after="0"/>
              <w:rPr>
                <w:sz w:val="20"/>
                <w:szCs w:val="20"/>
                <w:color w:val="auto"/>
              </w:rPr>
            </w:pPr>
            <w:r>
              <w:rPr>
                <w:rFonts w:ascii="Times New Roman" w:cs="Times New Roman" w:eastAsia="Times New Roman" w:hAnsi="Times New Roman"/>
                <w:sz w:val="12"/>
                <w:szCs w:val="12"/>
                <w:b w:val="1"/>
                <w:bCs w:val="1"/>
                <w:color w:val="auto"/>
                <w:w w:val="96"/>
              </w:rPr>
              <w:t>identification no.)</w:t>
            </w:r>
          </w:p>
        </w:tc>
      </w:tr>
      <w:tr>
        <w:trPr>
          <w:trHeight w:val="316"/>
        </w:trPr>
        <w:tc>
          <w:tcPr>
            <w:tcW w:w="5960" w:type="dxa"/>
            <w:vAlign w:val="bottom"/>
            <w:gridSpan w:val="3"/>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One Williams Center Tulsa, Oklahoma</w:t>
            </w:r>
          </w:p>
        </w:tc>
        <w:tc>
          <w:tcPr>
            <w:tcW w:w="2900" w:type="dxa"/>
            <w:vAlign w:val="bottom"/>
          </w:tcPr>
          <w:p>
            <w:pPr>
              <w:jc w:val="center"/>
              <w:ind w:right="1336"/>
              <w:spacing w:after="0"/>
              <w:rPr>
                <w:sz w:val="20"/>
                <w:szCs w:val="20"/>
                <w:color w:val="auto"/>
              </w:rPr>
            </w:pPr>
            <w:r>
              <w:rPr>
                <w:rFonts w:ascii="Times New Roman" w:cs="Times New Roman" w:eastAsia="Times New Roman" w:hAnsi="Times New Roman"/>
                <w:sz w:val="14"/>
                <w:szCs w:val="14"/>
                <w:b w:val="1"/>
                <w:bCs w:val="1"/>
                <w:color w:val="auto"/>
              </w:rPr>
              <w:t>74172-0172</w:t>
            </w:r>
          </w:p>
        </w:tc>
      </w:tr>
      <w:tr>
        <w:trPr>
          <w:trHeight w:val="151"/>
        </w:trPr>
        <w:tc>
          <w:tcPr>
            <w:tcW w:w="5960" w:type="dxa"/>
            <w:vAlign w:val="bottom"/>
            <w:gridSpan w:val="3"/>
          </w:tcPr>
          <w:p>
            <w:pPr>
              <w:jc w:val="center"/>
              <w:ind w:right="1500"/>
              <w:spacing w:after="0"/>
              <w:rPr>
                <w:sz w:val="20"/>
                <w:szCs w:val="20"/>
                <w:color w:val="auto"/>
              </w:rPr>
            </w:pPr>
            <w:r>
              <w:rPr>
                <w:rFonts w:ascii="Times New Roman" w:cs="Times New Roman" w:eastAsia="Times New Roman" w:hAnsi="Times New Roman"/>
                <w:sz w:val="12"/>
                <w:szCs w:val="12"/>
                <w:b w:val="1"/>
                <w:bCs w:val="1"/>
                <w:color w:val="auto"/>
                <w:w w:val="95"/>
              </w:rPr>
              <w:t>(Address of principal executive offices)</w:t>
            </w:r>
          </w:p>
        </w:tc>
        <w:tc>
          <w:tcPr>
            <w:tcW w:w="2900" w:type="dxa"/>
            <w:vAlign w:val="bottom"/>
          </w:tcPr>
          <w:p>
            <w:pPr>
              <w:jc w:val="center"/>
              <w:ind w:right="1336"/>
              <w:spacing w:after="0"/>
              <w:rPr>
                <w:sz w:val="20"/>
                <w:szCs w:val="20"/>
                <w:color w:val="auto"/>
              </w:rPr>
            </w:pPr>
            <w:r>
              <w:rPr>
                <w:rFonts w:ascii="Times New Roman" w:cs="Times New Roman" w:eastAsia="Times New Roman" w:hAnsi="Times New Roman"/>
                <w:sz w:val="12"/>
                <w:szCs w:val="12"/>
                <w:b w:val="1"/>
                <w:bCs w:val="1"/>
                <w:color w:val="auto"/>
                <w:w w:val="95"/>
              </w:rPr>
              <w:t>(Zip code)</w:t>
            </w:r>
          </w:p>
        </w:tc>
      </w:tr>
      <w:tr>
        <w:trPr>
          <w:trHeight w:val="270"/>
        </w:trPr>
        <w:tc>
          <w:tcPr>
            <w:tcW w:w="3480" w:type="dxa"/>
            <w:vAlign w:val="bottom"/>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c>
          <w:tcPr>
            <w:tcW w:w="600" w:type="dxa"/>
            <w:vAlign w:val="bottom"/>
          </w:tcPr>
          <w:p>
            <w:pPr>
              <w:spacing w:after="0"/>
              <w:rPr>
                <w:sz w:val="23"/>
                <w:szCs w:val="23"/>
                <w:color w:val="auto"/>
              </w:rPr>
            </w:pPr>
          </w:p>
        </w:tc>
        <w:tc>
          <w:tcPr>
            <w:tcW w:w="2900" w:type="dxa"/>
            <w:vAlign w:val="bottom"/>
          </w:tcPr>
          <w:p>
            <w:pPr>
              <w:spacing w:after="0"/>
              <w:rPr>
                <w:sz w:val="23"/>
                <w:szCs w:val="23"/>
                <w:color w:val="auto"/>
              </w:rPr>
            </w:pPr>
          </w:p>
        </w:tc>
      </w:tr>
      <w:tr>
        <w:trPr>
          <w:trHeight w:val="319"/>
        </w:trPr>
        <w:tc>
          <w:tcPr>
            <w:tcW w:w="3480" w:type="dxa"/>
            <w:vAlign w:val="bottom"/>
          </w:tcPr>
          <w:p>
            <w:pPr>
              <w:spacing w:after="0"/>
              <w:rPr>
                <w:sz w:val="24"/>
                <w:szCs w:val="24"/>
                <w:color w:val="auto"/>
              </w:rPr>
            </w:pPr>
          </w:p>
        </w:tc>
        <w:tc>
          <w:tcPr>
            <w:tcW w:w="24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2900" w:type="dxa"/>
            <w:vAlign w:val="bottom"/>
          </w:tcPr>
          <w:p>
            <w:pPr>
              <w:spacing w:after="0"/>
              <w:rPr>
                <w:sz w:val="24"/>
                <w:szCs w:val="24"/>
                <w:color w:val="auto"/>
              </w:rPr>
            </w:pPr>
          </w:p>
        </w:tc>
      </w:tr>
      <w:tr>
        <w:trPr>
          <w:trHeight w:val="151"/>
        </w:trPr>
        <w:tc>
          <w:tcPr>
            <w:tcW w:w="3480" w:type="dxa"/>
            <w:vAlign w:val="bottom"/>
          </w:tcPr>
          <w:p>
            <w:pPr>
              <w:spacing w:after="0"/>
              <w:rPr>
                <w:sz w:val="13"/>
                <w:szCs w:val="13"/>
                <w:color w:val="auto"/>
              </w:rPr>
            </w:pPr>
          </w:p>
        </w:tc>
        <w:tc>
          <w:tcPr>
            <w:tcW w:w="2480" w:type="dxa"/>
            <w:vAlign w:val="bottom"/>
            <w:gridSpan w:val="2"/>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w w:val="96"/>
              </w:rPr>
              <w:t>(Title of the indenture securities)</w:t>
            </w:r>
          </w:p>
        </w:tc>
        <w:tc>
          <w:tcPr>
            <w:tcW w:w="2900" w:type="dxa"/>
            <w:vAlign w:val="bottom"/>
          </w:tcPr>
          <w:p>
            <w:pPr>
              <w:spacing w:after="0"/>
              <w:rPr>
                <w:sz w:val="13"/>
                <w:szCs w:val="13"/>
                <w:color w:val="auto"/>
              </w:rPr>
            </w:pPr>
          </w:p>
        </w:tc>
      </w:tr>
      <w:tr>
        <w:trPr>
          <w:trHeight w:val="183"/>
        </w:trPr>
        <w:tc>
          <w:tcPr>
            <w:tcW w:w="34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r>
      <w:tr>
        <w:trPr>
          <w:trHeight w:val="34"/>
        </w:trPr>
        <w:tc>
          <w:tcPr>
            <w:tcW w:w="3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bl>
    <w:p>
      <w:pPr>
        <w:sectPr>
          <w:pgSz w:w="11900" w:h="16838" w:orient="portrait"/>
          <w:cols w:equalWidth="0" w:num="1">
            <w:col w:w="9019"/>
          </w:cols>
          <w:pgMar w:left="1440" w:top="123" w:right="1440" w:bottom="1440" w:gutter="0" w:footer="0" w:header="0"/>
        </w:sectPr>
      </w:pPr>
    </w:p>
    <w:bookmarkStart w:id="44" w:name="page45"/>
    <w:bookmarkEnd w:id="44"/>
    <w:p>
      <w:pPr>
        <w:ind w:left="420" w:hanging="347"/>
        <w:spacing w:after="0"/>
        <w:tabs>
          <w:tab w:leader="none" w:pos="420" w:val="left"/>
        </w:tabs>
        <w:numPr>
          <w:ilvl w:val="0"/>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7198360" cy="33655"/>
                    </a:xfrm>
                    <a:prstGeom prst="rect">
                      <a:avLst/>
                    </a:prstGeom>
                    <a:noFill/>
                  </pic:spPr>
                </pic:pic>
              </a:graphicData>
            </a:graphic>
          </wp:anchor>
        </w:drawing>
        <w:t>General information. Furnish the following information as to the trustee:</w:t>
      </w:r>
    </w:p>
    <w:p>
      <w:pPr>
        <w:spacing w:after="0" w:line="110" w:lineRule="exact"/>
        <w:rPr>
          <w:rFonts w:ascii="Times New Roman" w:cs="Times New Roman" w:eastAsia="Times New Roman" w:hAnsi="Times New Roman"/>
          <w:sz w:val="14"/>
          <w:szCs w:val="14"/>
          <w:b w:val="1"/>
          <w:bCs w:val="1"/>
          <w:color w:val="auto"/>
        </w:rPr>
      </w:pPr>
    </w:p>
    <w:p>
      <w:pPr>
        <w:ind w:left="860" w:hanging="440"/>
        <w:spacing w:after="0"/>
        <w:tabs>
          <w:tab w:leader="none" w:pos="860" w:val="left"/>
        </w:tabs>
        <w:numPr>
          <w:ilvl w:val="1"/>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Name and address of each examining or supervising authority to which it is subject.</w:t>
      </w: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139"/>
        </w:trPr>
        <w:tc>
          <w:tcPr>
            <w:tcW w:w="43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740" w:type="dxa"/>
            <w:vAlign w:val="bottom"/>
            <w:gridSpan w:val="3"/>
          </w:tcPr>
          <w:p>
            <w:pPr>
              <w:ind w:left="240"/>
              <w:spacing w:after="0"/>
              <w:rPr>
                <w:sz w:val="20"/>
                <w:szCs w:val="20"/>
                <w:color w:val="auto"/>
              </w:rPr>
            </w:pPr>
            <w:r>
              <w:rPr>
                <w:rFonts w:ascii="Times New Roman" w:cs="Times New Roman" w:eastAsia="Times New Roman" w:hAnsi="Times New Roman"/>
                <w:sz w:val="12"/>
                <w:szCs w:val="12"/>
                <w:b w:val="1"/>
                <w:bCs w:val="1"/>
                <w:color w:val="auto"/>
              </w:rPr>
              <w:t>Address</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Comptroller of the Currency United States Department of the Treasury</w:t>
            </w:r>
          </w:p>
        </w:tc>
        <w:tc>
          <w:tcPr>
            <w:tcW w:w="240" w:type="dxa"/>
            <w:vAlign w:val="bottom"/>
            <w:vMerge w:val="continue"/>
          </w:tcPr>
          <w:p>
            <w:pPr>
              <w:spacing w:after="0"/>
              <w:rPr>
                <w:sz w:val="15"/>
                <w:szCs w:val="15"/>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Washington, DC 20219</w:t>
            </w:r>
          </w:p>
        </w:tc>
        <w:tc>
          <w:tcPr>
            <w:tcW w:w="0" w:type="dxa"/>
            <w:vAlign w:val="bottom"/>
          </w:tcPr>
          <w:p>
            <w:pPr>
              <w:spacing w:after="0"/>
              <w:rPr>
                <w:sz w:val="1"/>
                <w:szCs w:val="1"/>
                <w:color w:val="auto"/>
              </w:rPr>
            </w:pPr>
          </w:p>
        </w:tc>
      </w:tr>
      <w:tr>
        <w:trPr>
          <w:trHeight w:val="246"/>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Reserve Bank</w:t>
            </w:r>
          </w:p>
        </w:tc>
        <w:tc>
          <w:tcPr>
            <w:tcW w:w="17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San Francisco, CA 94105</w:t>
            </w:r>
          </w:p>
        </w:tc>
        <w:tc>
          <w:tcPr>
            <w:tcW w:w="0" w:type="dxa"/>
            <w:vAlign w:val="bottom"/>
          </w:tcPr>
          <w:p>
            <w:pPr>
              <w:spacing w:after="0"/>
              <w:rPr>
                <w:sz w:val="1"/>
                <w:szCs w:val="1"/>
                <w:color w:val="auto"/>
              </w:rPr>
            </w:pPr>
          </w:p>
        </w:tc>
      </w:tr>
      <w:tr>
        <w:trPr>
          <w:trHeight w:val="261"/>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17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Washington, DC 20429</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860" w:hanging="440"/>
        <w:spacing w:after="0"/>
        <w:tabs>
          <w:tab w:leader="none" w:pos="860" w:val="left"/>
        </w:tabs>
        <w:numPr>
          <w:ilvl w:val="0"/>
          <w:numId w:val="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Whether it is authorized to exercise corporate trust powers.</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Yes.</w:t>
      </w:r>
    </w:p>
    <w:p>
      <w:pPr>
        <w:spacing w:after="0" w:line="304" w:lineRule="exact"/>
        <w:rPr>
          <w:sz w:val="20"/>
          <w:szCs w:val="20"/>
          <w:color w:val="auto"/>
        </w:rPr>
      </w:pPr>
    </w:p>
    <w:p>
      <w:pPr>
        <w:ind w:left="420" w:hanging="347"/>
        <w:spacing w:after="0"/>
        <w:tabs>
          <w:tab w:leader="none" w:pos="420" w:val="left"/>
        </w:tabs>
        <w:numPr>
          <w:ilvl w:val="0"/>
          <w:numId w:val="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Affiliations with Obligor.</w:t>
      </w:r>
    </w:p>
    <w:p>
      <w:pPr>
        <w:spacing w:after="0" w:line="99" w:lineRule="exact"/>
        <w:rPr>
          <w:rFonts w:ascii="Times New Roman" w:cs="Times New Roman" w:eastAsia="Times New Roman" w:hAnsi="Times New Roman"/>
          <w:sz w:val="14"/>
          <w:szCs w:val="14"/>
          <w:b w:val="1"/>
          <w:bCs w:val="1"/>
          <w:color w:val="auto"/>
        </w:rPr>
      </w:pPr>
    </w:p>
    <w:p>
      <w:pPr>
        <w:ind w:left="420" w:right="4199"/>
        <w:spacing w:after="0" w:line="43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If the obligor is an affiliate of the trustee, describe each such affiliation. </w:t>
      </w:r>
      <w:r>
        <w:rPr>
          <w:rFonts w:ascii="Times New Roman" w:cs="Times New Roman" w:eastAsia="Times New Roman" w:hAnsi="Times New Roman"/>
          <w:sz w:val="14"/>
          <w:szCs w:val="14"/>
          <w:color w:val="auto"/>
        </w:rPr>
        <w:t>None.</w:t>
      </w:r>
    </w:p>
    <w:p>
      <w:pPr>
        <w:spacing w:after="0" w:line="147" w:lineRule="exact"/>
        <w:rPr>
          <w:sz w:val="20"/>
          <w:szCs w:val="20"/>
          <w:color w:val="auto"/>
        </w:rPr>
      </w:pPr>
    </w:p>
    <w:p>
      <w:pPr>
        <w:ind w:left="420" w:hanging="347"/>
        <w:spacing w:after="0"/>
        <w:tabs>
          <w:tab w:leader="none" w:pos="420"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List of Exhibits.</w:t>
      </w:r>
    </w:p>
    <w:p>
      <w:pPr>
        <w:spacing w:after="0" w:line="99" w:lineRule="exact"/>
        <w:rPr>
          <w:rFonts w:ascii="Times New Roman" w:cs="Times New Roman" w:eastAsia="Times New Roman" w:hAnsi="Times New Roman"/>
          <w:sz w:val="14"/>
          <w:szCs w:val="14"/>
          <w:b w:val="1"/>
          <w:bCs w:val="1"/>
          <w:color w:val="auto"/>
        </w:rPr>
      </w:pPr>
    </w:p>
    <w:p>
      <w:pPr>
        <w:ind w:left="420" w:right="139"/>
        <w:spacing w:after="0" w:line="30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Exhibits identified in parentheses below, on file with the Commission, are incorporated herein by reference as an exhibit hereto, pursuant to Rule 7a-29 under the Trust Indenture Act of 1939 (the “Act”).</w:t>
      </w:r>
    </w:p>
    <w:p>
      <w:pPr>
        <w:spacing w:after="0" w:line="40" w:lineRule="exact"/>
        <w:rPr>
          <w:rFonts w:ascii="Times New Roman" w:cs="Times New Roman" w:eastAsia="Times New Roman" w:hAnsi="Times New Roman"/>
          <w:sz w:val="14"/>
          <w:szCs w:val="14"/>
          <w:b w:val="1"/>
          <w:bCs w:val="1"/>
          <w:color w:val="auto"/>
        </w:rPr>
      </w:pPr>
    </w:p>
    <w:p>
      <w:pPr>
        <w:ind w:left="860" w:right="239" w:hanging="440"/>
        <w:spacing w:after="0" w:line="279" w:lineRule="auto"/>
        <w:tabs>
          <w:tab w:leader="none" w:pos="86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57" w:lineRule="exact"/>
        <w:rPr>
          <w:rFonts w:ascii="Times New Roman" w:cs="Times New Roman" w:eastAsia="Times New Roman" w:hAnsi="Times New Roman"/>
          <w:sz w:val="14"/>
          <w:szCs w:val="14"/>
          <w:color w:val="auto"/>
        </w:rPr>
      </w:pPr>
    </w:p>
    <w:p>
      <w:pPr>
        <w:ind w:left="860" w:right="779" w:hanging="440"/>
        <w:spacing w:after="0" w:line="300" w:lineRule="auto"/>
        <w:tabs>
          <w:tab w:leader="none" w:pos="86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certificate of authority of the trustee to commence business. (Exhibit 2 to Form T-1 filed with Registration Statement No.333-121948).</w:t>
      </w:r>
    </w:p>
    <w:p>
      <w:pPr>
        <w:spacing w:after="0" w:line="42" w:lineRule="exact"/>
        <w:rPr>
          <w:rFonts w:ascii="Times New Roman" w:cs="Times New Roman" w:eastAsia="Times New Roman" w:hAnsi="Times New Roman"/>
          <w:sz w:val="14"/>
          <w:szCs w:val="14"/>
          <w:color w:val="auto"/>
        </w:rPr>
      </w:pPr>
    </w:p>
    <w:p>
      <w:pPr>
        <w:ind w:left="860" w:right="479" w:hanging="440"/>
        <w:spacing w:after="0" w:line="300" w:lineRule="auto"/>
        <w:tabs>
          <w:tab w:leader="none" w:pos="86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authorization of the trustee to exercise corporate trust powers (Exhibit 3 to Form T-1 filed with Registration Statement No.333-152875).</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2" w:right="1440" w:bottom="1440" w:gutter="0" w:footer="0" w:header="0"/>
        </w:sectPr>
      </w:pPr>
    </w:p>
    <w:bookmarkStart w:id="45" w:name="page46"/>
    <w:bookmarkEnd w:id="45"/>
    <w:p>
      <w:pPr>
        <w:ind w:left="860" w:hanging="440"/>
        <w:spacing w:after="0"/>
        <w:tabs>
          <w:tab w:leader="none" w:pos="8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7198360" cy="33655"/>
                    </a:xfrm>
                    <a:prstGeom prst="rect">
                      <a:avLst/>
                    </a:prstGeom>
                    <a:noFill/>
                  </pic:spPr>
                </pic:pic>
              </a:graphicData>
            </a:graphic>
          </wp:anchor>
        </w:drawing>
        <w:t>A copy of the existing by-laws of the trustee (Exhibit 4 to Form T-1 filed with Registration Statement No. 333-229762).</w:t>
      </w:r>
    </w:p>
    <w:p>
      <w:pPr>
        <w:spacing w:after="0" w:line="111" w:lineRule="exact"/>
        <w:rPr>
          <w:sz w:val="20"/>
          <w:szCs w:val="20"/>
          <w:color w:val="auto"/>
        </w:rPr>
      </w:pPr>
    </w:p>
    <w:p>
      <w:pPr>
        <w:ind w:left="860" w:hanging="440"/>
        <w:spacing w:after="0"/>
        <w:tabs>
          <w:tab w:leader="none" w:pos="8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Act (Exhibit 6 to Form T-1 filed with Registration Statement No. 333-152875).</w:t>
      </w:r>
    </w:p>
    <w:p>
      <w:pPr>
        <w:spacing w:after="0" w:line="110" w:lineRule="exact"/>
        <w:rPr>
          <w:rFonts w:ascii="Times New Roman" w:cs="Times New Roman" w:eastAsia="Times New Roman" w:hAnsi="Times New Roman"/>
          <w:sz w:val="14"/>
          <w:szCs w:val="14"/>
          <w:color w:val="auto"/>
        </w:rPr>
      </w:pPr>
    </w:p>
    <w:p>
      <w:pPr>
        <w:ind w:left="860" w:right="399" w:hanging="440"/>
        <w:spacing w:after="0" w:line="300" w:lineRule="auto"/>
        <w:tabs>
          <w:tab w:leader="none" w:pos="8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latest report of condition of the Trustee published pursuant to law or to the requirements of its supervising or examining authority.</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4" w:right="1440"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7198360" cy="33655"/>
                    </a:xfrm>
                    <a:prstGeom prst="rect">
                      <a:avLst/>
                    </a:prstGeom>
                    <a:noFill/>
                  </pic:spPr>
                </pic:pic>
              </a:graphicData>
            </a:graphic>
          </wp:anchor>
        </w:drawing>
        <w:t>SIGNATURE</w:t>
      </w:r>
    </w:p>
    <w:p>
      <w:pPr>
        <w:spacing w:after="0" w:line="187" w:lineRule="exact"/>
        <w:rPr>
          <w:sz w:val="20"/>
          <w:szCs w:val="20"/>
          <w:color w:val="auto"/>
        </w:rPr>
      </w:pPr>
    </w:p>
    <w:p>
      <w:pPr>
        <w:ind w:left="80" w:right="319" w:firstLine="354"/>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Chicago, and State of Illinois, on the 26</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day of October, 2026.</w:t>
      </w:r>
    </w:p>
    <w:p>
      <w:pPr>
        <w:spacing w:after="0" w:line="5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THE BANK OF NEW YORK MELLON TRUST</w:t>
      </w:r>
    </w:p>
    <w:p>
      <w:pPr>
        <w:spacing w:after="0" w:line="2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COMPANY, N.A.</w:t>
      </w:r>
    </w:p>
    <w:p>
      <w:pPr>
        <w:spacing w:after="0" w:line="17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By: /s/ Ann M. Dolezal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17145</wp:posOffset>
            </wp:positionV>
            <wp:extent cx="206248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2062480" cy="6985"/>
                    </a:xfrm>
                    <a:prstGeom prst="rect">
                      <a:avLst/>
                    </a:prstGeom>
                    <a:noFill/>
                  </pic:spPr>
                </pic:pic>
              </a:graphicData>
            </a:graphic>
          </wp:anchor>
        </w:drawing>
      </w:r>
    </w:p>
    <w:p>
      <w:pPr>
        <w:spacing w:after="0" w:line="1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Ann M. Dolezal</w:t>
      </w:r>
    </w:p>
    <w:p>
      <w:pPr>
        <w:spacing w:after="0" w:line="28" w:lineRule="exact"/>
        <w:rPr>
          <w:sz w:val="20"/>
          <w:szCs w:val="20"/>
          <w:color w:val="auto"/>
        </w:rPr>
      </w:pPr>
    </w:p>
    <w:p>
      <w:pPr>
        <w:ind w:left="5680"/>
        <w:spacing w:after="0"/>
        <w:tabs>
          <w:tab w:leader="none" w:pos="6160" w:val="left"/>
        </w:tabs>
        <w:rPr>
          <w:sz w:val="20"/>
          <w:szCs w:val="20"/>
          <w:color w:val="auto"/>
        </w:rPr>
      </w:pPr>
      <w:r>
        <w:rPr>
          <w:rFonts w:ascii="Times New Roman" w:cs="Times New Roman" w:eastAsia="Times New Roman" w:hAnsi="Times New Roman"/>
          <w:sz w:val="14"/>
          <w:szCs w:val="14"/>
          <w:color w:val="auto"/>
        </w:rPr>
        <w:t>Title: </w:t>
        <w:tab/>
        <w:t>Vice President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4" w:right="1440" w:bottom="1440" w:gutter="0" w:footer="0" w:header="0"/>
        </w:sectPr>
      </w:pPr>
    </w:p>
    <w:bookmarkStart w:id="47" w:name="page48"/>
    <w:bookmarkEnd w:id="47"/>
    <w:p>
      <w:pPr>
        <w:jc w:val="right"/>
        <w:ind w:right="7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7198360" cy="33655"/>
                    </a:xfrm>
                    <a:prstGeom prst="rect">
                      <a:avLst/>
                    </a:prstGeom>
                    <a:noFill/>
                  </pic:spPr>
                </pic:pic>
              </a:graphicData>
            </a:graphic>
          </wp:anchor>
        </w:drawing>
        <w:t>EXHIBIT 7</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Report of Condition of</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BANK OF NEW YORK MELLON TRUST COMPANY, N.A.</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of 333 South Hope Street, Suite 2525, Los Angeles, CA 90071</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At the close of business June 30, 2026, published in accordance with Federal regulatory authority instructions.</w:t>
      </w: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5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6"/>
              </w:rPr>
              <w:t>Dollar amounts</w:t>
            </w:r>
          </w:p>
        </w:tc>
        <w:tc>
          <w:tcPr>
            <w:tcW w:w="0" w:type="dxa"/>
            <w:vAlign w:val="bottom"/>
          </w:tcPr>
          <w:p>
            <w:pPr>
              <w:spacing w:after="0"/>
              <w:rPr>
                <w:sz w:val="1"/>
                <w:szCs w:val="1"/>
                <w:color w:val="auto"/>
              </w:rPr>
            </w:pPr>
          </w:p>
        </w:tc>
      </w:tr>
      <w:tr>
        <w:trPr>
          <w:trHeight w:val="137"/>
        </w:trPr>
        <w:tc>
          <w:tcPr>
            <w:tcW w:w="5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760" w:type="dxa"/>
            <w:vAlign w:val="bottom"/>
            <w:gridSpan w:val="2"/>
          </w:tcPr>
          <w:p>
            <w:pPr>
              <w:jc w:val="center"/>
              <w:ind w:right="60"/>
              <w:spacing w:after="0" w:line="137" w:lineRule="exact"/>
              <w:rPr>
                <w:sz w:val="20"/>
                <w:szCs w:val="20"/>
                <w:color w:val="auto"/>
              </w:rPr>
            </w:pPr>
            <w:r>
              <w:rPr>
                <w:rFonts w:ascii="Times New Roman" w:cs="Times New Roman" w:eastAsia="Times New Roman" w:hAnsi="Times New Roman"/>
                <w:sz w:val="12"/>
                <w:szCs w:val="12"/>
                <w:color w:val="auto"/>
                <w:w w:val="96"/>
              </w:rPr>
              <w:t>in thousands</w:t>
            </w:r>
          </w:p>
        </w:tc>
        <w:tc>
          <w:tcPr>
            <w:tcW w:w="0" w:type="dxa"/>
            <w:vAlign w:val="bottom"/>
          </w:tcPr>
          <w:p>
            <w:pPr>
              <w:spacing w:after="0"/>
              <w:rPr>
                <w:sz w:val="1"/>
                <w:szCs w:val="1"/>
                <w:color w:val="auto"/>
              </w:rPr>
            </w:pPr>
          </w:p>
        </w:tc>
      </w:tr>
      <w:tr>
        <w:trPr>
          <w:trHeight w:val="134"/>
        </w:trPr>
        <w:tc>
          <w:tcPr>
            <w:tcW w:w="520" w:type="dxa"/>
            <w:vAlign w:val="bottom"/>
            <w:tcBorders>
              <w:top w:val="single" w:sz="8" w:color="CCEEFF"/>
              <w:bottom w:val="single" w:sz="8" w:color="auto"/>
            </w:tcBorders>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w w:val="98"/>
              </w:rPr>
              <w:t>ASSETS</w:t>
            </w:r>
          </w:p>
        </w:tc>
        <w:tc>
          <w:tcPr>
            <w:tcW w:w="75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Noninterest-bearing balances and currency and coin</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114,578</w:t>
            </w:r>
          </w:p>
        </w:tc>
        <w:tc>
          <w:tcPr>
            <w:tcW w:w="0" w:type="dxa"/>
            <w:vAlign w:val="bottom"/>
          </w:tcPr>
          <w:p>
            <w:pPr>
              <w:spacing w:after="0"/>
              <w:rPr>
                <w:sz w:val="1"/>
                <w:szCs w:val="1"/>
                <w:color w:val="auto"/>
              </w:rPr>
            </w:pPr>
          </w:p>
        </w:tc>
      </w:tr>
      <w:tr>
        <w:trPr>
          <w:trHeight w:val="174"/>
        </w:trPr>
        <w:tc>
          <w:tcPr>
            <w:tcW w:w="81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Interest-bearing balances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265,675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w:t>
            </w: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1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4"/>
        </w:trPr>
        <w:tc>
          <w:tcPr>
            <w:tcW w:w="8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Available-for-sale debt securities</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523</w:t>
            </w:r>
          </w:p>
        </w:tc>
        <w:tc>
          <w:tcPr>
            <w:tcW w:w="0" w:type="dxa"/>
            <w:vAlign w:val="bottom"/>
          </w:tcPr>
          <w:p>
            <w:pPr>
              <w:spacing w:after="0"/>
              <w:rPr>
                <w:sz w:val="1"/>
                <w:szCs w:val="1"/>
                <w:color w:val="auto"/>
              </w:rPr>
            </w:pPr>
          </w:p>
        </w:tc>
      </w:tr>
      <w:tr>
        <w:trPr>
          <w:trHeight w:val="174"/>
        </w:trPr>
        <w:tc>
          <w:tcPr>
            <w:tcW w:w="81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Equity securities with readily determinable fair values not held for trading</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4"/>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funds sold and securities purchased under agreements to resell:</w:t>
            </w: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1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Federal funds sold in domestic offices</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4"/>
        </w:trPr>
        <w:tc>
          <w:tcPr>
            <w:tcW w:w="8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4"/>
        </w:trPr>
        <w:tc>
          <w:tcPr>
            <w:tcW w:w="8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Loans and lease financing receivables:</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4"/>
        </w:trPr>
        <w:tc>
          <w:tcPr>
            <w:tcW w:w="81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Loans and leases held for investment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4"/>
        </w:trPr>
        <w:tc>
          <w:tcPr>
            <w:tcW w:w="8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LESS: Allowance for credit losses on loans and leases</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4"/>
        </w:trPr>
        <w:tc>
          <w:tcPr>
            <w:tcW w:w="81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Loans and leases held for investment, net of allowance</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4"/>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assets</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4"/>
        </w:trPr>
        <w:tc>
          <w:tcPr>
            <w:tcW w:w="8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Premises and fixed assets (including right-of-use assets)</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14,248</w:t>
            </w:r>
          </w:p>
        </w:tc>
        <w:tc>
          <w:tcPr>
            <w:tcW w:w="0" w:type="dxa"/>
            <w:vAlign w:val="bottom"/>
          </w:tcPr>
          <w:p>
            <w:pPr>
              <w:spacing w:after="0"/>
              <w:rPr>
                <w:sz w:val="1"/>
                <w:szCs w:val="1"/>
                <w:color w:val="auto"/>
              </w:rPr>
            </w:pPr>
          </w:p>
        </w:tc>
      </w:tr>
      <w:tr>
        <w:trPr>
          <w:trHeight w:val="174"/>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4"/>
        </w:trPr>
        <w:tc>
          <w:tcPr>
            <w:tcW w:w="8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Investments in unconsolidated subsidiaries and associated companies</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4"/>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 and indirect investments in real estate ventures</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4"/>
        </w:trPr>
        <w:tc>
          <w:tcPr>
            <w:tcW w:w="8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856,313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121,260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$ 1,372,597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ind w:left="4380"/>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10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2" w:right="1440" w:bottom="1440" w:gutter="0" w:footer="0" w:header="0"/>
        </w:sectPr>
      </w:pPr>
    </w:p>
    <w:bookmarkStart w:id="48" w:name="page49"/>
    <w:bookmarkEnd w:id="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182245</wp:posOffset>
            </wp:positionH>
            <wp:positionV relativeFrom="page">
              <wp:posOffset>88900</wp:posOffset>
            </wp:positionV>
            <wp:extent cx="7198360" cy="336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7198360" cy="3365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74"/>
        </w:trPr>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4"/>
        </w:trPr>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Deposits:</w:t>
            </w:r>
          </w:p>
        </w:tc>
        <w:tc>
          <w:tcPr>
            <w:tcW w:w="736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r>
      <w:tr>
        <w:trPr>
          <w:trHeight w:val="174"/>
        </w:trPr>
        <w:tc>
          <w:tcPr>
            <w:tcW w:w="81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 domestic offices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40" w:type="dxa"/>
            <w:vAlign w:val="bottom"/>
            <w:shd w:val="clear" w:color="auto" w:fill="CCEEFF"/>
          </w:tcPr>
          <w:p>
            <w:pPr>
              <w:spacing w:after="0"/>
              <w:rPr>
                <w:sz w:val="15"/>
                <w:szCs w:val="15"/>
                <w:color w:val="auto"/>
              </w:rPr>
            </w:pPr>
          </w:p>
        </w:tc>
      </w:tr>
      <w:tr>
        <w:trPr>
          <w:trHeight w:val="174"/>
        </w:trPr>
        <w:tc>
          <w:tcPr>
            <w:tcW w:w="818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Noninterest-bearing</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40" w:type="dxa"/>
            <w:vAlign w:val="bottom"/>
          </w:tcPr>
          <w:p>
            <w:pPr>
              <w:spacing w:after="0"/>
              <w:rPr>
                <w:sz w:val="15"/>
                <w:szCs w:val="15"/>
                <w:color w:val="auto"/>
              </w:rPr>
            </w:pPr>
          </w:p>
        </w:tc>
      </w:tr>
      <w:tr>
        <w:trPr>
          <w:trHeight w:val="174"/>
        </w:trPr>
        <w:tc>
          <w:tcPr>
            <w:tcW w:w="818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Interest-bearing</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74"/>
        </w:trPr>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Federal funds purchased and securities sold under agreements to repurchase:</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4"/>
        </w:trPr>
        <w:tc>
          <w:tcPr>
            <w:tcW w:w="818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Federal funds purchased in domestic offices</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74"/>
        </w:trPr>
        <w:tc>
          <w:tcPr>
            <w:tcW w:w="818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74"/>
        </w:trPr>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liabilities</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74"/>
        </w:trPr>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borrowed money:</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4"/>
        </w:trPr>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(includes mortgage indebtedness)</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74"/>
        </w:trPr>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4"/>
        </w:trPr>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4"/>
        </w:trPr>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74"/>
        </w:trPr>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263,415</w:t>
            </w:r>
          </w:p>
        </w:tc>
        <w:tc>
          <w:tcPr>
            <w:tcW w:w="40" w:type="dxa"/>
            <w:vAlign w:val="bottom"/>
            <w:shd w:val="clear" w:color="auto" w:fill="CCEEFF"/>
          </w:tcPr>
          <w:p>
            <w:pPr>
              <w:spacing w:after="0"/>
              <w:rPr>
                <w:sz w:val="15"/>
                <w:szCs w:val="15"/>
                <w:color w:val="auto"/>
              </w:rPr>
            </w:pPr>
          </w:p>
        </w:tc>
      </w:tr>
      <w:tr>
        <w:trPr>
          <w:trHeight w:val="174"/>
        </w:trPr>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265,648</w:t>
            </w:r>
          </w:p>
        </w:tc>
        <w:tc>
          <w:tcPr>
            <w:tcW w:w="40" w:type="dxa"/>
            <w:vAlign w:val="bottom"/>
          </w:tcPr>
          <w:p>
            <w:pPr>
              <w:spacing w:after="0"/>
              <w:rPr>
                <w:sz w:val="15"/>
                <w:szCs w:val="15"/>
                <w:color w:val="auto"/>
              </w:rPr>
            </w:pPr>
          </w:p>
        </w:tc>
      </w:tr>
      <w:tr>
        <w:trPr>
          <w:trHeight w:val="174"/>
        </w:trPr>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41"/>
        </w:trPr>
        <w:tc>
          <w:tcPr>
            <w:tcW w:w="81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color w:val="auto"/>
              </w:rPr>
              <w:t>EQUITY CAPITAL</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6"/>
        </w:trPr>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0"/>
        </w:trPr>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Perpetual preferred stock and related surplus</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74"/>
        </w:trPr>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0" w:type="dxa"/>
            <w:vAlign w:val="bottom"/>
          </w:tcPr>
          <w:p>
            <w:pPr>
              <w:spacing w:after="0"/>
              <w:rPr>
                <w:sz w:val="15"/>
                <w:szCs w:val="15"/>
                <w:color w:val="auto"/>
              </w:rPr>
            </w:pPr>
          </w:p>
        </w:tc>
      </w:tr>
      <w:tr>
        <w:trPr>
          <w:trHeight w:val="174"/>
        </w:trPr>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Surplus (exclude all surplus related to preferred stock)</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108,850</w:t>
            </w:r>
          </w:p>
        </w:tc>
        <w:tc>
          <w:tcPr>
            <w:tcW w:w="40" w:type="dxa"/>
            <w:vAlign w:val="bottom"/>
            <w:shd w:val="clear" w:color="auto" w:fill="CCEEFF"/>
          </w:tcPr>
          <w:p>
            <w:pPr>
              <w:spacing w:after="0"/>
              <w:rPr>
                <w:sz w:val="15"/>
                <w:szCs w:val="15"/>
                <w:color w:val="auto"/>
              </w:rPr>
            </w:pPr>
          </w:p>
        </w:tc>
      </w:tr>
      <w:tr>
        <w:trPr>
          <w:trHeight w:val="174"/>
        </w:trPr>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4"/>
        </w:trPr>
        <w:tc>
          <w:tcPr>
            <w:tcW w:w="81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Retained earnings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997,100</w:t>
            </w:r>
          </w:p>
        </w:tc>
        <w:tc>
          <w:tcPr>
            <w:tcW w:w="40" w:type="dxa"/>
            <w:vAlign w:val="bottom"/>
            <w:shd w:val="clear" w:color="auto" w:fill="CCEEFF"/>
          </w:tcPr>
          <w:p>
            <w:pPr>
              <w:spacing w:after="0"/>
              <w:rPr>
                <w:sz w:val="15"/>
                <w:szCs w:val="15"/>
                <w:color w:val="auto"/>
              </w:rPr>
            </w:pPr>
          </w:p>
        </w:tc>
      </w:tr>
      <w:tr>
        <w:trPr>
          <w:trHeight w:val="174"/>
        </w:trPr>
        <w:tc>
          <w:tcPr>
            <w:tcW w:w="818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r>
      <w:tr>
        <w:trPr>
          <w:trHeight w:val="174"/>
        </w:trPr>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equity capital components</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74"/>
        </w:trPr>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4"/>
        </w:trPr>
        <w:tc>
          <w:tcPr>
            <w:tcW w:w="81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bank equity capital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1,106,949</w:t>
            </w:r>
          </w:p>
        </w:tc>
        <w:tc>
          <w:tcPr>
            <w:tcW w:w="40" w:type="dxa"/>
            <w:vAlign w:val="bottom"/>
            <w:shd w:val="clear" w:color="auto" w:fill="CCEEFF"/>
          </w:tcPr>
          <w:p>
            <w:pPr>
              <w:spacing w:after="0"/>
              <w:rPr>
                <w:sz w:val="15"/>
                <w:szCs w:val="15"/>
                <w:color w:val="auto"/>
              </w:rPr>
            </w:pPr>
          </w:p>
        </w:tc>
      </w:tr>
      <w:tr>
        <w:trPr>
          <w:trHeight w:val="174"/>
        </w:trPr>
        <w:tc>
          <w:tcPr>
            <w:tcW w:w="818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Noncontrolling (minority) interests in consolidated subsidiaries</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74"/>
        </w:trPr>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 capital</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1,106,949</w:t>
            </w:r>
          </w:p>
        </w:tc>
        <w:tc>
          <w:tcPr>
            <w:tcW w:w="40" w:type="dxa"/>
            <w:vAlign w:val="bottom"/>
            <w:shd w:val="clear" w:color="auto" w:fill="CCEEFF"/>
          </w:tcPr>
          <w:p>
            <w:pPr>
              <w:spacing w:after="0"/>
              <w:rPr>
                <w:sz w:val="15"/>
                <w:szCs w:val="15"/>
                <w:color w:val="auto"/>
              </w:rPr>
            </w:pPr>
          </w:p>
        </w:tc>
      </w:tr>
      <w:tr>
        <w:trPr>
          <w:trHeight w:val="176"/>
        </w:trPr>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 and equity capital</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1,372,597</w:t>
            </w:r>
          </w:p>
        </w:tc>
        <w:tc>
          <w:tcPr>
            <w:tcW w:w="4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0" w:lineRule="exact"/>
        <w:rPr>
          <w:sz w:val="20"/>
          <w:szCs w:val="20"/>
          <w:color w:val="auto"/>
        </w:rPr>
      </w:pPr>
    </w:p>
    <w:p>
      <w:pPr>
        <w:ind w:left="80" w:right="79" w:firstLine="354"/>
        <w:spacing w:after="0" w:line="279" w:lineRule="auto"/>
        <w:rPr>
          <w:sz w:val="20"/>
          <w:szCs w:val="20"/>
          <w:color w:val="auto"/>
        </w:rPr>
      </w:pPr>
      <w:r>
        <w:rPr>
          <w:rFonts w:ascii="Times New Roman" w:cs="Times New Roman" w:eastAsia="Times New Roman" w:hAnsi="Times New Roman"/>
          <w:sz w:val="14"/>
          <w:szCs w:val="14"/>
          <w:color w:val="auto"/>
        </w:rPr>
        <w:t>I, Natalie Bobnar,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55" w:lineRule="exact"/>
        <w:rPr>
          <w:sz w:val="20"/>
          <w:szCs w:val="20"/>
          <w:color w:val="auto"/>
        </w:rPr>
      </w:pPr>
    </w:p>
    <w:p>
      <w:pPr>
        <w:ind w:left="360"/>
        <w:spacing w:after="0"/>
        <w:tabs>
          <w:tab w:leader="none" w:pos="1840" w:val="left"/>
        </w:tabs>
        <w:rPr>
          <w:sz w:val="20"/>
          <w:szCs w:val="20"/>
          <w:color w:val="auto"/>
        </w:rPr>
      </w:pPr>
      <w:r>
        <w:rPr>
          <w:rFonts w:ascii="Times New Roman" w:cs="Times New Roman" w:eastAsia="Times New Roman" w:hAnsi="Times New Roman"/>
          <w:sz w:val="14"/>
          <w:szCs w:val="14"/>
          <w:color w:val="auto"/>
        </w:rPr>
        <w:t>Natalie Bobnar    )</w:t>
      </w:r>
      <w:r>
        <w:rPr>
          <w:sz w:val="20"/>
          <w:szCs w:val="20"/>
          <w:color w:val="auto"/>
        </w:rPr>
        <w:tab/>
      </w:r>
      <w:r>
        <w:rPr>
          <w:rFonts w:ascii="Times New Roman" w:cs="Times New Roman" w:eastAsia="Times New Roman" w:hAnsi="Times New Roman"/>
          <w:sz w:val="14"/>
          <w:szCs w:val="14"/>
          <w:color w:val="auto"/>
        </w:rPr>
        <w:t>CFO</w:t>
      </w:r>
    </w:p>
    <w:p>
      <w:pPr>
        <w:spacing w:after="0" w:line="187" w:lineRule="exact"/>
        <w:rPr>
          <w:sz w:val="20"/>
          <w:szCs w:val="20"/>
          <w:color w:val="auto"/>
        </w:rPr>
      </w:pPr>
    </w:p>
    <w:p>
      <w:pPr>
        <w:jc w:val="both"/>
        <w:ind w:left="80" w:right="319" w:firstLine="354"/>
        <w:spacing w:after="0" w:line="279" w:lineRule="auto"/>
        <w:rPr>
          <w:sz w:val="20"/>
          <w:szCs w:val="20"/>
          <w:color w:val="auto"/>
        </w:rPr>
      </w:pPr>
      <w:r>
        <w:rPr>
          <w:rFonts w:ascii="Times New Roman" w:cs="Times New Roman" w:eastAsia="Times New Roman" w:hAnsi="Times New Roman"/>
          <w:sz w:val="14"/>
          <w:szCs w:val="14"/>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Elizabeth Lyndon, Managing Director         )</w:t>
      </w:r>
    </w:p>
    <w:p>
      <w:pPr>
        <w:spacing w:after="0" w:line="35" w:lineRule="exact"/>
        <w:rPr>
          <w:sz w:val="20"/>
          <w:szCs w:val="20"/>
          <w:color w:val="auto"/>
        </w:rPr>
      </w:pPr>
    </w:p>
    <w:p>
      <w:pPr>
        <w:ind w:left="360"/>
        <w:spacing w:after="0"/>
        <w:tabs>
          <w:tab w:leader="none" w:pos="3780" w:val="left"/>
        </w:tabs>
        <w:rPr>
          <w:sz w:val="20"/>
          <w:szCs w:val="20"/>
          <w:color w:val="auto"/>
        </w:rPr>
      </w:pPr>
      <w:r>
        <w:rPr>
          <w:rFonts w:ascii="Times New Roman" w:cs="Times New Roman" w:eastAsia="Times New Roman" w:hAnsi="Times New Roman"/>
          <w:sz w:val="14"/>
          <w:szCs w:val="14"/>
          <w:color w:val="auto"/>
        </w:rPr>
        <w:t>Kevin C. Weeks, President                       )</w:t>
      </w:r>
      <w:r>
        <w:rPr>
          <w:sz w:val="20"/>
          <w:szCs w:val="20"/>
          <w:color w:val="auto"/>
        </w:rPr>
        <w:tab/>
      </w:r>
      <w:r>
        <w:rPr>
          <w:rFonts w:ascii="Times New Roman" w:cs="Times New Roman" w:eastAsia="Times New Roman" w:hAnsi="Times New Roman"/>
          <w:sz w:val="14"/>
          <w:szCs w:val="14"/>
          <w:color w:val="auto"/>
        </w:rPr>
        <w:t>Directors (Trustees)</w:t>
      </w:r>
    </w:p>
    <w:p>
      <w:pPr>
        <w:spacing w:after="0" w:line="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Fernando A. Costa, Managing Director        )</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9" w:right="1440" w:bottom="1440" w:gutter="0" w:footer="0" w:header="0"/>
        </w:sectPr>
      </w:pPr>
    </w:p>
    <w:bookmarkStart w:id="49" w:name="page50"/>
    <w:bookmarkEnd w:id="49"/>
    <w:p>
      <w:pPr>
        <w:ind w:left="3420"/>
        <w:spacing w:after="0"/>
        <w:rPr>
          <w:sz w:val="20"/>
          <w:szCs w:val="20"/>
          <w:color w:val="auto"/>
        </w:rPr>
      </w:pPr>
      <w:r>
        <w:rPr>
          <w:rFonts w:ascii="Arial" w:cs="Arial" w:eastAsia="Arial" w:hAnsi="Arial"/>
          <w:sz w:val="29"/>
          <w:szCs w:val="29"/>
          <w:b w:val="1"/>
          <w:bCs w:val="1"/>
          <w:color w:val="auto"/>
        </w:rPr>
        <w:t>Calculation of Filing Fee Tables</w:t>
      </w:r>
    </w:p>
    <w:p>
      <w:pPr>
        <w:spacing w:after="0" w:line="177" w:lineRule="exact"/>
        <w:rPr>
          <w:sz w:val="20"/>
          <w:szCs w:val="20"/>
          <w:color w:val="auto"/>
        </w:rPr>
      </w:pPr>
    </w:p>
    <w:p>
      <w:pPr>
        <w:ind w:left="5340"/>
        <w:spacing w:after="0"/>
        <w:rPr>
          <w:sz w:val="20"/>
          <w:szCs w:val="20"/>
          <w:color w:val="auto"/>
        </w:rPr>
      </w:pPr>
      <w:r>
        <w:rPr>
          <w:rFonts w:ascii="Arial" w:cs="Arial" w:eastAsia="Arial" w:hAnsi="Arial"/>
          <w:sz w:val="29"/>
          <w:szCs w:val="29"/>
          <w:b w:val="1"/>
          <w:bCs w:val="1"/>
          <w:color w:val="auto"/>
        </w:rPr>
        <w:t>S-3</w:t>
      </w:r>
    </w:p>
    <w:p>
      <w:pPr>
        <w:spacing w:after="0" w:line="101"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WILLIAMS COMPANIES, INC.</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5340" w:type="dxa"/>
            <w:vAlign w:val="bottom"/>
            <w:tcBorders>
              <w:bottom w:val="single" w:sz="8" w:color="auto"/>
            </w:tcBorders>
            <w:gridSpan w:val="15"/>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Previously</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vMerge w:val="restart"/>
            <w:shd w:val="clear" w:color="auto" w:fill="9ADAF6"/>
          </w:tcPr>
          <w:p>
            <w:pPr>
              <w:jc w:val="center"/>
              <w:ind w:left="53"/>
              <w:spacing w:after="0"/>
              <w:rPr>
                <w:sz w:val="20"/>
                <w:szCs w:val="20"/>
                <w:color w:val="auto"/>
              </w:rPr>
            </w:pPr>
            <w:r>
              <w:rPr>
                <w:rFonts w:ascii="Arial" w:cs="Arial" w:eastAsia="Arial" w:hAnsi="Arial"/>
                <w:sz w:val="17"/>
                <w:szCs w:val="17"/>
                <w:b w:val="1"/>
                <w:bCs w:val="1"/>
                <w:color w:val="auto"/>
              </w:rPr>
              <w:t>Fee</w:t>
            </w: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8"/>
        </w:trPr>
        <w:tc>
          <w:tcPr>
            <w:tcW w:w="40" w:type="dxa"/>
            <w:vAlign w:val="bottom"/>
            <w:tcBorders>
              <w:left w:val="single" w:sz="8" w:color="auto"/>
            </w:tcBorders>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8"/>
                <w:szCs w:val="8"/>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8"/>
                <w:szCs w:val="8"/>
                <w:color w:val="auto"/>
              </w:rPr>
            </w:pPr>
          </w:p>
        </w:tc>
        <w:tc>
          <w:tcPr>
            <w:tcW w:w="7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5"/>
                <w:szCs w:val="15"/>
                <w:color w:val="auto"/>
              </w:rPr>
            </w:pPr>
          </w:p>
        </w:tc>
        <w:tc>
          <w:tcPr>
            <w:tcW w:w="960" w:type="dxa"/>
            <w:vAlign w:val="bottom"/>
            <w:gridSpan w:val="2"/>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5"/>
                <w:szCs w:val="15"/>
                <w:color w:val="auto"/>
              </w:rPr>
            </w:pPr>
          </w:p>
        </w:tc>
        <w:tc>
          <w:tcPr>
            <w:tcW w:w="9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5"/>
                <w:szCs w:val="15"/>
                <w:color w:val="auto"/>
              </w:rPr>
            </w:pPr>
          </w:p>
        </w:tc>
        <w:tc>
          <w:tcPr>
            <w:tcW w:w="9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9ADAF6"/>
          </w:tcPr>
          <w:p>
            <w:pPr>
              <w:jc w:val="right"/>
              <w:spacing w:after="0" w:line="176"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5"/>
                <w:szCs w:val="15"/>
                <w:color w:val="auto"/>
              </w:rPr>
            </w:pPr>
          </w:p>
        </w:tc>
        <w:tc>
          <w:tcPr>
            <w:tcW w:w="7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5"/>
                <w:szCs w:val="15"/>
                <w:color w:val="auto"/>
              </w:rPr>
            </w:pPr>
          </w:p>
        </w:tc>
        <w:tc>
          <w:tcPr>
            <w:tcW w:w="1000" w:type="dxa"/>
            <w:vAlign w:val="bottom"/>
            <w:tcBorders>
              <w:right w:val="single" w:sz="8" w:color="auto"/>
            </w:tcBorders>
            <w:vMerge w:val="continue"/>
            <w:shd w:val="clear" w:color="auto" w:fill="9ADAF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ind w:left="2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7"/>
                <w:szCs w:val="17"/>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7"/>
                <w:szCs w:val="17"/>
                <w:color w:val="auto"/>
              </w:rPr>
            </w:pPr>
          </w:p>
        </w:tc>
        <w:tc>
          <w:tcPr>
            <w:tcW w:w="840" w:type="dxa"/>
            <w:vAlign w:val="bottom"/>
            <w:shd w:val="clear" w:color="auto" w:fill="9ADAF6"/>
          </w:tcPr>
          <w:p>
            <w:pPr>
              <w:jc w:val="center"/>
              <w:ind w:left="33"/>
              <w:spacing w:after="0"/>
              <w:rPr>
                <w:sz w:val="20"/>
                <w:szCs w:val="20"/>
                <w:color w:val="auto"/>
              </w:rPr>
            </w:pPr>
            <w:r>
              <w:rPr>
                <w:rFonts w:ascii="Arial" w:cs="Arial" w:eastAsia="Arial" w:hAnsi="Arial"/>
                <w:sz w:val="17"/>
                <w:szCs w:val="17"/>
                <w:b w:val="1"/>
                <w:bCs w:val="1"/>
                <w:color w:val="auto"/>
              </w:rPr>
              <w:t>or Carry</w:t>
            </w: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jc w:val="right"/>
              <w:ind w:right="53"/>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7"/>
                <w:szCs w:val="17"/>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7"/>
                <w:szCs w:val="17"/>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7"/>
                <w:szCs w:val="17"/>
                <w:color w:val="auto"/>
              </w:rPr>
            </w:pPr>
          </w:p>
        </w:tc>
        <w:tc>
          <w:tcPr>
            <w:tcW w:w="1040" w:type="dxa"/>
            <w:vAlign w:val="bottom"/>
            <w:shd w:val="clear" w:color="auto" w:fill="9ADAF6"/>
          </w:tcPr>
          <w:p>
            <w:pPr>
              <w:jc w:val="right"/>
              <w:spacing w:after="0"/>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7"/>
                <w:szCs w:val="17"/>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7"/>
                <w:szCs w:val="17"/>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ind w:left="180"/>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7"/>
                <w:szCs w:val="17"/>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7"/>
                <w:szCs w:val="17"/>
                <w:color w:val="auto"/>
              </w:rPr>
            </w:pPr>
          </w:p>
        </w:tc>
        <w:tc>
          <w:tcPr>
            <w:tcW w:w="840" w:type="dxa"/>
            <w:vAlign w:val="bottom"/>
            <w:shd w:val="clear" w:color="auto" w:fill="9ADAF6"/>
          </w:tcPr>
          <w:p>
            <w:pPr>
              <w:jc w:val="center"/>
              <w:ind w:left="33"/>
              <w:spacing w:after="0"/>
              <w:rPr>
                <w:sz w:val="20"/>
                <w:szCs w:val="20"/>
                <w:color w:val="auto"/>
              </w:rPr>
            </w:pPr>
            <w:r>
              <w:rPr>
                <w:rFonts w:ascii="Arial" w:cs="Arial" w:eastAsia="Arial" w:hAnsi="Arial"/>
                <w:sz w:val="17"/>
                <w:szCs w:val="17"/>
                <w:b w:val="1"/>
                <w:bCs w:val="1"/>
                <w:color w:val="auto"/>
              </w:rPr>
              <w:t>Forward</w:t>
            </w: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jc w:val="right"/>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7"/>
                <w:szCs w:val="17"/>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7"/>
                <w:szCs w:val="17"/>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jc w:val="right"/>
              <w:ind w:right="273"/>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7"/>
                <w:szCs w:val="17"/>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7"/>
                <w:szCs w:val="17"/>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restart"/>
            <w:shd w:val="clear" w:color="auto" w:fill="9ADAF6"/>
          </w:tcPr>
          <w:p>
            <w:pPr>
              <w:jc w:val="center"/>
              <w:ind w:left="53"/>
              <w:spacing w:after="0"/>
              <w:rPr>
                <w:sz w:val="20"/>
                <w:szCs w:val="20"/>
                <w:color w:val="auto"/>
              </w:rPr>
            </w:pPr>
            <w:r>
              <w:rPr>
                <w:rFonts w:ascii="Arial" w:cs="Arial" w:eastAsia="Arial" w:hAnsi="Arial"/>
                <w:sz w:val="17"/>
                <w:szCs w:val="17"/>
                <w:b w:val="1"/>
                <w:bCs w:val="1"/>
                <w:color w:val="auto"/>
              </w:rPr>
              <w:t>Rule</w:t>
            </w: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0"/>
                <w:szCs w:val="10"/>
                <w:color w:val="auto"/>
              </w:rPr>
            </w:pPr>
          </w:p>
        </w:tc>
        <w:tc>
          <w:tcPr>
            <w:tcW w:w="9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Price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0"/>
                <w:szCs w:val="10"/>
                <w:color w:val="auto"/>
              </w:rPr>
            </w:pPr>
          </w:p>
        </w:tc>
        <w:tc>
          <w:tcPr>
            <w:tcW w:w="1000" w:type="dxa"/>
            <w:vAlign w:val="bottom"/>
            <w:tcBorders>
              <w:right w:val="single" w:sz="8" w:color="auto"/>
            </w:tcBorders>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vMerge w:val="continue"/>
            <w:shd w:val="clear" w:color="auto" w:fill="9ADAF6"/>
          </w:tcPr>
          <w:p>
            <w:pPr>
              <w:spacing w:after="0"/>
              <w:rPr>
                <w:sz w:val="12"/>
                <w:szCs w:val="12"/>
                <w:color w:val="auto"/>
              </w:rPr>
            </w:pPr>
          </w:p>
        </w:tc>
        <w:tc>
          <w:tcPr>
            <w:tcW w:w="1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to be</w:t>
            </w:r>
          </w:p>
        </w:tc>
        <w:tc>
          <w:tcPr>
            <w:tcW w:w="0" w:type="dxa"/>
            <w:vAlign w:val="bottom"/>
          </w:tcPr>
          <w:p>
            <w:pPr>
              <w:spacing w:after="0"/>
              <w:rPr>
                <w:sz w:val="1"/>
                <w:szCs w:val="1"/>
                <w:color w:val="auto"/>
              </w:rPr>
            </w:pPr>
          </w:p>
        </w:tc>
      </w:tr>
      <w:tr>
        <w:trPr>
          <w:trHeight w:val="54"/>
        </w:trPr>
        <w:tc>
          <w:tcPr>
            <w:tcW w:w="40" w:type="dxa"/>
            <w:vAlign w:val="bottom"/>
            <w:tcBorders>
              <w:left w:val="single" w:sz="8" w:color="auto"/>
            </w:tcBorders>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5"/>
        </w:trPr>
        <w:tc>
          <w:tcPr>
            <w:tcW w:w="40" w:type="dxa"/>
            <w:vAlign w:val="bottom"/>
            <w:tcBorders>
              <w:left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60" w:type="dxa"/>
            <w:vAlign w:val="bottom"/>
            <w:gridSpan w:val="7"/>
          </w:tcPr>
          <w:p>
            <w:pPr>
              <w:jc w:val="right"/>
              <w:ind w:right="1133"/>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80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ind w:left="53"/>
              <w:spacing w:after="0"/>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0.000087</w:t>
            </w: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7"/>
                <w:szCs w:val="1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7"/>
                <w:szCs w:val="17"/>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7"/>
                <w:szCs w:val="17"/>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Stock,</w:t>
            </w:r>
          </w:p>
        </w:tc>
        <w:tc>
          <w:tcPr>
            <w:tcW w:w="20" w:type="dxa"/>
            <w:vAlign w:val="bottom"/>
          </w:tcPr>
          <w:p>
            <w:pPr>
              <w:spacing w:after="0"/>
              <w:rPr>
                <w:sz w:val="17"/>
                <w:szCs w:val="17"/>
                <w:color w:val="auto"/>
              </w:rPr>
            </w:pPr>
          </w:p>
        </w:tc>
        <w:tc>
          <w:tcPr>
            <w:tcW w:w="840" w:type="dxa"/>
            <w:vAlign w:val="bottom"/>
            <w:vMerge w:val="restart"/>
            <w:shd w:val="clear" w:color="auto" w:fill="E7E7E2"/>
          </w:tcPr>
          <w:p>
            <w:pPr>
              <w:jc w:val="center"/>
              <w:ind w:left="53"/>
              <w:spacing w:after="0"/>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0.000087</w:t>
            </w: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40" w:type="dxa"/>
            <w:vAlign w:val="bottom"/>
            <w:tcBorders>
              <w:left w:val="single" w:sz="8" w:color="auto"/>
            </w:tcBorders>
          </w:tcPr>
          <w:p>
            <w:pPr>
              <w:spacing w:after="0"/>
              <w:rPr>
                <w:sz w:val="5"/>
                <w:szCs w:val="5"/>
                <w:color w:val="auto"/>
              </w:rPr>
            </w:pPr>
          </w:p>
        </w:tc>
        <w:tc>
          <w:tcPr>
            <w:tcW w:w="8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7"/>
                <w:szCs w:val="1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7"/>
                <w:szCs w:val="17"/>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7"/>
                <w:szCs w:val="17"/>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Stock,</w:t>
            </w:r>
          </w:p>
        </w:tc>
        <w:tc>
          <w:tcPr>
            <w:tcW w:w="20" w:type="dxa"/>
            <w:vAlign w:val="bottom"/>
          </w:tcPr>
          <w:p>
            <w:pPr>
              <w:spacing w:after="0"/>
              <w:rPr>
                <w:sz w:val="17"/>
                <w:szCs w:val="17"/>
                <w:color w:val="auto"/>
              </w:rPr>
            </w:pPr>
          </w:p>
        </w:tc>
        <w:tc>
          <w:tcPr>
            <w:tcW w:w="840" w:type="dxa"/>
            <w:vAlign w:val="bottom"/>
            <w:vMerge w:val="restart"/>
            <w:shd w:val="clear" w:color="auto" w:fill="E7E7E2"/>
          </w:tcPr>
          <w:p>
            <w:pPr>
              <w:jc w:val="center"/>
              <w:ind w:left="53"/>
              <w:spacing w:after="0"/>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0.000087</w:t>
            </w: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40" w:type="dxa"/>
            <w:vAlign w:val="bottom"/>
            <w:tcBorders>
              <w:left w:val="single" w:sz="8" w:color="auto"/>
            </w:tcBorders>
          </w:tcPr>
          <w:p>
            <w:pPr>
              <w:spacing w:after="0"/>
              <w:rPr>
                <w:sz w:val="5"/>
                <w:szCs w:val="5"/>
                <w:color w:val="auto"/>
              </w:rPr>
            </w:pPr>
          </w:p>
        </w:tc>
        <w:tc>
          <w:tcPr>
            <w:tcW w:w="8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6"/>
                <w:szCs w:val="16"/>
                <w:color w:val="auto"/>
              </w:rPr>
            </w:pPr>
          </w:p>
        </w:tc>
        <w:tc>
          <w:tcPr>
            <w:tcW w:w="80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Purchase</w:t>
            </w: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ind w:left="53"/>
              <w:spacing w:after="0"/>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0.000087</w:t>
            </w: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Contracts</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6"/>
                <w:szCs w:val="16"/>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ind w:left="53"/>
              <w:spacing w:after="0"/>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0.000087</w:t>
            </w: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6"/>
                <w:szCs w:val="16"/>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Units</w:t>
            </w: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ind w:left="53"/>
              <w:spacing w:after="0"/>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0.000087</w:t>
            </w: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tcBorders>
              <w:left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60" w:type="dxa"/>
            <w:vAlign w:val="bottom"/>
            <w:gridSpan w:val="7"/>
          </w:tcPr>
          <w:p>
            <w:pPr>
              <w:jc w:val="right"/>
              <w:ind w:right="1273"/>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18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2" w:lineRule="exact"/>
        <w:rPr>
          <w:sz w:val="20"/>
          <w:szCs w:val="20"/>
          <w:color w:val="auto"/>
        </w:rPr>
      </w:pPr>
    </w:p>
    <w:p>
      <w:pPr>
        <w:ind w:left="220" w:right="120" w:hanging="181"/>
        <w:spacing w:after="0" w:line="236" w:lineRule="auto"/>
        <w:tabs>
          <w:tab w:leader="none" w:pos="220" w:val="left"/>
        </w:tabs>
        <w:numPr>
          <w:ilvl w:val="0"/>
          <w:numId w:val="53"/>
        </w:numPr>
        <w:rPr>
          <w:rFonts w:ascii="Arial" w:cs="Arial" w:eastAsia="Arial" w:hAnsi="Arial"/>
          <w:sz w:val="22"/>
          <w:szCs w:val="22"/>
          <w:color w:val="auto"/>
          <w:vertAlign w:val="superscript"/>
        </w:rPr>
      </w:pPr>
      <w:r>
        <w:rPr>
          <w:rFonts w:ascii="Arial" w:cs="Arial" w:eastAsia="Arial" w:hAnsi="Arial"/>
          <w:sz w:val="17"/>
          <w:szCs w:val="17"/>
          <w:color w:val="auto"/>
        </w:rPr>
        <w:t>(1) Any securities registered hereunder may be sold separately or as units with other securities registered hereunder. (2) Omitted pursuant to Instruction 2.A.iii.c. to Item 16(b) of Form S-3. An indeterminate aggregate offering price or number of securities of each identified class is being registered as may from time to time be offered at indeterminate prices. Includes such indeterminate amounts of securities as may be issued upon exercise, conversion or exchange of, or pursuant to anti-dilution adjustments with respect to, any securities that provide for that issuance or adjustment. Also includes such indeterminate amount as may be issued in units. Separate consideration may or may not be received for securities that are issuable on exercise, conversion or exchange of, or pursuant to anti-dilution adjustments with respect to, any other securities. (3) The registrant is deferring payment of the registration fee pursuant to Rule 456(b) under the Securities Act of 1933, as amended (the "Securities Act") and is excluding this information in reliance on Rule 456(b) and Rule 457(r) under the Securities Act. Any registration fees will be paid subsequently on a pay-as-you-go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43115"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pacing w:after="0" w:line="235" w:lineRule="exact"/>
        <w:rPr>
          <w:sz w:val="20"/>
          <w:szCs w:val="20"/>
          <w:color w:val="auto"/>
        </w:rPr>
      </w:pPr>
    </w:p>
    <w:p>
      <w:pPr>
        <w:ind w:left="220" w:right="120" w:hanging="181"/>
        <w:spacing w:after="0" w:line="236" w:lineRule="auto"/>
        <w:tabs>
          <w:tab w:leader="none" w:pos="220" w:val="left"/>
        </w:tabs>
        <w:numPr>
          <w:ilvl w:val="0"/>
          <w:numId w:val="54"/>
        </w:numPr>
        <w:rPr>
          <w:rFonts w:ascii="Arial" w:cs="Arial" w:eastAsia="Arial" w:hAnsi="Arial"/>
          <w:sz w:val="22"/>
          <w:szCs w:val="22"/>
          <w:color w:val="auto"/>
          <w:vertAlign w:val="superscript"/>
        </w:rPr>
      </w:pPr>
      <w:r>
        <w:rPr>
          <w:rFonts w:ascii="Arial" w:cs="Arial" w:eastAsia="Arial" w:hAnsi="Arial"/>
          <w:sz w:val="17"/>
          <w:szCs w:val="17"/>
          <w:color w:val="auto"/>
        </w:rPr>
        <w:t>(1) Any securities registered hereunder may be sold separately or as units with other securities registered hereunder. (2) Omitted pursuant to Instruction 2.A.iii.c. to Item 16(b) of Form S-3. An indeterminate aggregate offering price or number of securities of each identified class is being registered as may from time to time be offered at indeterminate prices. Includes such indeterminate amounts of securities as may be issued upon exercise, conversion or exchange of, or pursuant to anti-dilution adjustments with respect to, any securities that provide for that issuance or adjustment. Also includes such indeterminate amount as may be issued in units. Separate consideration may or may not be received for securities that are issuable on exercise, conversion or exchange of, or pursuant to anti-dilution adjustments with respect to, any other securities. (3) The registrant is deferring payment of the registration fee pursuant to Rule 456(b) under the Securities Act of 1933, as amended (the "Securities Act") and is excluding this information in reliance on Rule 456(b) and Rule 457(r) under the Securities Act. Any registration fees will be paid subsequently on a pay-as-you-go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43115"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pacing w:after="0" w:line="235" w:lineRule="exact"/>
        <w:rPr>
          <w:sz w:val="20"/>
          <w:szCs w:val="20"/>
          <w:color w:val="auto"/>
        </w:rPr>
      </w:pPr>
    </w:p>
    <w:p>
      <w:pPr>
        <w:ind w:left="220" w:right="120" w:hanging="181"/>
        <w:spacing w:after="0" w:line="236" w:lineRule="auto"/>
        <w:tabs>
          <w:tab w:leader="none" w:pos="220" w:val="left"/>
        </w:tabs>
        <w:numPr>
          <w:ilvl w:val="0"/>
          <w:numId w:val="55"/>
        </w:numPr>
        <w:rPr>
          <w:rFonts w:ascii="Arial" w:cs="Arial" w:eastAsia="Arial" w:hAnsi="Arial"/>
          <w:sz w:val="22"/>
          <w:szCs w:val="22"/>
          <w:color w:val="auto"/>
          <w:vertAlign w:val="superscript"/>
        </w:rPr>
      </w:pPr>
      <w:r>
        <w:rPr>
          <w:rFonts w:ascii="Arial" w:cs="Arial" w:eastAsia="Arial" w:hAnsi="Arial"/>
          <w:sz w:val="17"/>
          <w:szCs w:val="17"/>
          <w:color w:val="auto"/>
        </w:rPr>
        <w:t>(1) Any securities registered hereunder may be sold separately or as units with other securities registered hereunder. (2) Omitted pursuant to Instruction 2.A.iii.c. to Item 16(b) of Form S-3. An indeterminate aggregate offering price or number of securities of each identified class is being registered as may from time to time be offered at indeterminate prices. Includes such indeterminate amounts of securities as may be issued upon exercise, conversion or exchange of, or pursuant to anti-dilution adjustments with respect to, any securities that provide for that issuance or adjustment. Also includes such indeterminate amount as may be issued in units. Separate consideration may or may not be received for securities that are issuable on exercise, conversion or exchange of, or pursuant to anti-dilution adjustments with respect to, any other securities. (3) The registrant is deferring payment of the registration fee pursuant to Rule 456(b) under the Securities Act of 1933, as amended (the "Securities Act") and is excluding this information in reliance on Rule 456(b) and Rule 457(r) under the Securities Act. Any registration fees will be paid subsequently on a pay-as-you-go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43115"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ectPr>
          <w:pgSz w:w="11900" w:h="16838" w:orient="portrait"/>
          <w:cols w:equalWidth="0" w:num="1">
            <w:col w:w="11360"/>
          </w:cols>
          <w:pgMar w:left="300" w:top="141" w:right="239" w:bottom="0" w:gutter="0" w:footer="0" w:header="0"/>
        </w:sectPr>
      </w:pPr>
    </w:p>
    <w:bookmarkStart w:id="50" w:name="page51"/>
    <w:bookmarkEnd w:id="50"/>
    <w:p>
      <w:pPr>
        <w:ind w:left="220" w:right="40" w:hanging="181"/>
        <w:spacing w:after="0" w:line="237" w:lineRule="auto"/>
        <w:tabs>
          <w:tab w:leader="none" w:pos="220" w:val="left"/>
        </w:tabs>
        <w:numPr>
          <w:ilvl w:val="0"/>
          <w:numId w:val="56"/>
        </w:numPr>
        <w:rPr>
          <w:rFonts w:ascii="Arial" w:cs="Arial" w:eastAsia="Arial" w:hAnsi="Arial"/>
          <w:sz w:val="22"/>
          <w:szCs w:val="22"/>
          <w:color w:val="auto"/>
          <w:vertAlign w:val="superscript"/>
        </w:rPr>
      </w:pPr>
      <w:r>
        <w:rPr>
          <w:rFonts w:ascii="Arial" w:cs="Arial" w:eastAsia="Arial" w:hAnsi="Arial"/>
          <w:sz w:val="17"/>
          <w:szCs w:val="17"/>
          <w:color w:val="auto"/>
        </w:rPr>
        <w:t>(1) Any securities registered hereunder may be sold separately or as units with other securities registered hereunder. (2) Omitted pursuant to Instruction 2.A.iii.c. to Item 16(b) of Form S-3. An indeterminate aggregate offering price or number of securities of each identified class is being registered as may from time to time be offered at indeterminate prices. Includes such indeterminate amounts of securities as may be issued upon exercise, conversion or exchange of, or pursuant to anti-dilution adjustments with respect to, any securities that provide for that issuance or adjustment. Also includes such indeterminate amount as may be issued in units. Separate consideration may or may not be received for securities that are issuable on exercise, conversion or exchange of, or pursuant to anti-dilution adjustments with respect to, any other securities. (3) The registrant is deferring payment of the registration fee pursuant to Rule 456(b) under the Securities Act of 1933, as amended (the "Securities Act") and is excluding this information in reliance on Rule 456(b) and Rule 457(r) under the Securities Act. Any registration fees will be paid subsequently on a pay-as-you-go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43115"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pacing w:after="0" w:line="229" w:lineRule="exact"/>
        <w:rPr>
          <w:sz w:val="20"/>
          <w:szCs w:val="20"/>
          <w:color w:val="auto"/>
        </w:rPr>
      </w:pPr>
    </w:p>
    <w:p>
      <w:pPr>
        <w:ind w:left="220" w:right="40" w:hanging="181"/>
        <w:spacing w:after="0" w:line="236" w:lineRule="auto"/>
        <w:tabs>
          <w:tab w:leader="none" w:pos="220" w:val="left"/>
        </w:tabs>
        <w:numPr>
          <w:ilvl w:val="0"/>
          <w:numId w:val="57"/>
        </w:numPr>
        <w:rPr>
          <w:rFonts w:ascii="Arial" w:cs="Arial" w:eastAsia="Arial" w:hAnsi="Arial"/>
          <w:sz w:val="22"/>
          <w:szCs w:val="22"/>
          <w:color w:val="auto"/>
          <w:vertAlign w:val="superscript"/>
        </w:rPr>
      </w:pPr>
      <w:r>
        <w:rPr>
          <w:rFonts w:ascii="Arial" w:cs="Arial" w:eastAsia="Arial" w:hAnsi="Arial"/>
          <w:sz w:val="17"/>
          <w:szCs w:val="17"/>
          <w:color w:val="auto"/>
        </w:rPr>
        <w:t>(1) Any securities registered hereunder may be sold separately or as units with other securities registered hereunder. (2) Omitted pursuant to Instruction 2.A.iii.c. to Item 16(b) of Form S-3. An indeterminate aggregate offering price or number of securities of each identified class is being registered as may from time to time be offered at indeterminate prices. Includes such indeterminate amounts of securities as may be issued upon exercise, conversion or exchange of, or pursuant to anti-dilution adjustments with respect to, any securities that provide for that issuance or adjustment. Also includes such indeterminate amount as may be issued in units. Separate consideration may or may not be received for securities that are issuable on exercise, conversion or exchange of, or pursuant to anti-dilution adjustments with respect to, any other securities. (3) The registrant is deferring payment of the registration fee pursuant to Rule 456(b) under the Securities Act of 1933, as amended (the "Securities Act") and is excluding this information in reliance on Rule 456(b) and Rule 457(r) under the Securities Act. Any registration fees will be paid subsequently on a pay-as-you-go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43115"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pacing w:after="0" w:line="235" w:lineRule="exact"/>
        <w:rPr>
          <w:sz w:val="20"/>
          <w:szCs w:val="20"/>
          <w:color w:val="auto"/>
        </w:rPr>
      </w:pPr>
    </w:p>
    <w:p>
      <w:pPr>
        <w:ind w:left="220" w:right="40" w:hanging="181"/>
        <w:spacing w:after="0" w:line="236" w:lineRule="auto"/>
        <w:tabs>
          <w:tab w:leader="none" w:pos="220" w:val="left"/>
        </w:tabs>
        <w:numPr>
          <w:ilvl w:val="0"/>
          <w:numId w:val="58"/>
        </w:numPr>
        <w:rPr>
          <w:rFonts w:ascii="Arial" w:cs="Arial" w:eastAsia="Arial" w:hAnsi="Arial"/>
          <w:sz w:val="22"/>
          <w:szCs w:val="22"/>
          <w:color w:val="auto"/>
          <w:vertAlign w:val="superscript"/>
        </w:rPr>
      </w:pPr>
      <w:r>
        <w:rPr>
          <w:rFonts w:ascii="Arial" w:cs="Arial" w:eastAsia="Arial" w:hAnsi="Arial"/>
          <w:sz w:val="17"/>
          <w:szCs w:val="17"/>
          <w:color w:val="auto"/>
        </w:rPr>
        <w:t>(1) Any securities registered hereunder may be sold separately or as units with other securities registered hereunder. (2) Omitted pursuant to Instruction 2.A.iii.c. to Item 16(b) of Form S-3. An indeterminate aggregate offering price or number of securities of each identified class is being registered as may from time to time be offered at indeterminate prices. Includes such indeterminate amounts of securities as may be issued upon exercise, conversion or exchange of, or pursuant to anti-dilution adjustments with respect to, any securities that provide for that issuance or adjustment. Also includes such indeterminate amount as may be issued in units. Separate consideration may or may not be received for securities that are issuable on exercise, conversion or exchange of, or pursuant to anti-dilution adjustments with respect to, any other securities. (3) The registrant is deferring payment of the registration fee pursuant to Rule 456(b) under the Securities Act of 1933, as amended (the "Securities Act") and is excluding this information in reliance on Rule 456(b) and Rule 457(r) under the Securities Act. Any registration fees will be paid subsequently on a pay-as-you-go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43115"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3300" w:type="dxa"/>
            <w:vAlign w:val="bottom"/>
            <w:tcBorders>
              <w:bottom w:val="single" w:sz="8" w:color="auto"/>
            </w:tcBorders>
            <w:gridSpan w:val="11"/>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00"/>
              <w:spacing w:after="0" w:line="196" w:lineRule="exact"/>
              <w:rPr>
                <w:sz w:val="20"/>
                <w:szCs w:val="20"/>
                <w:color w:val="auto"/>
              </w:rPr>
            </w:pPr>
            <w:r>
              <w:rPr>
                <w:rFonts w:ascii="MS PGothic" w:cs="MS PGothic" w:eastAsia="MS PGothic" w:hAnsi="MS PGothic"/>
                <w:sz w:val="17"/>
                <w:szCs w:val="17"/>
                <w:color w:val="auto"/>
                <w:highlight w:val="black"/>
                <w:w w:val="99"/>
              </w:rPr>
              <w:t>☑</w:t>
            </w:r>
            <w:r>
              <w:rPr>
                <w:rFonts w:ascii="Arial" w:cs="Arial" w:eastAsia="Arial" w:hAnsi="Arial"/>
                <w:sz w:val="17"/>
                <w:szCs w:val="17"/>
                <w:b w:val="1"/>
                <w:bCs w:val="1"/>
                <w:color w:val="auto"/>
                <w:w w:val="99"/>
              </w:rPr>
              <w:t>Not Applicable</w:t>
            </w: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140" w:type="dxa"/>
            <w:vAlign w:val="bottom"/>
            <w:shd w:val="clear" w:color="auto" w:fill="9ADAF6"/>
          </w:tcPr>
          <w:p>
            <w:pPr>
              <w:spacing w:after="0"/>
              <w:rPr>
                <w:sz w:val="17"/>
                <w:szCs w:val="17"/>
                <w:color w:val="auto"/>
              </w:rPr>
            </w:pPr>
          </w:p>
        </w:tc>
        <w:tc>
          <w:tcPr>
            <w:tcW w:w="80" w:type="dxa"/>
            <w:vAlign w:val="bottom"/>
            <w:tcBorders>
              <w:right w:val="single" w:sz="8" w:color="9ADAF6"/>
            </w:tcBorders>
          </w:tcPr>
          <w:p>
            <w:pPr>
              <w:spacing w:after="0"/>
              <w:rPr>
                <w:sz w:val="17"/>
                <w:szCs w:val="17"/>
                <w:color w:val="auto"/>
              </w:rPr>
            </w:pPr>
          </w:p>
        </w:tc>
        <w:tc>
          <w:tcPr>
            <w:tcW w:w="5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140" w:type="dxa"/>
            <w:vAlign w:val="bottom"/>
            <w:shd w:val="clear" w:color="auto" w:fill="9ADAF6"/>
          </w:tcPr>
          <w:p>
            <w:pPr>
              <w:spacing w:after="0"/>
              <w:rPr>
                <w:sz w:val="17"/>
                <w:szCs w:val="17"/>
                <w:color w:val="auto"/>
              </w:rPr>
            </w:pPr>
          </w:p>
        </w:tc>
        <w:tc>
          <w:tcPr>
            <w:tcW w:w="80" w:type="dxa"/>
            <w:vAlign w:val="bottom"/>
            <w:tcBorders>
              <w:right w:val="single" w:sz="8" w:color="9ADAF6"/>
            </w:tcBorders>
          </w:tcPr>
          <w:p>
            <w:pPr>
              <w:spacing w:after="0"/>
              <w:rPr>
                <w:sz w:val="17"/>
                <w:szCs w:val="17"/>
                <w:color w:val="auto"/>
              </w:rPr>
            </w:pPr>
          </w:p>
        </w:tc>
        <w:tc>
          <w:tcPr>
            <w:tcW w:w="5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7"/>
                <w:szCs w:val="17"/>
                <w:color w:val="auto"/>
              </w:rPr>
            </w:pPr>
          </w:p>
        </w:tc>
        <w:tc>
          <w:tcPr>
            <w:tcW w:w="960" w:type="dxa"/>
            <w:vAlign w:val="bottom"/>
            <w:tcBorders>
              <w:right w:val="single" w:sz="8" w:color="9ADAF6"/>
            </w:tcBorders>
            <w:gridSpan w:val="2"/>
            <w:shd w:val="clear" w:color="auto" w:fill="9ADAF6"/>
          </w:tcPr>
          <w:p>
            <w:pPr>
              <w:jc w:val="center"/>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7"/>
                <w:szCs w:val="17"/>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7"/>
                <w:szCs w:val="17"/>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140" w:type="dxa"/>
            <w:vAlign w:val="bottom"/>
            <w:shd w:val="clear" w:color="auto" w:fill="9ADAF6"/>
          </w:tcPr>
          <w:p>
            <w:pPr>
              <w:spacing w:after="0"/>
              <w:rPr>
                <w:sz w:val="17"/>
                <w:szCs w:val="17"/>
                <w:color w:val="auto"/>
              </w:rPr>
            </w:pPr>
          </w:p>
        </w:tc>
        <w:tc>
          <w:tcPr>
            <w:tcW w:w="80" w:type="dxa"/>
            <w:vAlign w:val="bottom"/>
            <w:tcBorders>
              <w:right w:val="single" w:sz="8" w:color="9ADAF6"/>
            </w:tcBorders>
          </w:tcPr>
          <w:p>
            <w:pPr>
              <w:spacing w:after="0"/>
              <w:rPr>
                <w:sz w:val="17"/>
                <w:szCs w:val="17"/>
                <w:color w:val="auto"/>
              </w:rPr>
            </w:pPr>
          </w:p>
        </w:tc>
        <w:tc>
          <w:tcPr>
            <w:tcW w:w="5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7"/>
                <w:szCs w:val="17"/>
                <w:color w:val="auto"/>
              </w:rPr>
            </w:pPr>
          </w:p>
        </w:tc>
        <w:tc>
          <w:tcPr>
            <w:tcW w:w="960" w:type="dxa"/>
            <w:vAlign w:val="bottom"/>
            <w:tcBorders>
              <w:right w:val="single" w:sz="8" w:color="9ADAF6"/>
            </w:tcBorders>
            <w:gridSpan w:val="2"/>
            <w:shd w:val="clear" w:color="auto" w:fill="9ADAF6"/>
          </w:tcPr>
          <w:p>
            <w:pPr>
              <w:jc w:val="center"/>
              <w:spacing w:after="0"/>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7"/>
                <w:szCs w:val="17"/>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7"/>
                <w:szCs w:val="17"/>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5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Registrant or Filer</w:t>
            </w:r>
          </w:p>
        </w:tc>
        <w:tc>
          <w:tcPr>
            <w:tcW w:w="80" w:type="dxa"/>
            <w:vAlign w:val="bottom"/>
            <w:tcBorders>
              <w:right w:val="single" w:sz="8" w:color="9ADAF6"/>
            </w:tcBorders>
          </w:tcPr>
          <w:p>
            <w:pPr>
              <w:spacing w:after="0"/>
              <w:rPr>
                <w:sz w:val="8"/>
                <w:szCs w:val="8"/>
                <w:color w:val="auto"/>
              </w:rPr>
            </w:pPr>
          </w:p>
        </w:tc>
        <w:tc>
          <w:tcPr>
            <w:tcW w:w="5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700" w:type="dxa"/>
            <w:vAlign w:val="bottom"/>
            <w:tcBorders>
              <w:righ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60" w:type="dxa"/>
            <w:vAlign w:val="bottom"/>
            <w:tcBorders>
              <w:right w:val="single" w:sz="8" w:color="9ADAF6"/>
            </w:tcBorders>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gridSpan w:val="3"/>
            <w:vMerge w:val="continue"/>
            <w:shd w:val="clear" w:color="auto" w:fill="9ADAF6"/>
          </w:tcPr>
          <w:p>
            <w:pPr>
              <w:spacing w:after="0"/>
              <w:rPr>
                <w:sz w:val="15"/>
                <w:szCs w:val="15"/>
                <w:color w:val="auto"/>
              </w:rPr>
            </w:pPr>
          </w:p>
        </w:tc>
        <w:tc>
          <w:tcPr>
            <w:tcW w:w="80" w:type="dxa"/>
            <w:vAlign w:val="bottom"/>
            <w:tcBorders>
              <w:right w:val="single" w:sz="8" w:color="9ADAF6"/>
            </w:tcBorders>
          </w:tcPr>
          <w:p>
            <w:pPr>
              <w:spacing w:after="0"/>
              <w:rPr>
                <w:sz w:val="15"/>
                <w:szCs w:val="15"/>
                <w:color w:val="auto"/>
              </w:rPr>
            </w:pPr>
          </w:p>
        </w:tc>
        <w:tc>
          <w:tcPr>
            <w:tcW w:w="5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3"/>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right w:val="single" w:sz="8" w:color="9ADAF6"/>
            </w:tcBorders>
            <w:gridSpan w:val="3"/>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5"/>
                <w:szCs w:val="15"/>
                <w:color w:val="auto"/>
              </w:rPr>
            </w:pPr>
          </w:p>
        </w:tc>
        <w:tc>
          <w:tcPr>
            <w:tcW w:w="9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9ADAF6"/>
            </w:tcBorders>
            <w:gridSpan w:val="2"/>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continue"/>
            <w:shd w:val="clear" w:color="auto" w:fill="9ADAF6"/>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140" w:type="dxa"/>
            <w:vAlign w:val="bottom"/>
            <w:shd w:val="clear" w:color="auto" w:fill="9ADAF6"/>
          </w:tcPr>
          <w:p>
            <w:pPr>
              <w:jc w:val="center"/>
              <w:ind w:right="313"/>
              <w:spacing w:after="0"/>
              <w:rPr>
                <w:sz w:val="20"/>
                <w:szCs w:val="20"/>
                <w:color w:val="auto"/>
              </w:rPr>
            </w:pPr>
            <w:r>
              <w:rPr>
                <w:rFonts w:ascii="Arial" w:cs="Arial" w:eastAsia="Arial" w:hAnsi="Arial"/>
                <w:sz w:val="17"/>
                <w:szCs w:val="17"/>
                <w:b w:val="1"/>
                <w:bCs w:val="1"/>
                <w:color w:val="auto"/>
                <w:w w:val="99"/>
              </w:rPr>
              <w:t>Name</w:t>
            </w:r>
          </w:p>
        </w:tc>
        <w:tc>
          <w:tcPr>
            <w:tcW w:w="80" w:type="dxa"/>
            <w:vAlign w:val="bottom"/>
            <w:tcBorders>
              <w:right w:val="single" w:sz="8" w:color="9ADAF6"/>
            </w:tcBorders>
          </w:tcPr>
          <w:p>
            <w:pPr>
              <w:spacing w:after="0"/>
              <w:rPr>
                <w:sz w:val="17"/>
                <w:szCs w:val="17"/>
                <w:color w:val="auto"/>
              </w:rPr>
            </w:pPr>
          </w:p>
        </w:tc>
        <w:tc>
          <w:tcPr>
            <w:tcW w:w="5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7"/>
                <w:szCs w:val="17"/>
                <w:color w:val="auto"/>
              </w:rPr>
            </w:pPr>
          </w:p>
        </w:tc>
        <w:tc>
          <w:tcPr>
            <w:tcW w:w="54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7"/>
                <w:szCs w:val="17"/>
                <w:color w:val="auto"/>
              </w:rPr>
            </w:pPr>
          </w:p>
        </w:tc>
        <w:tc>
          <w:tcPr>
            <w:tcW w:w="700" w:type="dxa"/>
            <w:vAlign w:val="bottom"/>
            <w:tcBorders>
              <w:right w:val="single" w:sz="8" w:color="9ADAF6"/>
            </w:tcBorders>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7"/>
                <w:szCs w:val="17"/>
                <w:color w:val="auto"/>
              </w:rPr>
            </w:pPr>
          </w:p>
        </w:tc>
        <w:tc>
          <w:tcPr>
            <w:tcW w:w="960" w:type="dxa"/>
            <w:vAlign w:val="bottom"/>
            <w:tcBorders>
              <w:right w:val="single" w:sz="8" w:color="9ADAF6"/>
            </w:tcBorders>
            <w:gridSpan w:val="2"/>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7"/>
                <w:szCs w:val="17"/>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7"/>
                <w:szCs w:val="17"/>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140" w:type="dxa"/>
            <w:vAlign w:val="bottom"/>
            <w:shd w:val="clear" w:color="auto" w:fill="9ADAF6"/>
          </w:tcPr>
          <w:p>
            <w:pPr>
              <w:spacing w:after="0"/>
              <w:rPr>
                <w:sz w:val="10"/>
                <w:szCs w:val="10"/>
                <w:color w:val="auto"/>
              </w:rPr>
            </w:pPr>
          </w:p>
        </w:tc>
        <w:tc>
          <w:tcPr>
            <w:tcW w:w="80" w:type="dxa"/>
            <w:vAlign w:val="bottom"/>
            <w:tcBorders>
              <w:right w:val="single" w:sz="8" w:color="9ADAF6"/>
            </w:tcBorders>
          </w:tcPr>
          <w:p>
            <w:pPr>
              <w:spacing w:after="0"/>
              <w:rPr>
                <w:sz w:val="10"/>
                <w:szCs w:val="10"/>
                <w:color w:val="auto"/>
              </w:rPr>
            </w:pPr>
          </w:p>
        </w:tc>
        <w:tc>
          <w:tcPr>
            <w:tcW w:w="5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8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4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60" w:type="dxa"/>
            <w:vAlign w:val="bottom"/>
            <w:tcBorders>
              <w:right w:val="single" w:sz="8" w:color="9ADAF6"/>
            </w:tcBorders>
            <w:gridSpan w:val="2"/>
            <w:shd w:val="clear" w:color="auto" w:fill="9ADAF6"/>
          </w:tcPr>
          <w:p>
            <w:pPr>
              <w:jc w:val="center"/>
              <w:ind w:right="20"/>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6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140" w:type="dxa"/>
            <w:vAlign w:val="bottom"/>
            <w:shd w:val="clear" w:color="auto" w:fill="9ADAF6"/>
          </w:tcPr>
          <w:p>
            <w:pPr>
              <w:spacing w:after="0"/>
              <w:rPr>
                <w:sz w:val="17"/>
                <w:szCs w:val="17"/>
                <w:color w:val="auto"/>
              </w:rPr>
            </w:pPr>
          </w:p>
        </w:tc>
        <w:tc>
          <w:tcPr>
            <w:tcW w:w="80" w:type="dxa"/>
            <w:vAlign w:val="bottom"/>
            <w:tcBorders>
              <w:right w:val="single" w:sz="8" w:color="9ADAF6"/>
            </w:tcBorders>
          </w:tcPr>
          <w:p>
            <w:pPr>
              <w:spacing w:after="0"/>
              <w:rPr>
                <w:sz w:val="17"/>
                <w:szCs w:val="17"/>
                <w:color w:val="auto"/>
              </w:rPr>
            </w:pPr>
          </w:p>
        </w:tc>
        <w:tc>
          <w:tcPr>
            <w:tcW w:w="5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7"/>
                <w:szCs w:val="17"/>
                <w:color w:val="auto"/>
              </w:rPr>
            </w:pPr>
          </w:p>
        </w:tc>
        <w:tc>
          <w:tcPr>
            <w:tcW w:w="960" w:type="dxa"/>
            <w:vAlign w:val="bottom"/>
            <w:tcBorders>
              <w:right w:val="single" w:sz="8" w:color="9ADAF6"/>
            </w:tcBorders>
            <w:gridSpan w:val="2"/>
            <w:shd w:val="clear" w:color="auto" w:fill="9ADAF6"/>
          </w:tcPr>
          <w:p>
            <w:pPr>
              <w:jc w:val="center"/>
              <w:spacing w:after="0"/>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7"/>
                <w:szCs w:val="17"/>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7"/>
                <w:szCs w:val="17"/>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80" w:type="dxa"/>
            <w:vAlign w:val="bottom"/>
            <w:tcBorders>
              <w:right w:val="single" w:sz="8" w:color="9ADAF6"/>
            </w:tcBorders>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8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4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8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40" w:type="dxa"/>
            <w:vAlign w:val="bottom"/>
            <w:gridSpan w:val="14"/>
          </w:tcPr>
          <w:p>
            <w:pPr>
              <w:jc w:val="center"/>
              <w:ind w:right="96"/>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960" w:type="dxa"/>
            <w:vAlign w:val="bottom"/>
            <w:gridSpan w:val="3"/>
            <w:shd w:val="clear" w:color="auto" w:fill="E7E7E2"/>
          </w:tcPr>
          <w:p>
            <w:pPr>
              <w:ind w:left="20"/>
              <w:spacing w:after="0"/>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80" w:type="dxa"/>
            <w:vAlign w:val="bottom"/>
            <w:tcBorders>
              <w:right w:val="single" w:sz="8" w:color="E7E7E2"/>
            </w:tcBorders>
          </w:tcPr>
          <w:p>
            <w:pPr>
              <w:spacing w:after="0"/>
              <w:rPr>
                <w:sz w:val="17"/>
                <w:szCs w:val="17"/>
                <w:color w:val="auto"/>
              </w:rPr>
            </w:pPr>
          </w:p>
        </w:tc>
        <w:tc>
          <w:tcPr>
            <w:tcW w:w="5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80" w:type="dxa"/>
            <w:vAlign w:val="bottom"/>
            <w:shd w:val="clear" w:color="auto" w:fill="E7E7E2"/>
          </w:tcPr>
          <w:p>
            <w:pPr>
              <w:spacing w:after="0"/>
              <w:rPr>
                <w:sz w:val="17"/>
                <w:szCs w:val="17"/>
                <w:color w:val="auto"/>
              </w:rPr>
            </w:pPr>
          </w:p>
        </w:tc>
        <w:tc>
          <w:tcPr>
            <w:tcW w:w="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140" w:type="dxa"/>
            <w:vAlign w:val="bottom"/>
            <w:tcBorders>
              <w:right w:val="single" w:sz="8" w:color="E7E7E2"/>
            </w:tcBorders>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80" w:type="dxa"/>
            <w:vAlign w:val="bottom"/>
            <w:tcBorders>
              <w:right w:val="single" w:sz="8" w:color="E7E7E2"/>
            </w:tcBorders>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ind w:left="20"/>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4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ind w:left="20"/>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40" w:type="dxa"/>
            <w:vAlign w:val="bottom"/>
            <w:vMerge w:val="continue"/>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ind w:left="20"/>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4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7"/>
          </w:tcPr>
          <w:p>
            <w:pPr>
              <w:jc w:val="center"/>
              <w:ind w:right="500"/>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960" w:type="dxa"/>
            <w:vAlign w:val="bottom"/>
            <w:gridSpan w:val="3"/>
            <w:shd w:val="clear" w:color="auto" w:fill="E7E7E2"/>
          </w:tcPr>
          <w:p>
            <w:pPr>
              <w:ind w:left="20"/>
              <w:spacing w:after="0"/>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80" w:type="dxa"/>
            <w:vAlign w:val="bottom"/>
            <w:tcBorders>
              <w:right w:val="single" w:sz="8" w:color="E7E7E2"/>
            </w:tcBorders>
          </w:tcPr>
          <w:p>
            <w:pPr>
              <w:spacing w:after="0"/>
              <w:rPr>
                <w:sz w:val="17"/>
                <w:szCs w:val="17"/>
                <w:color w:val="auto"/>
              </w:rPr>
            </w:pPr>
          </w:p>
        </w:tc>
        <w:tc>
          <w:tcPr>
            <w:tcW w:w="5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80" w:type="dxa"/>
            <w:vAlign w:val="bottom"/>
            <w:shd w:val="clear" w:color="auto" w:fill="E7E7E2"/>
          </w:tcPr>
          <w:p>
            <w:pPr>
              <w:spacing w:after="0"/>
              <w:rPr>
                <w:sz w:val="17"/>
                <w:szCs w:val="17"/>
                <w:color w:val="auto"/>
              </w:rPr>
            </w:pPr>
          </w:p>
        </w:tc>
        <w:tc>
          <w:tcPr>
            <w:tcW w:w="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140" w:type="dxa"/>
            <w:vAlign w:val="bottom"/>
            <w:tcBorders>
              <w:right w:val="single" w:sz="8" w:color="E7E7E2"/>
            </w:tcBorders>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80" w:type="dxa"/>
            <w:vAlign w:val="bottom"/>
            <w:tcBorders>
              <w:right w:val="single" w:sz="8" w:color="E7E7E2"/>
            </w:tcBorders>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ind w:left="20"/>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4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ind w:left="20"/>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40" w:type="dxa"/>
            <w:vAlign w:val="bottom"/>
            <w:vMerge w:val="continue"/>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ind w:left="20"/>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4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3300" w:type="dxa"/>
            <w:vAlign w:val="bottom"/>
            <w:tcBorders>
              <w:bottom w:val="single" w:sz="8" w:color="auto"/>
            </w:tcBorders>
            <w:gridSpan w:val="11"/>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00"/>
              <w:spacing w:after="0" w:line="196" w:lineRule="exact"/>
              <w:rPr>
                <w:sz w:val="20"/>
                <w:szCs w:val="20"/>
                <w:color w:val="auto"/>
              </w:rPr>
            </w:pPr>
            <w:r>
              <w:rPr>
                <w:rFonts w:ascii="MS PGothic" w:cs="MS PGothic" w:eastAsia="MS PGothic" w:hAnsi="MS PGothic"/>
                <w:sz w:val="17"/>
                <w:szCs w:val="17"/>
                <w:color w:val="auto"/>
                <w:highlight w:val="black"/>
                <w:w w:val="99"/>
              </w:rPr>
              <w:t>☑</w:t>
            </w:r>
            <w:r>
              <w:rPr>
                <w:rFonts w:ascii="Arial" w:cs="Arial" w:eastAsia="Arial" w:hAnsi="Arial"/>
                <w:sz w:val="17"/>
                <w:szCs w:val="17"/>
                <w:b w:val="1"/>
                <w:bCs w:val="1"/>
                <w:color w:val="auto"/>
                <w:w w:val="99"/>
              </w:rPr>
              <w:t>Not Applicable</w:t>
            </w: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5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1280" w:type="dxa"/>
            <w:vAlign w:val="bottom"/>
            <w:gridSpan w:val="5"/>
            <w:shd w:val="clear" w:color="auto" w:fill="9ADAF6"/>
          </w:tcPr>
          <w:p>
            <w:pPr>
              <w:ind w:left="6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40" w:type="dxa"/>
            <w:vAlign w:val="bottom"/>
            <w:tcBorders>
              <w:right w:val="single" w:sz="8" w:color="9ADAF6"/>
            </w:tcBorders>
            <w:shd w:val="clear" w:color="auto" w:fill="9ADAF6"/>
          </w:tcPr>
          <w:p>
            <w:pPr>
              <w:spacing w:after="0"/>
              <w:rPr>
                <w:sz w:val="17"/>
                <w:szCs w:val="17"/>
                <w:color w:val="auto"/>
              </w:rPr>
            </w:pPr>
          </w:p>
        </w:tc>
        <w:tc>
          <w:tcPr>
            <w:tcW w:w="1880" w:type="dxa"/>
            <w:vAlign w:val="bottom"/>
            <w:gridSpan w:val="4"/>
            <w:shd w:val="clear" w:color="auto" w:fill="9ADAF6"/>
          </w:tcPr>
          <w:p>
            <w:pPr>
              <w:jc w:val="center"/>
              <w:ind w:right="57"/>
              <w:spacing w:after="0"/>
              <w:rPr>
                <w:sz w:val="20"/>
                <w:szCs w:val="20"/>
                <w:color w:val="auto"/>
              </w:rPr>
            </w:pPr>
            <w:r>
              <w:rPr>
                <w:rFonts w:ascii="Arial" w:cs="Arial" w:eastAsia="Arial" w:hAnsi="Arial"/>
                <w:sz w:val="17"/>
                <w:szCs w:val="17"/>
                <w:b w:val="1"/>
                <w:bCs w:val="1"/>
                <w:color w:val="auto"/>
              </w:rPr>
              <w:t>Maximum Aggregate</w:t>
            </w:r>
          </w:p>
        </w:tc>
        <w:tc>
          <w:tcPr>
            <w:tcW w:w="8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660" w:type="dxa"/>
            <w:vAlign w:val="bottom"/>
            <w:gridSpan w:val="2"/>
            <w:vMerge w:val="restart"/>
            <w:shd w:val="clear" w:color="auto" w:fill="9ADAF6"/>
          </w:tcPr>
          <w:p>
            <w:pPr>
              <w:jc w:val="center"/>
              <w:ind w:right="96"/>
              <w:spacing w:after="0"/>
              <w:rPr>
                <w:sz w:val="20"/>
                <w:szCs w:val="20"/>
                <w:color w:val="auto"/>
              </w:rPr>
            </w:pPr>
            <w:r>
              <w:rPr>
                <w:rFonts w:ascii="Arial" w:cs="Arial" w:eastAsia="Arial" w:hAnsi="Arial"/>
                <w:sz w:val="17"/>
                <w:szCs w:val="17"/>
                <w:b w:val="1"/>
                <w:bCs w:val="1"/>
                <w:color w:val="auto"/>
                <w:w w:val="98"/>
              </w:rPr>
              <w:t>Initial</w:t>
            </w:r>
          </w:p>
        </w:tc>
        <w:tc>
          <w:tcPr>
            <w:tcW w:w="60" w:type="dxa"/>
            <w:vAlign w:val="bottom"/>
            <w:tcBorders>
              <w:left w:val="single" w:sz="8" w:color="9ADAF6"/>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1200" w:type="dxa"/>
            <w:vAlign w:val="bottom"/>
            <w:gridSpan w:val="4"/>
            <w:vMerge w:val="restart"/>
            <w:shd w:val="clear" w:color="auto" w:fill="9ADAF6"/>
          </w:tcPr>
          <w:p>
            <w:pPr>
              <w:spacing w:after="0"/>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4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60" w:type="dxa"/>
            <w:vAlign w:val="bottom"/>
            <w:gridSpan w:val="3"/>
            <w:vMerge w:val="restart"/>
            <w:shd w:val="clear" w:color="auto" w:fill="9ADAF6"/>
          </w:tcPr>
          <w:p>
            <w:pPr>
              <w:jc w:val="center"/>
              <w:ind w:right="77"/>
              <w:spacing w:after="0"/>
              <w:rPr>
                <w:sz w:val="20"/>
                <w:szCs w:val="20"/>
                <w:color w:val="auto"/>
              </w:rPr>
            </w:pPr>
            <w:r>
              <w:rPr>
                <w:rFonts w:ascii="Arial" w:cs="Arial" w:eastAsia="Arial" w:hAnsi="Arial"/>
                <w:sz w:val="17"/>
                <w:szCs w:val="17"/>
                <w:b w:val="1"/>
                <w:bCs w:val="1"/>
                <w:color w:val="auto"/>
              </w:rPr>
              <w:t>Offering Price of</w:t>
            </w:r>
          </w:p>
        </w:tc>
        <w:tc>
          <w:tcPr>
            <w:tcW w:w="8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vMerge w:val="restart"/>
            <w:shd w:val="clear" w:color="auto" w:fill="9ADAF6"/>
          </w:tcPr>
          <w:p>
            <w:pPr>
              <w:ind w:left="40"/>
              <w:spacing w:after="0"/>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660" w:type="dxa"/>
            <w:vAlign w:val="bottom"/>
            <w:gridSpan w:val="2"/>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5"/>
            <w:shd w:val="clear" w:color="auto" w:fill="9ADAF6"/>
          </w:tcPr>
          <w:p>
            <w:pPr>
              <w:ind w:left="220"/>
              <w:spacing w:after="0" w:line="176"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15"/>
                <w:szCs w:val="15"/>
                <w:color w:val="auto"/>
              </w:rPr>
            </w:pPr>
          </w:p>
        </w:tc>
        <w:tc>
          <w:tcPr>
            <w:tcW w:w="2540" w:type="dxa"/>
            <w:vAlign w:val="bottom"/>
            <w:gridSpan w:val="5"/>
            <w:shd w:val="clear" w:color="auto" w:fill="9ADAF6"/>
          </w:tcPr>
          <w:p>
            <w:pPr>
              <w:ind w:left="600"/>
              <w:spacing w:after="0" w:line="176"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9ADAF6"/>
          </w:tcPr>
          <w:p>
            <w:pPr>
              <w:spacing w:after="0"/>
              <w:rPr>
                <w:sz w:val="15"/>
                <w:szCs w:val="15"/>
                <w:color w:val="auto"/>
              </w:rPr>
            </w:pPr>
          </w:p>
        </w:tc>
        <w:tc>
          <w:tcPr>
            <w:tcW w:w="80" w:type="dxa"/>
            <w:vAlign w:val="bottom"/>
            <w:shd w:val="clear" w:color="auto" w:fill="9ADAF6"/>
          </w:tcPr>
          <w:p>
            <w:pPr>
              <w:spacing w:after="0"/>
              <w:rPr>
                <w:sz w:val="15"/>
                <w:szCs w:val="15"/>
                <w:color w:val="auto"/>
              </w:rPr>
            </w:pPr>
          </w:p>
        </w:tc>
        <w:tc>
          <w:tcPr>
            <w:tcW w:w="1200" w:type="dxa"/>
            <w:vAlign w:val="bottom"/>
            <w:gridSpan w:val="4"/>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right w:val="single" w:sz="8" w:color="9ADAF6"/>
            </w:tcBorders>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860" w:type="dxa"/>
            <w:vAlign w:val="bottom"/>
            <w:gridSpan w:val="3"/>
            <w:vMerge w:val="continue"/>
            <w:shd w:val="clear" w:color="auto" w:fill="9ADAF6"/>
          </w:tcPr>
          <w:p>
            <w:pPr>
              <w:spacing w:after="0"/>
              <w:rPr>
                <w:sz w:val="15"/>
                <w:szCs w:val="15"/>
                <w:color w:val="auto"/>
              </w:rPr>
            </w:pPr>
          </w:p>
        </w:tc>
        <w:tc>
          <w:tcPr>
            <w:tcW w:w="8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shd w:val="clear" w:color="auto" w:fill="9ADAF6"/>
          </w:tcPr>
          <w:p>
            <w:pPr>
              <w:ind w:left="40"/>
              <w:spacing w:after="0" w:line="176"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Effective</w:t>
            </w:r>
          </w:p>
        </w:tc>
        <w:tc>
          <w:tcPr>
            <w:tcW w:w="60" w:type="dxa"/>
            <w:vAlign w:val="bottom"/>
            <w:tcBorders>
              <w:left w:val="single" w:sz="8" w:color="9ADAF6"/>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40" w:type="dxa"/>
            <w:vAlign w:val="bottom"/>
            <w:shd w:val="clear" w:color="auto" w:fill="9ADAF6"/>
          </w:tcPr>
          <w:p>
            <w:pPr>
              <w:spacing w:after="0"/>
              <w:rPr>
                <w:sz w:val="10"/>
                <w:szCs w:val="10"/>
                <w:color w:val="auto"/>
              </w:rPr>
            </w:pPr>
          </w:p>
        </w:tc>
        <w:tc>
          <w:tcPr>
            <w:tcW w:w="3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9ADAF6"/>
          </w:tcPr>
          <w:p>
            <w:pPr>
              <w:spacing w:after="0"/>
              <w:rPr>
                <w:sz w:val="10"/>
                <w:szCs w:val="10"/>
                <w:color w:val="auto"/>
              </w:rPr>
            </w:pPr>
          </w:p>
        </w:tc>
        <w:tc>
          <w:tcPr>
            <w:tcW w:w="80" w:type="dxa"/>
            <w:vAlign w:val="bottom"/>
            <w:tcBorders>
              <w:right w:val="single" w:sz="8" w:color="9ADAF6"/>
            </w:tcBorders>
            <w:shd w:val="clear" w:color="auto" w:fill="9ADAF6"/>
          </w:tcPr>
          <w:p>
            <w:pPr>
              <w:spacing w:after="0"/>
              <w:rPr>
                <w:sz w:val="10"/>
                <w:szCs w:val="10"/>
                <w:color w:val="auto"/>
              </w:rPr>
            </w:pPr>
          </w:p>
        </w:tc>
        <w:tc>
          <w:tcPr>
            <w:tcW w:w="5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9ADAF6"/>
          </w:tcPr>
          <w:p>
            <w:pPr>
              <w:spacing w:after="0"/>
              <w:rPr>
                <w:sz w:val="10"/>
                <w:szCs w:val="10"/>
                <w:color w:val="auto"/>
              </w:rPr>
            </w:pPr>
          </w:p>
        </w:tc>
        <w:tc>
          <w:tcPr>
            <w:tcW w:w="1280" w:type="dxa"/>
            <w:vAlign w:val="bottom"/>
            <w:gridSpan w:val="5"/>
            <w:shd w:val="clear" w:color="auto" w:fill="9ADAF6"/>
          </w:tcPr>
          <w:p>
            <w:pPr>
              <w:ind w:left="60"/>
              <w:spacing w:after="0" w:line="118" w:lineRule="exact"/>
              <w:rPr>
                <w:sz w:val="20"/>
                <w:szCs w:val="20"/>
                <w:color w:val="auto"/>
              </w:rPr>
            </w:pPr>
            <w:r>
              <w:rPr>
                <w:rFonts w:ascii="Arial" w:cs="Arial" w:eastAsia="Arial" w:hAnsi="Arial"/>
                <w:sz w:val="13"/>
                <w:szCs w:val="13"/>
                <w:b w:val="1"/>
                <w:bCs w:val="1"/>
                <w:color w:val="auto"/>
              </w:rPr>
              <w:t>Previously</w:t>
            </w:r>
          </w:p>
        </w:tc>
        <w:tc>
          <w:tcPr>
            <w:tcW w:w="20" w:type="dxa"/>
            <w:vAlign w:val="bottom"/>
          </w:tcPr>
          <w:p>
            <w:pPr>
              <w:spacing w:after="0"/>
              <w:rPr>
                <w:sz w:val="10"/>
                <w:szCs w:val="10"/>
                <w:color w:val="auto"/>
              </w:rPr>
            </w:pPr>
          </w:p>
        </w:tc>
        <w:tc>
          <w:tcPr>
            <w:tcW w:w="140" w:type="dxa"/>
            <w:vAlign w:val="bottom"/>
            <w:tcBorders>
              <w:right w:val="single" w:sz="8" w:color="9ADAF6"/>
            </w:tcBorders>
            <w:shd w:val="clear" w:color="auto" w:fill="9ADAF6"/>
          </w:tcPr>
          <w:p>
            <w:pPr>
              <w:spacing w:after="0"/>
              <w:rPr>
                <w:sz w:val="10"/>
                <w:szCs w:val="10"/>
                <w:color w:val="auto"/>
              </w:rPr>
            </w:pPr>
          </w:p>
        </w:tc>
        <w:tc>
          <w:tcPr>
            <w:tcW w:w="1880" w:type="dxa"/>
            <w:vAlign w:val="bottom"/>
            <w:gridSpan w:val="4"/>
            <w:shd w:val="clear" w:color="auto" w:fill="9ADAF6"/>
          </w:tcPr>
          <w:p>
            <w:pPr>
              <w:jc w:val="center"/>
              <w:ind w:right="57"/>
              <w:spacing w:after="0" w:line="118" w:lineRule="exact"/>
              <w:rPr>
                <w:sz w:val="20"/>
                <w:szCs w:val="20"/>
                <w:color w:val="auto"/>
              </w:rPr>
            </w:pPr>
            <w:r>
              <w:rPr>
                <w:rFonts w:ascii="Arial" w:cs="Arial" w:eastAsia="Arial" w:hAnsi="Arial"/>
                <w:sz w:val="13"/>
                <w:szCs w:val="13"/>
                <w:b w:val="1"/>
                <w:bCs w:val="1"/>
                <w:color w:val="auto"/>
              </w:rPr>
              <w:t>Securities Previously</w:t>
            </w:r>
          </w:p>
        </w:tc>
        <w:tc>
          <w:tcPr>
            <w:tcW w:w="80" w:type="dxa"/>
            <w:vAlign w:val="bottom"/>
            <w:tcBorders>
              <w:right w:val="single" w:sz="8" w:color="9ADAF6"/>
            </w:tcBorders>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00" w:type="dxa"/>
            <w:vAlign w:val="bottom"/>
            <w:shd w:val="clear" w:color="auto" w:fill="9ADAF6"/>
          </w:tcPr>
          <w:p>
            <w:pPr>
              <w:ind w:left="60"/>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40" w:type="dxa"/>
            <w:vAlign w:val="bottom"/>
            <w:vMerge w:val="restart"/>
            <w:shd w:val="clear" w:color="auto" w:fill="9ADAF6"/>
          </w:tcPr>
          <w:p>
            <w:pPr>
              <w:jc w:val="center"/>
              <w:ind w:right="136"/>
              <w:spacing w:after="0"/>
              <w:rPr>
                <w:sz w:val="20"/>
                <w:szCs w:val="20"/>
                <w:color w:val="auto"/>
              </w:rPr>
            </w:pPr>
            <w:r>
              <w:rPr>
                <w:rFonts w:ascii="Arial" w:cs="Arial" w:eastAsia="Arial" w:hAnsi="Arial"/>
                <w:sz w:val="17"/>
                <w:szCs w:val="17"/>
                <w:b w:val="1"/>
                <w:bCs w:val="1"/>
                <w:color w:val="auto"/>
              </w:rPr>
              <w:t>Date</w:t>
            </w:r>
          </w:p>
        </w:tc>
        <w:tc>
          <w:tcPr>
            <w:tcW w:w="60" w:type="dxa"/>
            <w:vAlign w:val="bottom"/>
            <w:tcBorders>
              <w:left w:val="single" w:sz="8" w:color="9ADAF6"/>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40" w:type="dxa"/>
            <w:vAlign w:val="bottom"/>
            <w:shd w:val="clear" w:color="auto" w:fill="9ADAF6"/>
          </w:tcPr>
          <w:p>
            <w:pPr>
              <w:spacing w:after="0"/>
              <w:rPr>
                <w:sz w:val="12"/>
                <w:szCs w:val="12"/>
                <w:color w:val="auto"/>
              </w:rPr>
            </w:pPr>
          </w:p>
        </w:tc>
        <w:tc>
          <w:tcPr>
            <w:tcW w:w="40" w:type="dxa"/>
            <w:vAlign w:val="bottom"/>
            <w:shd w:val="clear" w:color="auto" w:fill="9ADAF6"/>
          </w:tcPr>
          <w:p>
            <w:pPr>
              <w:spacing w:after="0"/>
              <w:rPr>
                <w:sz w:val="12"/>
                <w:szCs w:val="12"/>
                <w:color w:val="auto"/>
              </w:rPr>
            </w:pPr>
          </w:p>
        </w:tc>
        <w:tc>
          <w:tcPr>
            <w:tcW w:w="3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80" w:type="dxa"/>
            <w:vAlign w:val="bottom"/>
            <w:tcBorders>
              <w:right w:val="single" w:sz="8" w:color="9ADAF6"/>
            </w:tcBorders>
            <w:shd w:val="clear" w:color="auto" w:fill="9ADAF6"/>
          </w:tcPr>
          <w:p>
            <w:pPr>
              <w:spacing w:after="0"/>
              <w:rPr>
                <w:sz w:val="12"/>
                <w:szCs w:val="12"/>
                <w:color w:val="auto"/>
              </w:rPr>
            </w:pPr>
          </w:p>
        </w:tc>
        <w:tc>
          <w:tcPr>
            <w:tcW w:w="5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6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2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shd w:val="clear" w:color="auto" w:fill="9ADAF6"/>
          </w:tcPr>
          <w:p>
            <w:pPr>
              <w:spacing w:after="0"/>
              <w:rPr>
                <w:sz w:val="12"/>
                <w:szCs w:val="12"/>
                <w:color w:val="auto"/>
              </w:rPr>
            </w:pPr>
          </w:p>
        </w:tc>
        <w:tc>
          <w:tcPr>
            <w:tcW w:w="1280" w:type="dxa"/>
            <w:vAlign w:val="bottom"/>
            <w:gridSpan w:val="5"/>
            <w:vMerge w:val="restart"/>
            <w:shd w:val="clear" w:color="auto" w:fill="9ADAF6"/>
          </w:tcPr>
          <w:p>
            <w:pPr>
              <w:ind w:left="4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140" w:type="dxa"/>
            <w:vAlign w:val="bottom"/>
            <w:tcBorders>
              <w:right w:val="single" w:sz="8" w:color="9ADAF6"/>
            </w:tcBorders>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860" w:type="dxa"/>
            <w:vAlign w:val="bottom"/>
            <w:gridSpan w:val="3"/>
            <w:vMerge w:val="restart"/>
            <w:shd w:val="clear" w:color="auto" w:fill="9ADAF6"/>
          </w:tcPr>
          <w:p>
            <w:pPr>
              <w:jc w:val="center"/>
              <w:ind w:right="77"/>
              <w:spacing w:after="0"/>
              <w:rPr>
                <w:sz w:val="20"/>
                <w:szCs w:val="20"/>
                <w:color w:val="auto"/>
              </w:rPr>
            </w:pPr>
            <w:r>
              <w:rPr>
                <w:rFonts w:ascii="Arial" w:cs="Arial" w:eastAsia="Arial" w:hAnsi="Arial"/>
                <w:sz w:val="17"/>
                <w:szCs w:val="17"/>
                <w:b w:val="1"/>
                <w:bCs w:val="1"/>
                <w:color w:val="auto"/>
              </w:rPr>
              <w:t>Registered</w:t>
            </w:r>
          </w:p>
        </w:tc>
        <w:tc>
          <w:tcPr>
            <w:tcW w:w="80" w:type="dxa"/>
            <w:vAlign w:val="bottom"/>
            <w:tcBorders>
              <w:right w:val="single" w:sz="8" w:color="9ADAF6"/>
            </w:tcBorders>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40" w:type="dxa"/>
            <w:vAlign w:val="bottom"/>
            <w:vMerge w:val="continue"/>
            <w:shd w:val="clear" w:color="auto" w:fill="9ADAF6"/>
          </w:tcPr>
          <w:p>
            <w:pPr>
              <w:spacing w:after="0"/>
              <w:rPr>
                <w:sz w:val="12"/>
                <w:szCs w:val="12"/>
                <w:color w:val="auto"/>
              </w:rPr>
            </w:pPr>
          </w:p>
        </w:tc>
        <w:tc>
          <w:tcPr>
            <w:tcW w:w="60" w:type="dxa"/>
            <w:vAlign w:val="bottom"/>
            <w:tcBorders>
              <w:left w:val="single" w:sz="8" w:color="9ADAF6"/>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9ADAF6"/>
          </w:tcPr>
          <w:p>
            <w:pPr>
              <w:spacing w:after="0"/>
              <w:rPr>
                <w:sz w:val="7"/>
                <w:szCs w:val="7"/>
                <w:color w:val="auto"/>
              </w:rPr>
            </w:pPr>
          </w:p>
        </w:tc>
        <w:tc>
          <w:tcPr>
            <w:tcW w:w="80" w:type="dxa"/>
            <w:vAlign w:val="bottom"/>
            <w:tcBorders>
              <w:right w:val="single" w:sz="8" w:color="9ADAF6"/>
            </w:tcBorders>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128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60" w:type="dxa"/>
            <w:vAlign w:val="bottom"/>
            <w:gridSpan w:val="3"/>
            <w:vMerge w:val="continue"/>
            <w:shd w:val="clear" w:color="auto" w:fill="9ADAF6"/>
          </w:tcPr>
          <w:p>
            <w:pPr>
              <w:spacing w:after="0"/>
              <w:rPr>
                <w:sz w:val="7"/>
                <w:szCs w:val="7"/>
                <w:color w:val="auto"/>
              </w:rPr>
            </w:pPr>
          </w:p>
        </w:tc>
        <w:tc>
          <w:tcPr>
            <w:tcW w:w="8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rPr>
                <w:sz w:val="2"/>
                <w:szCs w:val="2"/>
                <w:color w:val="auto"/>
              </w:rPr>
            </w:pPr>
          </w:p>
        </w:tc>
        <w:tc>
          <w:tcPr>
            <w:tcW w:w="4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40" w:type="dxa"/>
            <w:vAlign w:val="bottom"/>
            <w:tcBorders>
              <w:bottom w:val="single" w:sz="8" w:color="E7E7E2"/>
            </w:tcBorders>
          </w:tcPr>
          <w:p>
            <w:pPr>
              <w:spacing w:after="0"/>
              <w:rPr>
                <w:sz w:val="2"/>
                <w:szCs w:val="2"/>
                <w:color w:val="auto"/>
              </w:rPr>
            </w:pPr>
          </w:p>
        </w:tc>
        <w:tc>
          <w:tcPr>
            <w:tcW w:w="40" w:type="dxa"/>
            <w:vAlign w:val="bottom"/>
            <w:tcBorders>
              <w:bottom w:val="single" w:sz="8" w:color="E7E7E2"/>
            </w:tcBorders>
          </w:tcPr>
          <w:p>
            <w:pPr>
              <w:spacing w:after="0"/>
              <w:rPr>
                <w:sz w:val="2"/>
                <w:szCs w:val="2"/>
                <w:color w:val="auto"/>
              </w:rPr>
            </w:pPr>
          </w:p>
        </w:tc>
        <w:tc>
          <w:tcPr>
            <w:tcW w:w="36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Borders>
              <w:bottom w:val="single" w:sz="8" w:color="E7E7E2"/>
            </w:tcBorders>
          </w:tcPr>
          <w:p>
            <w:pPr>
              <w:spacing w:after="0"/>
              <w:rPr>
                <w:sz w:val="2"/>
                <w:szCs w:val="2"/>
                <w:color w:val="auto"/>
              </w:rPr>
            </w:pPr>
          </w:p>
        </w:tc>
        <w:tc>
          <w:tcPr>
            <w:tcW w:w="80" w:type="dxa"/>
            <w:vAlign w:val="bottom"/>
            <w:tcBorders>
              <w:bottom w:val="single" w:sz="8" w:color="E7E7E2"/>
            </w:tcBorders>
          </w:tcPr>
          <w:p>
            <w:pPr>
              <w:spacing w:after="0"/>
              <w:rPr>
                <w:sz w:val="2"/>
                <w:szCs w:val="2"/>
                <w:color w:val="auto"/>
              </w:rPr>
            </w:pPr>
          </w:p>
        </w:tc>
        <w:tc>
          <w:tcPr>
            <w:tcW w:w="5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76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2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E7E7E2"/>
            </w:tcBorders>
          </w:tcPr>
          <w:p>
            <w:pPr>
              <w:spacing w:after="0"/>
              <w:rPr>
                <w:sz w:val="2"/>
                <w:szCs w:val="2"/>
                <w:color w:val="auto"/>
              </w:rPr>
            </w:pPr>
          </w:p>
        </w:tc>
        <w:tc>
          <w:tcPr>
            <w:tcW w:w="8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2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5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96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880" w:type="dxa"/>
            <w:vAlign w:val="bottom"/>
            <w:tcBorders>
              <w:bottom w:val="single" w:sz="8" w:color="E7E7E2"/>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0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7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40" w:type="dxa"/>
            <w:vAlign w:val="bottom"/>
            <w:tcBorders>
              <w:bottom w:val="single" w:sz="8" w:color="E7E7E2"/>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1)"/>
      <w:numFmt w:val="lowerLetter"/>
      <w:start w:val="1"/>
    </w:lvl>
  </w:abstractNum>
  <w:abstractNum w:abstractNumId="7">
    <w:nsid w:val="4516DDE9"/>
    <w:multiLevelType w:val="hybridMultilevel"/>
    <w:lvl w:ilvl="0">
      <w:lvlJc w:val="left"/>
      <w:lvlText w:val="(%1)"/>
      <w:numFmt w:val="lowerLetter"/>
      <w:start w:val="2"/>
    </w:lvl>
  </w:abstractNum>
  <w:abstractNum w:abstractNumId="8">
    <w:nsid w:val="3006C83E"/>
    <w:multiLevelType w:val="hybridMultilevel"/>
    <w:lvl w:ilvl="0">
      <w:lvlJc w:val="left"/>
      <w:lvlText w:val="(%1)"/>
      <w:numFmt w:val="lowerLetter"/>
      <w:start w:val="1"/>
    </w:lvl>
  </w:abstractNum>
  <w:abstractNum w:abstractNumId="9">
    <w:nsid w:val="614FD4A1"/>
    <w:multiLevelType w:val="hybridMultilevel"/>
    <w:lvl w:ilvl="0">
      <w:lvlJc w:val="left"/>
      <w:lvlText w:val="(%1)"/>
      <w:numFmt w:val="lowerLetter"/>
      <w:start w:val="11"/>
    </w:lvl>
  </w:abstractNum>
  <w:abstractNum w:abstractNumId="10">
    <w:nsid w:val="419AC241"/>
    <w:multiLevelType w:val="hybridMultilevel"/>
    <w:lvl w:ilvl="0">
      <w:lvlJc w:val="left"/>
      <w:lvlText w:val="(%1)"/>
      <w:numFmt w:val="lowerLetter"/>
      <w:start w:val="1"/>
    </w:lvl>
  </w:abstractNum>
  <w:abstractNum w:abstractNumId="11">
    <w:nsid w:val="5577F8E1"/>
    <w:multiLevelType w:val="hybridMultilevel"/>
    <w:lvl w:ilvl="0">
      <w:lvlJc w:val="left"/>
      <w:lvlText w:val="(%1)"/>
      <w:numFmt w:val="lowerLetter"/>
      <w:start w:val="1"/>
    </w:lvl>
  </w:abstractNum>
  <w:abstractNum w:abstractNumId="12">
    <w:nsid w:val="440BADFC"/>
    <w:multiLevelType w:val="hybridMultilevel"/>
    <w:lvl w:ilvl="0">
      <w:lvlJc w:val="left"/>
      <w:lvlText w:val="(%1)"/>
      <w:numFmt w:val="lowerLetter"/>
      <w:start w:val="2"/>
    </w:lvl>
    <w:lvl w:ilvl="1">
      <w:lvlJc w:val="left"/>
      <w:lvlText w:val="(%2)"/>
      <w:numFmt w:val="lowerLetter"/>
      <w:start w:val="35"/>
    </w:lvl>
  </w:abstractNum>
  <w:abstractNum w:abstractNumId="13">
    <w:nsid w:val="5072367"/>
    <w:multiLevelType w:val="hybridMultilevel"/>
    <w:lvl w:ilvl="0">
      <w:lvlJc w:val="left"/>
      <w:lvlText w:val="(%1)"/>
      <w:numFmt w:val="lowerLetter"/>
      <w:start w:val="1"/>
    </w:lvl>
  </w:abstractNum>
  <w:abstractNum w:abstractNumId="14">
    <w:nsid w:val="3804823E"/>
    <w:multiLevelType w:val="hybridMultilevel"/>
    <w:lvl w:ilvl="0">
      <w:lvlJc w:val="left"/>
      <w:lvlText w:val="(%1)"/>
      <w:numFmt w:val="lowerLetter"/>
      <w:start w:val="5"/>
    </w:lvl>
  </w:abstractNum>
  <w:abstractNum w:abstractNumId="15">
    <w:nsid w:val="77465F01"/>
    <w:multiLevelType w:val="hybridMultilevel"/>
    <w:lvl w:ilvl="0">
      <w:lvlJc w:val="left"/>
      <w:lvlText w:val="(%1)"/>
      <w:numFmt w:val="lowerLetter"/>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1)"/>
      <w:numFmt w:val="lowerRoman"/>
      <w:start w:val="1"/>
    </w:lvl>
  </w:abstractNum>
  <w:abstractNum w:abstractNumId="32">
    <w:nsid w:val="7A6D8D3C"/>
    <w:multiLevelType w:val="hybridMultilevel"/>
    <w:lvl w:ilvl="0">
      <w:lvlJc w:val="left"/>
      <w:lvlText w:val="(%1)"/>
      <w:numFmt w:val="upperLetter"/>
      <w:start w:val="1"/>
    </w:lvl>
  </w:abstractNum>
  <w:abstractNum w:abstractNumId="33">
    <w:nsid w:val="4B588F54"/>
    <w:multiLevelType w:val="hybridMultilevel"/>
    <w:lvl w:ilvl="0">
      <w:lvlJc w:val="left"/>
      <w:lvlText w:val="(%1)"/>
      <w:numFmt w:val="lowerRoman"/>
      <w:start w:val="1"/>
    </w:lvl>
  </w:abstractNum>
  <w:abstractNum w:abstractNumId="34">
    <w:nsid w:val="542289EC"/>
    <w:multiLevelType w:val="hybridMultilevel"/>
    <w:lvl w:ilvl="0">
      <w:lvlJc w:val="left"/>
      <w:lvlText w:val="(%1)"/>
      <w:numFmt w:val="lowerRoman"/>
      <w:start w:val="1"/>
    </w:lvl>
  </w:abstractNum>
  <w:abstractNum w:abstractNumId="35">
    <w:nsid w:val="6DE91B18"/>
    <w:multiLevelType w:val="hybridMultilevel"/>
    <w:lvl w:ilvl="0">
      <w:lvlJc w:val="left"/>
      <w:lvlText w:val="(%1)"/>
      <w:numFmt w:val="lowerRoman"/>
      <w:start w:val="1"/>
    </w:lvl>
  </w:abstractNum>
  <w:abstractNum w:abstractNumId="36">
    <w:nsid w:val="38437FDB"/>
    <w:multiLevelType w:val="hybridMultilevel"/>
    <w:lvl w:ilvl="0">
      <w:lvlJc w:val="left"/>
      <w:lvlText w:val="(%1)"/>
      <w:numFmt w:val="lowerRoman"/>
      <w:start w:val="5"/>
    </w:lvl>
  </w:abstractNum>
  <w:abstractNum w:abstractNumId="37">
    <w:nsid w:val="7644A45C"/>
    <w:multiLevelType w:val="hybridMultilevel"/>
    <w:lvl w:ilvl="0">
      <w:lvlJc w:val="left"/>
      <w:lvlText w:val="%1."/>
      <w:numFmt w:val="decimal"/>
      <w:start w:val="1"/>
    </w:lvl>
    <w:lvl w:ilvl="1">
      <w:lvlJc w:val="left"/>
      <w:lvlText w:val="%2."/>
      <w:numFmt w:val="lowerLetter"/>
      <w:start w:val="1"/>
    </w:lvl>
  </w:abstractNum>
  <w:abstractNum w:abstractNumId="38">
    <w:nsid w:val="32FFF902"/>
    <w:multiLevelType w:val="hybridMultilevel"/>
    <w:lvl w:ilvl="0">
      <w:lvlJc w:val="left"/>
      <w:lvlText w:val="%1."/>
      <w:numFmt w:val="decimal"/>
      <w:start w:val="2"/>
    </w:lvl>
    <w:lvl w:ilvl="1">
      <w:lvlJc w:val="left"/>
      <w:lvlText w:val="%2."/>
      <w:numFmt w:val="lowerLetter"/>
      <w:start w:val="1"/>
    </w:lvl>
  </w:abstractNum>
  <w:abstractNum w:abstractNumId="39">
    <w:nsid w:val="684A481A"/>
    <w:multiLevelType w:val="hybridMultilevel"/>
    <w:lvl w:ilvl="0">
      <w:lvlJc w:val="left"/>
      <w:lvlText w:val="%1."/>
      <w:numFmt w:val="decimal"/>
      <w:start w:val="3"/>
    </w:lvl>
    <w:lvl w:ilvl="1">
      <w:lvlJc w:val="left"/>
      <w:lvlText w:val="%2."/>
      <w:numFmt w:val="lowerLetter"/>
      <w:start w:val="1"/>
    </w:lvl>
  </w:abstractNum>
  <w:abstractNum w:abstractNumId="40">
    <w:nsid w:val="579478FE"/>
    <w:multiLevelType w:val="hybridMultilevel"/>
    <w:lvl w:ilvl="0">
      <w:lvlJc w:val="left"/>
      <w:lvlText w:val="%1."/>
      <w:numFmt w:val="decimal"/>
      <w:start w:val="4"/>
    </w:lvl>
    <w:lvl w:ilvl="1">
      <w:lvlJc w:val="left"/>
      <w:lvlText w:val="%2."/>
      <w:numFmt w:val="lowerLetter"/>
      <w:start w:val="1"/>
    </w:lvl>
  </w:abstractNum>
  <w:abstractNum w:abstractNumId="41">
    <w:nsid w:val="749ABB43"/>
    <w:multiLevelType w:val="hybridMultilevel"/>
    <w:lvl w:ilvl="0">
      <w:lvlJc w:val="left"/>
      <w:lvlText w:val="%1."/>
      <w:numFmt w:val="decimal"/>
      <w:start w:val="5"/>
    </w:lvl>
    <w:lvl w:ilvl="1">
      <w:lvlJc w:val="left"/>
      <w:lvlText w:val="%2."/>
      <w:numFmt w:val="lowerLetter"/>
      <w:start w:val="1"/>
    </w:lvl>
  </w:abstractNum>
  <w:abstractNum w:abstractNumId="42">
    <w:nsid w:val="3DC240FB"/>
    <w:multiLevelType w:val="hybridMultilevel"/>
    <w:lvl w:ilvl="0">
      <w:lvlJc w:val="left"/>
      <w:lvlText w:val="%1."/>
      <w:numFmt w:val="decimal"/>
      <w:start w:val="6"/>
    </w:lvl>
    <w:lvl w:ilvl="1">
      <w:lvlJc w:val="left"/>
      <w:lvlText w:val="%2."/>
      <w:numFmt w:val="lowerLetter"/>
      <w:start w:val="1"/>
    </w:lvl>
  </w:abstractNum>
  <w:abstractNum w:abstractNumId="43">
    <w:nsid w:val="1BA026FA"/>
    <w:multiLevelType w:val="hybridMultilevel"/>
    <w:lvl w:ilvl="0">
      <w:lvlJc w:val="left"/>
      <w:lvlText w:val="(%1)"/>
      <w:numFmt w:val="lowerRoman"/>
      <w:start w:val="3"/>
    </w:lvl>
    <w:lvl w:ilvl="1">
      <w:lvlJc w:val="left"/>
      <w:lvlText w:val="%2."/>
      <w:numFmt w:val="upperLetter"/>
      <w:start w:val="4"/>
    </w:lvl>
  </w:abstractNum>
  <w:abstractNum w:abstractNumId="44">
    <w:nsid w:val="79A1DEAA"/>
    <w:multiLevelType w:val="hybridMultilevel"/>
    <w:lvl w:ilvl="0">
      <w:lvlJc w:val="left"/>
      <w:lvlText w:val="(%1)"/>
      <w:numFmt w:val="lowerRoman"/>
      <w:start w:val="10"/>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1."/>
      <w:numFmt w:val="decimal"/>
      <w:start w:val="1"/>
    </w:lvl>
    <w:lvl w:ilvl="1">
      <w:lvlJc w:val="left"/>
      <w:lvlText w:val="(%2)"/>
      <w:numFmt w:val="lowerLetter"/>
      <w:start w:val="1"/>
    </w:lvl>
  </w:abstractNum>
  <w:abstractNum w:abstractNumId="47">
    <w:nsid w:val="70C6A529"/>
    <w:multiLevelType w:val="hybridMultilevel"/>
    <w:lvl w:ilvl="0">
      <w:lvlJc w:val="left"/>
      <w:lvlText w:val="(%1)"/>
      <w:numFmt w:val="lowerLetter"/>
      <w:start w:val="2"/>
    </w:lvl>
  </w:abstractNum>
  <w:abstractNum w:abstractNumId="48">
    <w:nsid w:val="520EEDD1"/>
    <w:multiLevelType w:val="hybridMultilevel"/>
    <w:lvl w:ilvl="0">
      <w:lvlJc w:val="left"/>
      <w:lvlText w:val="%1."/>
      <w:numFmt w:val="decimal"/>
      <w:start w:val="2"/>
    </w:lvl>
  </w:abstractNum>
  <w:abstractNum w:abstractNumId="49">
    <w:nsid w:val="374A3FE6"/>
    <w:multiLevelType w:val="hybridMultilevel"/>
    <w:lvl w:ilvl="0">
      <w:lvlJc w:val="left"/>
      <w:lvlText w:val="%1."/>
      <w:numFmt w:val="decimal"/>
      <w:start w:val="16"/>
    </w:lvl>
    <w:lvl w:ilvl="1">
      <w:lvlJc w:val="left"/>
      <w:lvlText w:val="%2."/>
      <w:numFmt w:val="decimal"/>
      <w:start w:val="1"/>
    </w:lvl>
  </w:abstractNum>
  <w:abstractNum w:abstractNumId="50">
    <w:nsid w:val="4F4EF005"/>
    <w:multiLevelType w:val="hybridMultilevel"/>
    <w:lvl w:ilvl="0">
      <w:lvlJc w:val="left"/>
      <w:lvlText w:val="%1."/>
      <w:numFmt w:val="decimal"/>
      <w:start w:val="4"/>
    </w:lvl>
  </w:abstractNum>
  <w:abstractNum w:abstractNumId="51">
    <w:nsid w:val="23F9C13C"/>
    <w:multiLevelType w:val="hybridMultilevel"/>
    <w:lvl w:ilvl="0">
      <w:lvlJc w:val="left"/>
      <w:lvlText w:val="%1."/>
      <w:numFmt w:val="decimal"/>
      <w:start w:val="6"/>
    </w:lvl>
  </w:abstractNum>
  <w:abstractNum w:abstractNumId="52">
    <w:nsid w:val="649BB77C"/>
    <w:multiLevelType w:val="hybridMultilevel"/>
    <w:lvl w:ilvl="0">
      <w:lvlJc w:val="left"/>
      <w:lvlText w:val="1"/>
      <w:numFmt w:val="bullet"/>
      <w:start w:val="1"/>
    </w:lvl>
  </w:abstractNum>
  <w:abstractNum w:abstractNumId="53">
    <w:nsid w:val="275AC794"/>
    <w:multiLevelType w:val="hybridMultilevel"/>
    <w:lvl w:ilvl="0">
      <w:lvlJc w:val="left"/>
      <w:lvlText w:val="2"/>
      <w:numFmt w:val="bullet"/>
      <w:start w:val="1"/>
    </w:lvl>
  </w:abstractNum>
  <w:abstractNum w:abstractNumId="54">
    <w:nsid w:val="39386575"/>
    <w:multiLevelType w:val="hybridMultilevel"/>
    <w:lvl w:ilvl="0">
      <w:lvlJc w:val="left"/>
      <w:lvlText w:val="3"/>
      <w:numFmt w:val="bullet"/>
      <w:start w:val="1"/>
    </w:lvl>
  </w:abstractNum>
  <w:abstractNum w:abstractNumId="55">
    <w:nsid w:val="1CF10FD8"/>
    <w:multiLevelType w:val="hybridMultilevel"/>
    <w:lvl w:ilvl="0">
      <w:lvlJc w:val="left"/>
      <w:lvlText w:val="4"/>
      <w:numFmt w:val="bullet"/>
      <w:start w:val="1"/>
    </w:lvl>
  </w:abstractNum>
  <w:abstractNum w:abstractNumId="56">
    <w:nsid w:val="180115BE"/>
    <w:multiLevelType w:val="hybridMultilevel"/>
    <w:lvl w:ilvl="0">
      <w:lvlJc w:val="left"/>
      <w:lvlText w:val="5"/>
      <w:numFmt w:val="bullet"/>
      <w:start w:val="1"/>
    </w:lvl>
  </w:abstractNum>
  <w:abstractNum w:abstractNumId="57">
    <w:nsid w:val="235BA861"/>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71" Type="http://schemas.openxmlformats.org/officeDocument/2006/relationships/image" Target="media/image43.png"/><Relationship Id="rId72"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jpeg"/><Relationship Id="rId77" Type="http://schemas.openxmlformats.org/officeDocument/2006/relationships/image" Target="media/image49.png"/><Relationship Id="rId78" Type="http://schemas.openxmlformats.org/officeDocument/2006/relationships/image" Target="media/image50.jpeg"/><Relationship Id="rId79" Type="http://schemas.openxmlformats.org/officeDocument/2006/relationships/image" Target="media/image51.png"/><Relationship Id="rId80" Type="http://schemas.openxmlformats.org/officeDocument/2006/relationships/image" Target="media/image52.jpeg"/><Relationship Id="rId81" Type="http://schemas.openxmlformats.org/officeDocument/2006/relationships/image" Target="media/image53.png"/><Relationship Id="rId82" Type="http://schemas.openxmlformats.org/officeDocument/2006/relationships/image" Target="media/image54.jpeg"/><Relationship Id="rId83" Type="http://schemas.openxmlformats.org/officeDocument/2006/relationships/image" Target="media/image55.png"/><Relationship Id="rId84" Type="http://schemas.openxmlformats.org/officeDocument/2006/relationships/image" Target="media/image56.jpeg"/><Relationship Id="rId85" Type="http://schemas.openxmlformats.org/officeDocument/2006/relationships/image" Target="media/image57.png"/><Relationship Id="rId86" Type="http://schemas.openxmlformats.org/officeDocument/2006/relationships/image" Target="media/image58.jpeg"/><Relationship Id="rId87" Type="http://schemas.openxmlformats.org/officeDocument/2006/relationships/image" Target="media/image59.png"/><Relationship Id="rId88" Type="http://schemas.openxmlformats.org/officeDocument/2006/relationships/image" Target="media/image60.jpe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27" Type="http://schemas.openxmlformats.org/officeDocument/2006/relationships/hyperlink" Target="http://www.sec.gov/ix?doc=/Archives/edgar/data/0000107263/000010726326000006/wmb-20251231.htm" TargetMode="External"/><Relationship Id="rId28" Type="http://schemas.openxmlformats.org/officeDocument/2006/relationships/hyperlink" Target="http://www.sec.gov/ix?doc=/Archives/edgar/data/0000107263/000119312526112643/wmb-20260317.htm" TargetMode="External"/><Relationship Id="rId29" Type="http://schemas.openxmlformats.org/officeDocument/2006/relationships/hyperlink" Target="http://www.sec.gov/ix?doc=/Archives/edgar/data/0000107263/000010726326000017/wmb-20260331.htm" TargetMode="External"/><Relationship Id="rId30" Type="http://schemas.openxmlformats.org/officeDocument/2006/relationships/hyperlink" Target="http://www.sec.gov/ix?doc=/Archives/edgar/data/0000107263/000010726326000026/wmb-20260630.htm" TargetMode="External"/><Relationship Id="rId31" Type="http://schemas.openxmlformats.org/officeDocument/2006/relationships/hyperlink" Target="http://www.sec.gov/ix?doc=/Archives/edgar/data/0000107263/000010726326000036/wmb-20260930.htm" TargetMode="External"/><Relationship Id="rId32" Type="http://schemas.openxmlformats.org/officeDocument/2006/relationships/hyperlink" Target="http://www.sec.gov/ix?doc=/Archives/edgar/data/0000107263/000010726326000008/wmb-20260326.htm" TargetMode="External"/><Relationship Id="rId33" Type="http://schemas.openxmlformats.org/officeDocument/2006/relationships/hyperlink" Target="http://www.sec.gov/ix?doc=/Archives/edgar/data/0000107263/000010726326000013/wmb-20260504.htm" TargetMode="External"/><Relationship Id="rId34" Type="http://schemas.openxmlformats.org/officeDocument/2006/relationships/hyperlink" Target="http://www.sec.gov/ix?doc=/Archives/edgar/data/0000107263/000119312526232714/d227957d8k.htm" TargetMode="External"/><Relationship Id="rId35" Type="http://schemas.openxmlformats.org/officeDocument/2006/relationships/hyperlink" Target="http://www.sec.gov/ix?doc=/Archives/edgar/data/0000107263/000010726326000020/wmb-20260701.htm" TargetMode="External"/><Relationship Id="rId36" Type="http://schemas.openxmlformats.org/officeDocument/2006/relationships/hyperlink" Target="http://www.sec.gov/ix?doc=/Archives/edgar/data/107263/000010726326000028/wmb-20260821.htm" TargetMode="External"/><Relationship Id="rId37" Type="http://schemas.openxmlformats.org/officeDocument/2006/relationships/hyperlink" Target="http://www.sec.gov/ix?doc=/Archives/edgar/data/107263/000119312526381926/d111572d8k.htm" TargetMode="External"/><Relationship Id="rId38" Type="http://schemas.openxmlformats.org/officeDocument/2006/relationships/hyperlink" Target="http://www.sec.gov/ix?doc=/Archives/edgar/data/0000107263/000119312526387359/d113424d8k.htm" TargetMode="External"/><Relationship Id="rId39" Type="http://schemas.openxmlformats.org/officeDocument/2006/relationships/hyperlink" Target="http://www.sec.gov/ix?doc=/Archives/edgar/data/0000107263/000119312526387930/d116217d8k.htm" TargetMode="External"/><Relationship Id="rId40" Type="http://schemas.openxmlformats.org/officeDocument/2006/relationships/hyperlink" Target="http://www.sec.gov/Archives/edgar/data/107263/000010726323000007/wmb_20221231x10kxex435.htm" TargetMode="External"/><Relationship Id="rId41" Type="http://schemas.openxmlformats.org/officeDocument/2006/relationships/hyperlink" Target="http://www.sec.gov/Archives/edgar/data/107263/000119312518219725/d522727d8k.htm" TargetMode="External"/><Relationship Id="rId65" Type="http://schemas.openxmlformats.org/officeDocument/2006/relationships/hyperlink" Target="http://www.sec.gov/Archives/edgar/data/107263/000095012310053200/c58430exv3wxiy1.htm" TargetMode="External"/><Relationship Id="rId66" Type="http://schemas.openxmlformats.org/officeDocument/2006/relationships/hyperlink" Target="http://www.sec.gov/Archives/edgar/data/107263/000119312518246104/d599321dex31.htm" TargetMode="External"/><Relationship Id="rId67" Type="http://schemas.openxmlformats.org/officeDocument/2006/relationships/hyperlink" Target="http://www.sec.gov/Archives/edgar/data/107263/000010726322000030/wmb_20220930xex34.htm" TargetMode="External"/><Relationship Id="rId68" Type="http://schemas.openxmlformats.org/officeDocument/2006/relationships/hyperlink" Target="http://www.sec.gov/Archives/edgar/data/107263/000095013406010292/d36324exv4w5.htm" TargetMode="External"/><Relationship Id="rId69" Type="http://schemas.openxmlformats.org/officeDocument/2006/relationships/hyperlink" Target="http://www.sec.gov/Archives/edgar/data/107263/000119312518219725/d522727dex31.htm" TargetMode="External"/><Relationship Id="rId70" Type="http://schemas.openxmlformats.org/officeDocument/2006/relationships/hyperlink" Target="http://www.sec.gov/Archives/edgar/data/107263/000119312512508695/d456994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2026-11-02T15:43:45Z</dcterms:created>
  <dcterms:modified xsi:type="dcterms:W3CDTF">2026-11-02T15:43:45Z</dcterms:modified>
</cp:coreProperties>
</file>