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Williams Companies,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jc w:val="center"/>
              <w:ind w:right="222"/>
              <w:spacing w:after="0"/>
              <w:rPr>
                <w:sz w:val="20"/>
                <w:szCs w:val="20"/>
                <w:color w:val="auto"/>
              </w:rPr>
            </w:pPr>
            <w:r>
              <w:rPr>
                <w:rFonts w:ascii="Times New Roman" w:cs="Times New Roman" w:eastAsia="Times New Roman" w:hAnsi="Times New Roman"/>
                <w:sz w:val="18"/>
                <w:szCs w:val="18"/>
                <w:b w:val="1"/>
                <w:bCs w:val="1"/>
                <w:color w:val="auto"/>
              </w:rPr>
              <w:t>1-4174</w:t>
            </w:r>
          </w:p>
        </w:tc>
        <w:tc>
          <w:tcPr>
            <w:tcW w:w="2860" w:type="dxa"/>
            <w:vAlign w:val="bottom"/>
          </w:tcPr>
          <w:p>
            <w:pPr>
              <w:jc w:val="center"/>
              <w:ind w:left="1641"/>
              <w:spacing w:after="0"/>
              <w:rPr>
                <w:sz w:val="20"/>
                <w:szCs w:val="20"/>
                <w:color w:val="auto"/>
              </w:rPr>
            </w:pPr>
            <w:r>
              <w:rPr>
                <w:rFonts w:ascii="Times New Roman" w:cs="Times New Roman" w:eastAsia="Times New Roman" w:hAnsi="Times New Roman"/>
                <w:sz w:val="18"/>
                <w:szCs w:val="18"/>
                <w:b w:val="1"/>
                <w:bCs w:val="1"/>
                <w:color w:val="auto"/>
                <w:w w:val="98"/>
              </w:rPr>
              <w:t>73-0569878</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60" w:type="dxa"/>
            <w:vAlign w:val="bottom"/>
          </w:tcPr>
          <w:p>
            <w:pPr>
              <w:jc w:val="center"/>
              <w:ind w:left="16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6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One Williams Center</w:t>
            </w:r>
          </w:p>
        </w:tc>
        <w:tc>
          <w:tcPr>
            <w:tcW w:w="23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Tulsa, Oklahoma</w:t>
            </w:r>
          </w:p>
        </w:tc>
        <w:tc>
          <w:tcPr>
            <w:tcW w:w="2380" w:type="dxa"/>
            <w:vAlign w:val="bottom"/>
          </w:tcPr>
          <w:p>
            <w:pPr>
              <w:spacing w:after="0"/>
              <w:rPr>
                <w:sz w:val="19"/>
                <w:szCs w:val="19"/>
                <w:color w:val="auto"/>
              </w:rPr>
            </w:pPr>
          </w:p>
        </w:tc>
        <w:tc>
          <w:tcPr>
            <w:tcW w:w="2860" w:type="dxa"/>
            <w:vAlign w:val="bottom"/>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74172-0172</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8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800-945-5426 (800-WILLIAMS)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WMB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On November 2, 2026, The Williams Companies, Inc. (the “Company”) filed a prospectus supplement to the Company’s registration statement on Form S-3 (File No. 333-299764) covering the resale by the selling securityholders named therein of up to 26,874,496 shares of the Company’s common stock, par value $1.00 per share (the “Shares”), under the Securities Act of 1933, as amended.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opinion regarding the validity of the Shares is attached hereto as Exhibit 5.1 and incorporated herein by reference.</w:t>
      </w:r>
    </w:p>
    <w:p>
      <w:pPr>
        <w:sectPr>
          <w:pgSz w:w="11900" w:h="16838" w:orient="portrait"/>
          <w:cols w:equalWidth="0" w:num="1">
            <w:col w:w="10940"/>
          </w:cols>
          <w:pgMar w:left="440" w:top="293" w:right="51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(d) </w:t>
            </w: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520" w:type="dxa"/>
            <w:vAlign w:val="bottom"/>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Davis Polk &amp; Wardwell LLP.</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Davis Polk &amp; Wardwell LLP (contained in its opinion filed as Exhibit 5.1 and incorporated herein by reference).</w:t>
            </w:r>
          </w:p>
        </w:tc>
      </w:tr>
      <w:tr>
        <w:trPr>
          <w:trHeight w:val="3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023"/>
          </w:cols>
          <w:pgMar w:left="436"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 2026</w:t>
            </w: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THE WILLIAMS COMPANIES, INC.</w:t>
            </w:r>
          </w:p>
        </w:tc>
      </w:tr>
      <w:tr>
        <w:trPr>
          <w:trHeight w:val="234"/>
        </w:trPr>
        <w:tc>
          <w:tcPr>
            <w:tcW w:w="3740" w:type="dxa"/>
            <w:vAlign w:val="bottom"/>
          </w:tcPr>
          <w:p>
            <w:pPr>
              <w:spacing w:after="0"/>
              <w:rPr>
                <w:sz w:val="20"/>
                <w:szCs w:val="20"/>
                <w:color w:val="auto"/>
              </w:rPr>
            </w:pP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3740" w:type="dxa"/>
            <w:vAlign w:val="bottom"/>
          </w:tcPr>
          <w:p>
            <w:pPr>
              <w:spacing w:after="0"/>
              <w:rPr>
                <w:sz w:val="24"/>
                <w:szCs w:val="24"/>
                <w:color w:val="auto"/>
              </w:rPr>
            </w:pP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JOHN D. PORTER</w:t>
            </w:r>
          </w:p>
        </w:tc>
      </w:tr>
      <w:tr>
        <w:trPr>
          <w:trHeight w:val="205"/>
        </w:trPr>
        <w:tc>
          <w:tcPr>
            <w:tcW w:w="3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D. Porter</w:t>
            </w:r>
          </w:p>
        </w:tc>
      </w:tr>
      <w:tr>
        <w:trPr>
          <w:trHeight w:val="216"/>
        </w:trPr>
        <w:tc>
          <w:tcPr>
            <w:tcW w:w="3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9979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davispolk.com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Williams Companies,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Williams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 74172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Williams Companies, Inc. a Delaware corporation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filed with the Securities and Exchange Commission a Registration Statement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S-3 (File No. 333-299764)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certain securities, including up to 26,874,496 shares of its common stock, par value $1.00 per share (the “Common Stock”), that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sold by the selling stockholders named in the Registration Statement (the “Selling Stockholders”).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additional assumptions and qualifications set forth below, we advise you that, in our opinion, the shares of Common Stock proposed to be sold by the Selling Stockholders have been duly authorized and validly issued and are fully paid and non-assessable.</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General Corporation Law of the State of Delaware.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2026-11-02T16:21:23Z</dcterms:created>
  <dcterms:modified xsi:type="dcterms:W3CDTF">2026-11-02T16:21:23Z</dcterms:modified>
</cp:coreProperties>
</file>