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68" w:lineRule="exact"/>
        <w:rPr>
          <w:sz w:val="24"/>
          <w:szCs w:val="24"/>
          <w:color w:val="auto"/>
        </w:rPr>
      </w:pPr>
    </w:p>
    <w:p>
      <w:pPr>
        <w:ind w:left="980" w:hanging="369"/>
        <w:spacing w:after="0"/>
        <w:tabs>
          <w:tab w:leader="none" w:pos="9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94" w:lineRule="exact"/>
        <w:rPr>
          <w:sz w:val="24"/>
          <w:szCs w:val="24"/>
          <w:color w:val="auto"/>
        </w:rPr>
      </w:pPr>
    </w:p>
    <w:p>
      <w:pPr>
        <w:ind w:left="780" w:hanging="378"/>
        <w:spacing w:after="0"/>
        <w:tabs>
          <w:tab w:leader="none" w:pos="7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02" w:lineRule="exact"/>
        <w:rPr>
          <w:rFonts w:ascii="MS PGothic" w:cs="MS PGothic" w:eastAsia="MS PGothic" w:hAnsi="MS PGothic"/>
          <w:sz w:val="20"/>
          <w:szCs w:val="20"/>
          <w:color w:val="auto"/>
        </w:rPr>
      </w:pPr>
    </w:p>
    <w:p>
      <w:pPr>
        <w:ind w:left="2660"/>
        <w:spacing w:after="0"/>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For the transition period from _____________ to _____________</w:t>
      </w:r>
    </w:p>
    <w:p>
      <w:pPr>
        <w:spacing w:after="0" w:line="314"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36"/>
          <w:szCs w:val="36"/>
          <w:b w:val="1"/>
          <w:bCs w:val="1"/>
          <w:color w:val="auto"/>
        </w:rPr>
        <w:t>The Williams Companies, Inc.</w:t>
      </w:r>
    </w:p>
    <w:p>
      <w:pPr>
        <w:spacing w:after="0" w:line="65"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36"/>
          <w:szCs w:val="36"/>
          <w:b w:val="1"/>
          <w:bCs w:val="1"/>
          <w:color w:val="auto"/>
        </w:rPr>
        <w:t>Transcontinental Gas Pipe Line Company, LLC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Northwest Pipeline LLC</w:t>
      </w: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6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1-4174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46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73-0569878</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1-7584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46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74-1079400</w:t>
            </w:r>
          </w:p>
        </w:tc>
        <w:tc>
          <w:tcPr>
            <w:tcW w:w="0" w:type="dxa"/>
            <w:vAlign w:val="bottom"/>
          </w:tcPr>
          <w:p>
            <w:pPr>
              <w:spacing w:after="0"/>
              <w:rPr>
                <w:sz w:val="1"/>
                <w:szCs w:val="1"/>
                <w:color w:val="auto"/>
              </w:rPr>
            </w:pPr>
          </w:p>
        </w:tc>
      </w:tr>
      <w:tr>
        <w:trPr>
          <w:trHeight w:val="202"/>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1-7414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46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26-1157701</w:t>
            </w:r>
          </w:p>
        </w:tc>
        <w:tc>
          <w:tcPr>
            <w:tcW w:w="0" w:type="dxa"/>
            <w:vAlign w:val="bottom"/>
          </w:tcPr>
          <w:p>
            <w:pPr>
              <w:spacing w:after="0"/>
              <w:rPr>
                <w:sz w:val="1"/>
                <w:szCs w:val="1"/>
                <w:color w:val="auto"/>
              </w:rPr>
            </w:pPr>
          </w:p>
        </w:tc>
      </w:tr>
    </w:tbl>
    <w:p>
      <w:pPr>
        <w:spacing w:after="0" w:line="29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29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9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Area Code:</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One Williams Center, Tulsa, Oklahoma</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74172</w:t>
            </w:r>
          </w:p>
        </w:tc>
        <w:tc>
          <w:tcPr>
            <w:tcW w:w="29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800-945-5426 (800-WILLIAMS)</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2800 Post Oak Boulevard, Houston, Texas</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77056</w:t>
            </w:r>
          </w:p>
        </w:tc>
        <w:tc>
          <w:tcPr>
            <w:tcW w:w="29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713-215-2000</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One Williams Center, Tulsa, Oklahoma</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74172</w:t>
            </w:r>
          </w:p>
        </w:tc>
        <w:tc>
          <w:tcPr>
            <w:tcW w:w="29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800-945-5426</w:t>
            </w:r>
          </w:p>
        </w:tc>
        <w:tc>
          <w:tcPr>
            <w:tcW w:w="0" w:type="dxa"/>
            <w:vAlign w:val="bottom"/>
          </w:tcPr>
          <w:p>
            <w:pPr>
              <w:spacing w:after="0"/>
              <w:rPr>
                <w:sz w:val="1"/>
                <w:szCs w:val="1"/>
                <w:color w:val="auto"/>
              </w:rPr>
            </w:pPr>
          </w:p>
        </w:tc>
      </w:tr>
    </w:tbl>
    <w:p>
      <w:pPr>
        <w:spacing w:after="0" w:line="269"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45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120" w:type="dxa"/>
            <w:vAlign w:val="bottom"/>
          </w:tcPr>
          <w:p>
            <w:pPr>
              <w:spacing w:after="0"/>
              <w:rPr>
                <w:sz w:val="16"/>
                <w:szCs w:val="16"/>
                <w:color w:val="auto"/>
              </w:rPr>
            </w:pPr>
          </w:p>
        </w:tc>
      </w:tr>
      <w:tr>
        <w:trPr>
          <w:trHeight w:val="284"/>
        </w:trPr>
        <w:tc>
          <w:tcPr>
            <w:tcW w:w="3240" w:type="dxa"/>
            <w:vAlign w:val="bottom"/>
          </w:tcPr>
          <w:p>
            <w:pPr>
              <w:spacing w:after="0"/>
              <w:rPr>
                <w:sz w:val="24"/>
                <w:szCs w:val="24"/>
                <w:color w:val="auto"/>
              </w:rPr>
            </w:pP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7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WMB</w:t>
            </w:r>
          </w:p>
        </w:tc>
        <w:tc>
          <w:tcPr>
            <w:tcW w:w="31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None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31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None</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None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31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None</w:t>
            </w:r>
          </w:p>
        </w:tc>
      </w:tr>
    </w:tbl>
    <w:p>
      <w:pPr>
        <w:spacing w:after="0" w:line="200" w:lineRule="exact"/>
        <w:rPr>
          <w:sz w:val="24"/>
          <w:szCs w:val="24"/>
          <w:color w:val="auto"/>
        </w:rPr>
      </w:pPr>
    </w:p>
    <w:p>
      <w:pPr>
        <w:sectPr>
          <w:pgSz w:w="11900" w:h="16838" w:orient="portrait"/>
          <w:cols w:equalWidth="0" w:num="1">
            <w:col w:w="11240"/>
          </w:cols>
          <w:pgMar w:left="320" w:top="884" w:right="339" w:bottom="1440" w:gutter="0" w:footer="0" w:header="0"/>
        </w:sectPr>
      </w:pPr>
    </w:p>
    <w:p>
      <w:pPr>
        <w:spacing w:after="0" w:line="69" w:lineRule="exact"/>
        <w:rPr>
          <w:sz w:val="24"/>
          <w:szCs w:val="24"/>
          <w:color w:val="auto"/>
        </w:rPr>
      </w:pPr>
    </w:p>
    <w:p>
      <w:pPr>
        <w:jc w:val="center"/>
        <w:ind w:left="34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82"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5"/>
          <w:szCs w:val="15"/>
          <w:color w:val="auto"/>
        </w:rPr>
        <w:t>ndicate by check mark if the registrant is a well-known seasoned issuer, as defined in Rule 405 of the Securities Act.</w:t>
      </w:r>
    </w:p>
    <w:p>
      <w:pPr>
        <w:spacing w:after="0" w:line="119"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The Williams Companies, Inc.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Transcontinental Gas Pipe Line Company, LLC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Northwest Pipeline LLC</w:t>
      </w:r>
      <w:r>
        <w:rPr>
          <w:sz w:val="20"/>
          <w:szCs w:val="20"/>
          <w:color w:val="auto"/>
        </w:rPr>
        <w:tab/>
      </w:r>
      <w:r>
        <w:rPr>
          <w:rFonts w:ascii="Times New Roman" w:cs="Times New Roman" w:eastAsia="Times New Roman" w:hAnsi="Times New Roman"/>
          <w:sz w:val="14"/>
          <w:szCs w:val="14"/>
          <w:color w:val="auto"/>
        </w:rPr>
        <w:t>Yes</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119"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The Williams Companies, Inc.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Transcontinental Gas Pipe Line Company, LLC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4"/>
          <w:szCs w:val="24"/>
          <w:color w:val="auto"/>
        </w:rPr>
      </w:pPr>
    </w:p>
    <w:p>
      <w:pPr>
        <w:ind w:left="20"/>
        <w:spacing w:after="0"/>
        <w:tabs>
          <w:tab w:leader="none" w:pos="7380" w:val="left"/>
        </w:tabs>
        <w:rPr>
          <w:sz w:val="20"/>
          <w:szCs w:val="20"/>
          <w:color w:val="auto"/>
        </w:rPr>
      </w:pPr>
      <w:r>
        <w:rPr>
          <w:rFonts w:ascii="Times New Roman" w:cs="Times New Roman" w:eastAsia="Times New Roman" w:hAnsi="Times New Roman"/>
          <w:sz w:val="14"/>
          <w:szCs w:val="14"/>
          <w:color w:val="auto"/>
        </w:rPr>
        <w:t>Northwest Pipeline LLC</w:t>
      </w:r>
      <w:r>
        <w:rPr>
          <w:sz w:val="20"/>
          <w:szCs w:val="20"/>
          <w:color w:val="auto"/>
        </w:rPr>
        <w:tab/>
      </w: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663"/>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7" w:lineRule="exact"/>
        <w:rPr>
          <w:sz w:val="24"/>
          <w:szCs w:val="24"/>
          <w:color w:val="auto"/>
        </w:rPr>
      </w:pPr>
    </w:p>
    <w:p>
      <w:pPr>
        <w:sectPr>
          <w:pgSz w:w="11900" w:h="16838" w:orient="portrait"/>
          <w:cols w:equalWidth="0" w:num="2">
            <w:col w:w="7780" w:space="720"/>
            <w:col w:w="2740"/>
          </w:cols>
          <w:pgMar w:left="320" w:top="884" w:right="339" w:bottom="1440" w:gutter="0" w:footer="0" w:header="0"/>
          <w:type w:val="continuous"/>
        </w:sectPr>
      </w:pPr>
    </w:p>
    <w:p>
      <w:pPr>
        <w:spacing w:after="0" w:line="298"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03"/>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4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589"/>
        </w:trPr>
        <w:tc>
          <w:tcPr>
            <w:tcW w:w="50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1" w:name="page2"/>
    <w:bookmarkEnd w:id="1"/>
    <w:p>
      <w:pPr>
        <w:ind w:right="20"/>
        <w:spacing w:after="0" w:line="298"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98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13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Large accelerated</w:t>
            </w:r>
          </w:p>
        </w:tc>
        <w:tc>
          <w:tcPr>
            <w:tcW w:w="36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spacing w:after="0"/>
              <w:rPr>
                <w:sz w:val="15"/>
                <w:szCs w:val="15"/>
                <w:color w:val="auto"/>
              </w:rPr>
            </w:pPr>
          </w:p>
        </w:tc>
        <w:tc>
          <w:tcPr>
            <w:tcW w:w="1620" w:type="dxa"/>
            <w:vAlign w:val="bottom"/>
            <w:vMerge w:val="restart"/>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19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13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filer</w:t>
            </w:r>
          </w:p>
        </w:tc>
        <w:tc>
          <w:tcPr>
            <w:tcW w:w="360" w:type="dxa"/>
            <w:vAlign w:val="bottom"/>
            <w:vMerge w:val="continue"/>
          </w:tcPr>
          <w:p>
            <w:pPr>
              <w:spacing w:after="0"/>
              <w:rPr>
                <w:sz w:val="2"/>
                <w:szCs w:val="2"/>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62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3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Large accelerated</w:t>
            </w:r>
          </w:p>
        </w:tc>
        <w:tc>
          <w:tcPr>
            <w:tcW w:w="36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spacing w:after="0"/>
              <w:rPr>
                <w:sz w:val="15"/>
                <w:szCs w:val="15"/>
                <w:color w:val="auto"/>
              </w:rPr>
            </w:pPr>
          </w:p>
        </w:tc>
        <w:tc>
          <w:tcPr>
            <w:tcW w:w="1620" w:type="dxa"/>
            <w:vAlign w:val="bottom"/>
            <w:vMerge w:val="restart"/>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19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13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filer</w:t>
            </w:r>
          </w:p>
        </w:tc>
        <w:tc>
          <w:tcPr>
            <w:tcW w:w="360" w:type="dxa"/>
            <w:vAlign w:val="bottom"/>
            <w:vMerge w:val="continue"/>
          </w:tcPr>
          <w:p>
            <w:pPr>
              <w:spacing w:after="0"/>
              <w:rPr>
                <w:sz w:val="2"/>
                <w:szCs w:val="2"/>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62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34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Large accelerated</w:t>
            </w:r>
          </w:p>
        </w:tc>
        <w:tc>
          <w:tcPr>
            <w:tcW w:w="36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tcPr>
          <w:p>
            <w:pPr>
              <w:spacing w:after="0"/>
              <w:rPr>
                <w:sz w:val="15"/>
                <w:szCs w:val="15"/>
                <w:color w:val="auto"/>
              </w:rPr>
            </w:pPr>
          </w:p>
        </w:tc>
        <w:tc>
          <w:tcPr>
            <w:tcW w:w="1620" w:type="dxa"/>
            <w:vAlign w:val="bottom"/>
            <w:vMerge w:val="restart"/>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19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134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filer</w:t>
            </w:r>
          </w:p>
        </w:tc>
        <w:tc>
          <w:tcPr>
            <w:tcW w:w="360" w:type="dxa"/>
            <w:vAlign w:val="bottom"/>
            <w:vMerge w:val="continue"/>
          </w:tcPr>
          <w:p>
            <w:pPr>
              <w:spacing w:after="0"/>
              <w:rPr>
                <w:sz w:val="2"/>
                <w:szCs w:val="2"/>
                <w:color w:val="auto"/>
              </w:rPr>
            </w:pP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62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811" w:right="339" w:bottom="1440" w:gutter="0" w:footer="0" w:header="0"/>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Northwest Pipeline LLC</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9" w:lineRule="exact"/>
        <w:rPr>
          <w:sz w:val="20"/>
          <w:szCs w:val="20"/>
          <w:color w:val="auto"/>
        </w:rPr>
      </w:pPr>
    </w:p>
    <w:p>
      <w:pPr>
        <w:sectPr>
          <w:pgSz w:w="11900" w:h="16838" w:orient="portrait"/>
          <w:cols w:equalWidth="0" w:num="2">
            <w:col w:w="9920" w:space="720"/>
            <w:col w:w="600"/>
          </w:cols>
          <w:pgMar w:left="320" w:top="811" w:right="339" w:bottom="1440" w:gutter="0" w:footer="0" w:header="0"/>
          <w:type w:val="continuous"/>
        </w:sectPr>
      </w:pPr>
    </w:p>
    <w:p>
      <w:pPr>
        <w:spacing w:after="0" w:line="14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900" w:h="16838" w:orient="portrait"/>
          <w:cols w:equalWidth="0" w:num="1">
            <w:col w:w="11240"/>
          </w:cols>
          <w:pgMar w:left="320" w:top="811" w:right="339" w:bottom="1440" w:gutter="0" w:footer="0" w:header="0"/>
          <w:type w:val="continuous"/>
        </w:sectPr>
      </w:pP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Northwest Pipeline LLC</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9" w:lineRule="exact"/>
        <w:rPr>
          <w:sz w:val="20"/>
          <w:szCs w:val="20"/>
          <w:color w:val="auto"/>
        </w:rPr>
      </w:pPr>
    </w:p>
    <w:p>
      <w:pPr>
        <w:sectPr>
          <w:pgSz w:w="11900" w:h="16838" w:orient="portrait"/>
          <w:cols w:equalWidth="0" w:num="2">
            <w:col w:w="9920" w:space="720"/>
            <w:col w:w="600"/>
          </w:cols>
          <w:pgMar w:left="320" w:top="811" w:right="339" w:bottom="1440" w:gutter="0" w:footer="0" w:header="0"/>
          <w:type w:val="continuous"/>
        </w:sectPr>
      </w:pPr>
    </w:p>
    <w:p>
      <w:pPr>
        <w:spacing w:after="0" w:line="14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900" w:h="16838" w:orient="portrait"/>
          <w:cols w:equalWidth="0" w:num="1">
            <w:col w:w="11240"/>
          </w:cols>
          <w:pgMar w:left="320" w:top="811" w:right="339" w:bottom="1440" w:gutter="0" w:footer="0" w:header="0"/>
          <w:type w:val="continuous"/>
        </w:sectPr>
      </w:pP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Northwest Pipeline LLC</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9" w:lineRule="exact"/>
        <w:rPr>
          <w:sz w:val="20"/>
          <w:szCs w:val="20"/>
          <w:color w:val="auto"/>
        </w:rPr>
      </w:pPr>
    </w:p>
    <w:p>
      <w:pPr>
        <w:sectPr>
          <w:pgSz w:w="11900" w:h="16838" w:orient="portrait"/>
          <w:cols w:equalWidth="0" w:num="2">
            <w:col w:w="9920" w:space="720"/>
            <w:col w:w="600"/>
          </w:cols>
          <w:pgMar w:left="320" w:top="811" w:right="339" w:bottom="1440" w:gutter="0" w:footer="0" w:header="0"/>
          <w:type w:val="continuous"/>
        </w:sectPr>
      </w:pPr>
    </w:p>
    <w:p>
      <w:pPr>
        <w:spacing w:after="0" w:line="130"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1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66"/>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2"/>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12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12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12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Yes</w:t>
            </w:r>
          </w:p>
        </w:tc>
        <w:tc>
          <w:tcPr>
            <w:tcW w:w="104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10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8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5"/>
          <w:szCs w:val="15"/>
          <w:color w:val="auto"/>
        </w:rPr>
        <w:t>The aggregate market value of the voting and nonvoting common equity held by nonaffiliates computed by reference to the price at which the common equity was last sold as of the last business day of the registrant’s most recently completed second quarter was approximately: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314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$67,728,227,765</w:t>
            </w:r>
          </w:p>
        </w:tc>
      </w:tr>
      <w:tr>
        <w:trPr>
          <w:trHeight w:val="188"/>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31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None</w:t>
            </w: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31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None</w:t>
            </w:r>
          </w:p>
        </w:tc>
      </w:tr>
      <w:tr>
        <w:trPr>
          <w:trHeight w:val="515"/>
        </w:trPr>
        <w:tc>
          <w:tcPr>
            <w:tcW w:w="8100" w:type="dxa"/>
            <w:vAlign w:val="bottom"/>
          </w:tcPr>
          <w:p>
            <w:pPr>
              <w:spacing w:after="0"/>
              <w:rPr>
                <w:sz w:val="20"/>
                <w:szCs w:val="20"/>
                <w:color w:val="auto"/>
              </w:rPr>
            </w:pPr>
            <w:r>
              <w:rPr>
                <w:rFonts w:ascii="Times New Roman" w:cs="Times New Roman" w:eastAsia="Times New Roman" w:hAnsi="Times New Roman"/>
                <w:sz w:val="15"/>
                <w:szCs w:val="15"/>
                <w:color w:val="auto"/>
              </w:rPr>
              <w:t>The number of shares outstanding of the registrant’s common stock outstanding at February 19, 2026 was:</w:t>
            </w:r>
          </w:p>
        </w:tc>
        <w:tc>
          <w:tcPr>
            <w:tcW w:w="3140" w:type="dxa"/>
            <w:vAlign w:val="bottom"/>
          </w:tcPr>
          <w:p>
            <w:pPr>
              <w:spacing w:after="0"/>
              <w:rPr>
                <w:sz w:val="24"/>
                <w:szCs w:val="24"/>
                <w:color w:val="auto"/>
              </w:rPr>
            </w:pPr>
          </w:p>
        </w:tc>
      </w:tr>
      <w:tr>
        <w:trPr>
          <w:trHeight w:val="103"/>
        </w:trPr>
        <w:tc>
          <w:tcPr>
            <w:tcW w:w="8100" w:type="dxa"/>
            <w:vAlign w:val="bottom"/>
          </w:tcPr>
          <w:p>
            <w:pPr>
              <w:spacing w:after="0"/>
              <w:rPr>
                <w:sz w:val="8"/>
                <w:szCs w:val="8"/>
                <w:color w:val="auto"/>
              </w:rPr>
            </w:pPr>
          </w:p>
        </w:tc>
        <w:tc>
          <w:tcPr>
            <w:tcW w:w="3140" w:type="dxa"/>
            <w:vAlign w:val="bottom"/>
          </w:tcPr>
          <w:p>
            <w:pPr>
              <w:spacing w:after="0"/>
              <w:rPr>
                <w:sz w:val="8"/>
                <w:szCs w:val="8"/>
                <w:color w:val="auto"/>
              </w:rPr>
            </w:pP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314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1,221,563,111</w:t>
            </w:r>
          </w:p>
        </w:tc>
      </w:tr>
      <w:tr>
        <w:trPr>
          <w:trHeight w:val="188"/>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31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None</w:t>
            </w: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Northwest Pipeline LLC</w:t>
            </w:r>
          </w:p>
        </w:tc>
        <w:tc>
          <w:tcPr>
            <w:tcW w:w="31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None</w:t>
            </w:r>
          </w:p>
        </w:tc>
      </w:tr>
      <w:tr>
        <w:trPr>
          <w:trHeight w:val="881"/>
        </w:trPr>
        <w:tc>
          <w:tcPr>
            <w:tcW w:w="81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82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tc>
      </w:tr>
      <w:tr>
        <w:trPr>
          <w:trHeight w:val="270"/>
        </w:trPr>
        <w:tc>
          <w:tcPr>
            <w:tcW w:w="30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7600" w:type="dxa"/>
            <w:vAlign w:val="bottom"/>
            <w:tcBorders>
              <w:bottom w:val="single" w:sz="8" w:color="auto"/>
            </w:tcBorders>
          </w:tcPr>
          <w:p>
            <w:pPr>
              <w:spacing w:after="0"/>
              <w:rPr>
                <w:sz w:val="23"/>
                <w:szCs w:val="23"/>
                <w:color w:val="auto"/>
              </w:rPr>
            </w:pPr>
          </w:p>
        </w:tc>
      </w:tr>
      <w:tr>
        <w:trPr>
          <w:trHeight w:val="137"/>
        </w:trPr>
        <w:tc>
          <w:tcPr>
            <w:tcW w:w="3000" w:type="dxa"/>
            <w:vAlign w:val="bottom"/>
            <w:tcBorders>
              <w:left w:val="single" w:sz="8" w:color="auto"/>
            </w:tcBorders>
          </w:tcPr>
          <w:p>
            <w:pPr>
              <w:ind w:left="40"/>
              <w:spacing w:after="0" w:line="138" w:lineRule="exact"/>
              <w:rPr>
                <w:sz w:val="20"/>
                <w:szCs w:val="20"/>
                <w:color w:val="auto"/>
              </w:rPr>
            </w:pPr>
            <w:r>
              <w:rPr>
                <w:rFonts w:ascii="Times New Roman" w:cs="Times New Roman" w:eastAsia="Times New Roman" w:hAnsi="Times New Roman"/>
                <w:sz w:val="13"/>
                <w:szCs w:val="13"/>
                <w:color w:val="auto"/>
              </w:rPr>
              <w:t>The Williams Companies, Inc.</w:t>
            </w:r>
          </w:p>
        </w:tc>
        <w:tc>
          <w:tcPr>
            <w:tcW w:w="660" w:type="dxa"/>
            <w:vAlign w:val="bottom"/>
            <w:tcBorders>
              <w:right w:val="single" w:sz="8" w:color="auto"/>
            </w:tcBorders>
          </w:tcPr>
          <w:p>
            <w:pPr>
              <w:spacing w:after="0"/>
              <w:rPr>
                <w:sz w:val="11"/>
                <w:szCs w:val="11"/>
                <w:color w:val="auto"/>
              </w:rPr>
            </w:pPr>
          </w:p>
        </w:tc>
        <w:tc>
          <w:tcPr>
            <w:tcW w:w="76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rPr>
              <w:t>Portions of the Williams’ Definitive Proxy Statement for the Williams’ Annual Meeting of Stockholders to be held on April 28, 2026, are</w:t>
            </w:r>
          </w:p>
        </w:tc>
      </w:tr>
      <w:tr>
        <w:trPr>
          <w:trHeight w:val="164"/>
        </w:trPr>
        <w:tc>
          <w:tcPr>
            <w:tcW w:w="30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incorporated into Part III, as specifically set forth in Part III.</w:t>
            </w:r>
          </w:p>
        </w:tc>
      </w:tr>
      <w:tr>
        <w:trPr>
          <w:trHeight w:val="29"/>
        </w:trPr>
        <w:tc>
          <w:tcPr>
            <w:tcW w:w="300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right w:val="single" w:sz="8" w:color="auto"/>
            </w:tcBorders>
          </w:tcPr>
          <w:p>
            <w:pPr>
              <w:spacing w:after="0"/>
              <w:rPr>
                <w:sz w:val="2"/>
                <w:szCs w:val="2"/>
                <w:color w:val="auto"/>
              </w:rPr>
            </w:pPr>
          </w:p>
        </w:tc>
      </w:tr>
      <w:tr>
        <w:trPr>
          <w:trHeight w:val="176"/>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Transcontinental Gas Pipe Line Company, LLC</w:t>
            </w:r>
          </w:p>
        </w:tc>
        <w:tc>
          <w:tcPr>
            <w:tcW w:w="660" w:type="dxa"/>
            <w:vAlign w:val="bottom"/>
            <w:tcBorders>
              <w:bottom w:val="single" w:sz="8" w:color="auto"/>
              <w:right w:val="single" w:sz="8" w:color="auto"/>
            </w:tcBorders>
          </w:tcPr>
          <w:p>
            <w:pPr>
              <w:spacing w:after="0"/>
              <w:rPr>
                <w:sz w:val="15"/>
                <w:szCs w:val="15"/>
                <w:color w:val="auto"/>
              </w:rPr>
            </w:pPr>
          </w:p>
        </w:tc>
        <w:tc>
          <w:tcPr>
            <w:tcW w:w="7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None</w:t>
            </w:r>
          </w:p>
        </w:tc>
      </w:tr>
      <w:tr>
        <w:trPr>
          <w:trHeight w:val="183"/>
        </w:trPr>
        <w:tc>
          <w:tcPr>
            <w:tcW w:w="30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Northwest Pipeline LLC</w:t>
            </w:r>
          </w:p>
        </w:tc>
        <w:tc>
          <w:tcPr>
            <w:tcW w:w="660" w:type="dxa"/>
            <w:vAlign w:val="bottom"/>
            <w:tcBorders>
              <w:bottom w:val="single" w:sz="8" w:color="auto"/>
              <w:right w:val="single" w:sz="8" w:color="auto"/>
            </w:tcBorders>
          </w:tcPr>
          <w:p>
            <w:pPr>
              <w:spacing w:after="0"/>
              <w:rPr>
                <w:sz w:val="15"/>
                <w:szCs w:val="15"/>
                <w:color w:val="auto"/>
              </w:rPr>
            </w:pPr>
          </w:p>
        </w:tc>
        <w:tc>
          <w:tcPr>
            <w:tcW w:w="7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None</w:t>
            </w:r>
          </w:p>
        </w:tc>
      </w:tr>
    </w:tbl>
    <w:p>
      <w:pPr>
        <w:spacing w:after="0" w:line="25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color w:val="auto"/>
        </w:rPr>
        <w:t>Both Transcontinental Gas Pipe Line Company, LLC and Northwest Pipeline LLC meet the conditions set forth in General Instructions I(1)(a) and (b) of Form 10-K and is therefore filing this Form 10-K with the reduced disclosure format specified in General Instructions I(2) of Form 10-K.</w:t>
      </w:r>
    </w:p>
    <w:p>
      <w:pPr>
        <w:spacing w:after="0" w:line="11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color w:val="auto"/>
        </w:rPr>
        <w:t>This combined Form 10-K is separately filed by The Williams Companies, Inc., Transcontinental Gas Pipe Line Company, LLC, and Northwest Pipeline LLC. Information contained herein relating to any individual registrant is filed by such registrant on its own behalf. Each registrant makes no representation as to information relating to the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509" w:right="319" w:bottom="1440" w:gutter="0" w:footer="0" w:header="0"/>
        </w:sectPr>
      </w:pPr>
    </w:p>
    <w:bookmarkStart w:id="3" w:name="page4"/>
    <w:bookmarkEnd w:id="3"/>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40" w:type="dxa"/>
            <w:vAlign w:val="bottom"/>
            <w:gridSpan w:val="9"/>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9"/>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8"/>
            <w:vMerge w:val="restart"/>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w w:val="97"/>
              </w:rPr>
              <w:t>PART I</w:t>
            </w:r>
          </w:p>
        </w:tc>
        <w:tc>
          <w:tcPr>
            <w:tcW w:w="10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200"/>
        </w:trPr>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60" w:type="dxa"/>
            <w:vAlign w:val="bottom"/>
            <w:gridSpan w:val="8"/>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500" w:type="dxa"/>
            <w:vAlign w:val="bottom"/>
            <w:gridSpan w:val="21"/>
          </w:tcPr>
          <w:p>
            <w:pPr>
              <w:spacing w:after="0"/>
              <w:rPr>
                <w:sz w:val="22"/>
                <w:szCs w:val="22"/>
                <w:color w:val="auto"/>
              </w:rPr>
            </w:pPr>
          </w:p>
        </w:tc>
        <w:tc>
          <w:tcPr>
            <w:tcW w:w="540" w:type="dxa"/>
            <w:vAlign w:val="bottom"/>
            <w:gridSpan w:val="2"/>
          </w:tcPr>
          <w:p>
            <w:pPr>
              <w:jc w:val="center"/>
              <w:ind w:left="371"/>
              <w:spacing w:after="0"/>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40" w:type="dxa"/>
            <w:vAlign w:val="bottom"/>
            <w:gridSpan w:val="19"/>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28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100" w:type="dxa"/>
            <w:vAlign w:val="bottom"/>
            <w:gridSpan w:val="13"/>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48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100" w:type="dxa"/>
            <w:vAlign w:val="bottom"/>
            <w:gridSpan w:val="13"/>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48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140" w:type="dxa"/>
            <w:vAlign w:val="bottom"/>
            <w:gridSpan w:val="18"/>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49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360" w:type="dxa"/>
            <w:vAlign w:val="bottom"/>
            <w:gridSpan w:val="15"/>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Information About Williams’ Executive Officers</w:t>
            </w: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020" w:type="dxa"/>
            <w:vAlign w:val="bottom"/>
          </w:tcPr>
          <w:p>
            <w:pPr>
              <w:spacing w:after="0"/>
              <w:rPr>
                <w:sz w:val="22"/>
                <w:szCs w:val="22"/>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spacing w:after="0"/>
              <w:rPr>
                <w:sz w:val="20"/>
                <w:szCs w:val="20"/>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55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00" w:type="dxa"/>
            <w:vAlign w:val="bottom"/>
            <w:gridSpan w:val="4"/>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87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800" w:type="dxa"/>
            <w:vAlign w:val="bottom"/>
            <w:gridSpan w:val="7"/>
          </w:tcPr>
          <w:p>
            <w:pPr>
              <w:spacing w:after="0"/>
              <w:rPr>
                <w:sz w:val="18"/>
                <w:szCs w:val="18"/>
                <w:color w:val="auto"/>
              </w:rPr>
            </w:pPr>
          </w:p>
        </w:tc>
        <w:tc>
          <w:tcPr>
            <w:tcW w:w="64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0000FF"/>
                <w:w w:val="99"/>
              </w:rPr>
              <w:t>92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192</w:t>
            </w:r>
          </w:p>
        </w:tc>
        <w:tc>
          <w:tcPr>
            <w:tcW w:w="0" w:type="dxa"/>
            <w:vAlign w:val="bottom"/>
          </w:tcPr>
          <w:p>
            <w:pPr>
              <w:spacing w:after="0"/>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68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60" w:type="dxa"/>
            <w:vAlign w:val="bottom"/>
            <w:gridSpan w:val="1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197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197</w:t>
            </w:r>
          </w:p>
        </w:tc>
        <w:tc>
          <w:tcPr>
            <w:tcW w:w="0" w:type="dxa"/>
            <w:vAlign w:val="bottom"/>
          </w:tcPr>
          <w:p>
            <w:pPr>
              <w:spacing w:after="0"/>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6"/>
          </w:tcPr>
          <w:p>
            <w:pPr>
              <w:spacing w:after="0"/>
              <w:rPr>
                <w:sz w:val="18"/>
                <w:szCs w:val="18"/>
                <w:color w:val="auto"/>
              </w:rPr>
            </w:pPr>
          </w:p>
        </w:tc>
        <w:tc>
          <w:tcPr>
            <w:tcW w:w="5060" w:type="dxa"/>
            <w:vAlign w:val="bottom"/>
            <w:gridSpan w:val="8"/>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198</w:t>
            </w: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6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70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199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98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200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213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listing of certain abbreviations, acronyms, and other industry terminology that may be used throughout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Barrel or Bbl</w:t>
      </w:r>
      <w:r>
        <w:rPr>
          <w:rFonts w:ascii="Times New Roman" w:cs="Times New Roman" w:eastAsia="Times New Roman" w:hAnsi="Times New Roman"/>
          <w:sz w:val="18"/>
          <w:szCs w:val="18"/>
          <w:color w:val="auto"/>
        </w:rPr>
        <w:t>: One barrel of petroleum products that equals 42 U.S. gallons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Mbbls/d</w:t>
      </w:r>
      <w:r>
        <w:rPr>
          <w:rFonts w:ascii="Times New Roman" w:cs="Times New Roman" w:eastAsia="Times New Roman" w:hAnsi="Times New Roman"/>
          <w:sz w:val="18"/>
          <w:szCs w:val="18"/>
          <w:color w:val="auto"/>
        </w:rPr>
        <w:t>: One thousand barrels per day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Bcf </w:t>
      </w:r>
      <w:r>
        <w:rPr>
          <w:rFonts w:ascii="Times New Roman" w:cs="Times New Roman" w:eastAsia="Times New Roman" w:hAnsi="Times New Roman"/>
          <w:sz w:val="18"/>
          <w:szCs w:val="18"/>
          <w:color w:val="auto"/>
        </w:rPr>
        <w:t>: One billion cubic feet of natural gas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Bcf/d</w:t>
      </w:r>
      <w:r>
        <w:rPr>
          <w:rFonts w:ascii="Times New Roman" w:cs="Times New Roman" w:eastAsia="Times New Roman" w:hAnsi="Times New Roman"/>
          <w:sz w:val="18"/>
          <w:szCs w:val="18"/>
          <w:color w:val="auto"/>
        </w:rPr>
        <w:t>: One billion cubic feet of natural gas per day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MMcf/d</w:t>
      </w:r>
      <w:r>
        <w:rPr>
          <w:rFonts w:ascii="Times New Roman" w:cs="Times New Roman" w:eastAsia="Times New Roman" w:hAnsi="Times New Roman"/>
          <w:sz w:val="18"/>
          <w:szCs w:val="18"/>
          <w:color w:val="auto"/>
        </w:rPr>
        <w:t>: One million cubic feet of natural gas per day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British Thermal Unit (Btu)</w:t>
      </w:r>
      <w:r>
        <w:rPr>
          <w:rFonts w:ascii="Times New Roman" w:cs="Times New Roman" w:eastAsia="Times New Roman" w:hAnsi="Times New Roman"/>
          <w:sz w:val="18"/>
          <w:szCs w:val="18"/>
          <w:color w:val="auto"/>
        </w:rPr>
        <w:t>: A unit of energy needed to raise the temperature of one pound of water by one degree Fahrenheit</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MMBtu: </w:t>
      </w:r>
      <w:r>
        <w:rPr>
          <w:rFonts w:ascii="Times New Roman" w:cs="Times New Roman" w:eastAsia="Times New Roman" w:hAnsi="Times New Roman"/>
          <w:sz w:val="18"/>
          <w:szCs w:val="18"/>
          <w:color w:val="auto"/>
        </w:rPr>
        <w:t>One million British thermal units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Dekatherms (Dth)</w:t>
      </w:r>
      <w:r>
        <w:rPr>
          <w:rFonts w:ascii="Times New Roman" w:cs="Times New Roman" w:eastAsia="Times New Roman" w:hAnsi="Times New Roman"/>
          <w:sz w:val="18"/>
          <w:szCs w:val="18"/>
          <w:color w:val="auto"/>
        </w:rPr>
        <w:t>: A unit of energy equal to one million British thermal units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Mdth/d</w:t>
      </w:r>
      <w:r>
        <w:rPr>
          <w:rFonts w:ascii="Times New Roman" w:cs="Times New Roman" w:eastAsia="Times New Roman" w:hAnsi="Times New Roman"/>
          <w:sz w:val="18"/>
          <w:szCs w:val="18"/>
          <w:color w:val="auto"/>
        </w:rPr>
        <w:t>: One thousand dekatherms per day</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MMdth</w:t>
      </w:r>
      <w:r>
        <w:rPr>
          <w:rFonts w:ascii="Times New Roman" w:cs="Times New Roman" w:eastAsia="Times New Roman" w:hAnsi="Times New Roman"/>
          <w:sz w:val="18"/>
          <w:szCs w:val="18"/>
          <w:color w:val="auto"/>
        </w:rPr>
        <w:t>: One million dekatherms or approximately one trillion British thermal units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MMdth/d</w:t>
      </w:r>
      <w:r>
        <w:rPr>
          <w:rFonts w:ascii="Times New Roman" w:cs="Times New Roman" w:eastAsia="Times New Roman" w:hAnsi="Times New Roman"/>
          <w:sz w:val="18"/>
          <w:szCs w:val="18"/>
          <w:color w:val="auto"/>
        </w:rPr>
        <w:t>: One million dekatherms per day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and Regulatory:</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EPA: </w:t>
      </w:r>
      <w:r>
        <w:rPr>
          <w:rFonts w:ascii="Times New Roman" w:cs="Times New Roman" w:eastAsia="Times New Roman" w:hAnsi="Times New Roman"/>
          <w:sz w:val="18"/>
          <w:szCs w:val="18"/>
          <w:color w:val="auto"/>
        </w:rPr>
        <w:t>Environmental Protection Agency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Exchange Act, the: </w:t>
      </w:r>
      <w:r>
        <w:rPr>
          <w:rFonts w:ascii="Times New Roman" w:cs="Times New Roman" w:eastAsia="Times New Roman" w:hAnsi="Times New Roman"/>
          <w:sz w:val="18"/>
          <w:szCs w:val="18"/>
          <w:color w:val="auto"/>
        </w:rPr>
        <w:t>Securities and Exchange Act of 1934, as amended</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FERC: </w:t>
      </w:r>
      <w:r>
        <w:rPr>
          <w:rFonts w:ascii="Times New Roman" w:cs="Times New Roman" w:eastAsia="Times New Roman" w:hAnsi="Times New Roman"/>
          <w:sz w:val="18"/>
          <w:szCs w:val="18"/>
          <w:color w:val="auto"/>
        </w:rPr>
        <w:t>Federal Energy Regulatory Commission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Securities and Exchange Commission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Securities Act, the: </w:t>
      </w:r>
      <w:r>
        <w:rPr>
          <w:rFonts w:ascii="Times New Roman" w:cs="Times New Roman" w:eastAsia="Times New Roman" w:hAnsi="Times New Roman"/>
          <w:sz w:val="18"/>
          <w:szCs w:val="18"/>
          <w:color w:val="auto"/>
        </w:rPr>
        <w:t>Securities Act of 1933, as amended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References to numerical notes refer to the Combined Notes to Financial Statements</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Earnings before interest, taxes, depreciation, depletion, and amortization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Fractionation</w:t>
      </w:r>
      <w:r>
        <w:rPr>
          <w:rFonts w:ascii="Times New Roman" w:cs="Times New Roman" w:eastAsia="Times New Roman" w:hAnsi="Times New Roman"/>
          <w:sz w:val="18"/>
          <w:szCs w:val="18"/>
          <w:color w:val="auto"/>
        </w:rPr>
        <w:t>: The process by which a mixed stream of natural gas liquids is separated into constituent products, such as ethane, propane, and butane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U.S. generally accepted accounting principles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LNG: </w:t>
      </w:r>
      <w:r>
        <w:rPr>
          <w:rFonts w:ascii="Times New Roman" w:cs="Times New Roman" w:eastAsia="Times New Roman" w:hAnsi="Times New Roman"/>
          <w:sz w:val="18"/>
          <w:szCs w:val="18"/>
          <w:color w:val="auto"/>
        </w:rPr>
        <w:t>Liquefied natural gas; natural gas which has been liquefied at cryogenic temperatures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MVC: </w:t>
      </w:r>
      <w:r>
        <w:rPr>
          <w:rFonts w:ascii="Times New Roman" w:cs="Times New Roman" w:eastAsia="Times New Roman" w:hAnsi="Times New Roman"/>
          <w:sz w:val="18"/>
          <w:szCs w:val="18"/>
          <w:color w:val="auto"/>
        </w:rPr>
        <w:t>Minimum volume commitments</w:t>
      </w:r>
    </w:p>
    <w:p>
      <w:pPr>
        <w:spacing w:after="0" w:line="171" w:lineRule="exact"/>
        <w:rPr>
          <w:sz w:val="20"/>
          <w:szCs w:val="20"/>
          <w:color w:val="auto"/>
        </w:rPr>
      </w:pPr>
    </w:p>
    <w:p>
      <w:pPr>
        <w:ind w:left="66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NGLs: </w:t>
      </w:r>
      <w:r>
        <w:rPr>
          <w:rFonts w:ascii="Times New Roman" w:cs="Times New Roman" w:eastAsia="Times New Roman" w:hAnsi="Times New Roman"/>
          <w:sz w:val="18"/>
          <w:szCs w:val="18"/>
          <w:color w:val="auto"/>
        </w:rPr>
        <w:t>Natural gas liquids; natural gas liquids result from natural gas processing and crude oil refining and are used as petrochemical feedstocks,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heating fuels, and gasoline additives, among other applications.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NGL margins</w:t>
      </w:r>
      <w:r>
        <w:rPr>
          <w:rFonts w:ascii="Times New Roman" w:cs="Times New Roman" w:eastAsia="Times New Roman" w:hAnsi="Times New Roman"/>
          <w:sz w:val="18"/>
          <w:szCs w:val="18"/>
          <w:color w:val="auto"/>
        </w:rPr>
        <w:t>: NGL revenues less Btu replacement cost, plant fuel, transportation, and fractionation</w:t>
      </w:r>
    </w:p>
    <w:p>
      <w:pPr>
        <w:spacing w:after="0" w:line="171" w:lineRule="exact"/>
        <w:rPr>
          <w:sz w:val="20"/>
          <w:szCs w:val="20"/>
          <w:color w:val="auto"/>
        </w:rPr>
      </w:pPr>
    </w:p>
    <w:p>
      <w:pPr>
        <w:ind w:left="66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Registrants</w:t>
      </w:r>
      <w:r>
        <w:rPr>
          <w:rFonts w:ascii="Times New Roman" w:cs="Times New Roman" w:eastAsia="Times New Roman" w:hAnsi="Times New Roman"/>
          <w:sz w:val="18"/>
          <w:szCs w:val="18"/>
          <w:color w:val="auto"/>
        </w:rPr>
        <w:t>: The Williams Companies, Inc. (Williams), and Williams’ wholly owned subsidiaries Transcontinental Gas Pipe Line Company,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(Transco) and Northwest Pipeline LLC (NWP) are each individually referred to as a Registrant and collectively as the Registrants.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38" w:lineRule="exact"/>
        <w:rPr>
          <w:sz w:val="20"/>
          <w:szCs w:val="20"/>
          <w:color w:val="auto"/>
        </w:rPr>
      </w:pPr>
    </w:p>
    <w:p>
      <w:pPr>
        <w:jc w:val="both"/>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Appalachia Midstream Investments: </w:t>
      </w:r>
      <w:r>
        <w:rPr>
          <w:rFonts w:ascii="Times New Roman" w:cs="Times New Roman" w:eastAsia="Times New Roman" w:hAnsi="Times New Roman"/>
          <w:sz w:val="18"/>
          <w:szCs w:val="18"/>
          <w:color w:val="auto"/>
        </w:rPr>
        <w:t>Williams’ equity-method investments with an approximate average 66 percent interest in multiple gas gathering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in the Marcellus Shale region</w:t>
      </w:r>
    </w:p>
    <w:p>
      <w:pPr>
        <w:spacing w:after="0" w:line="104" w:lineRule="exact"/>
        <w:rPr>
          <w:sz w:val="20"/>
          <w:szCs w:val="20"/>
          <w:color w:val="auto"/>
        </w:rPr>
      </w:pPr>
    </w:p>
    <w:p>
      <w:pPr>
        <w:jc w:val="both"/>
        <w:ind w:left="320" w:hanging="3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Crowheart Acquisition: </w:t>
      </w:r>
      <w:r>
        <w:rPr>
          <w:rFonts w:ascii="Times New Roman" w:cs="Times New Roman" w:eastAsia="Times New Roman" w:hAnsi="Times New Roman"/>
          <w:sz w:val="18"/>
          <w:szCs w:val="18"/>
          <w:color w:val="auto"/>
        </w:rPr>
        <w:t>On November 1, 2024, Williams closed on the acquisition of Crowheart Energy, LLC, resulting in more than a 90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interest in certain crude oil and natural gas properties in the Wamsutter basin in Wyoming. Prior to this acquisition, Williams held a 75 percent undivided interest in each well’s working interest.</w:t>
      </w:r>
    </w:p>
    <w:p>
      <w:pPr>
        <w:spacing w:after="0" w:line="119" w:lineRule="exact"/>
        <w:rPr>
          <w:sz w:val="20"/>
          <w:szCs w:val="20"/>
          <w:color w:val="auto"/>
        </w:rPr>
      </w:pPr>
    </w:p>
    <w:p>
      <w:pPr>
        <w:jc w:val="both"/>
        <w:ind w:left="320" w:hanging="3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Discovery Acquisition: </w:t>
      </w:r>
      <w:r>
        <w:rPr>
          <w:rFonts w:ascii="Times New Roman" w:cs="Times New Roman" w:eastAsia="Times New Roman" w:hAnsi="Times New Roman"/>
          <w:sz w:val="18"/>
          <w:szCs w:val="18"/>
          <w:color w:val="auto"/>
        </w:rPr>
        <w:t>On August 1, 2024, Williams closed on the acquisition of the remaining 40 percent interest in Discovery Producer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(Discovery) which operates a natural gas gathering and transportation system in the Gulf of America and processing and fractionation facilities in Louisiana, along with certain other assets.</w:t>
      </w:r>
    </w:p>
    <w:p>
      <w:pPr>
        <w:spacing w:after="0" w:line="160" w:lineRule="exact"/>
        <w:rPr>
          <w:sz w:val="20"/>
          <w:szCs w:val="20"/>
          <w:color w:val="auto"/>
        </w:rPr>
      </w:pPr>
    </w:p>
    <w:p>
      <w:pPr>
        <w:jc w:val="both"/>
        <w:ind w:left="320" w:hanging="3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DJ Basin Acquisitions: </w:t>
      </w:r>
      <w:r>
        <w:rPr>
          <w:rFonts w:ascii="Times New Roman" w:cs="Times New Roman" w:eastAsia="Times New Roman" w:hAnsi="Times New Roman"/>
          <w:sz w:val="18"/>
          <w:szCs w:val="18"/>
          <w:color w:val="auto"/>
        </w:rPr>
        <w:t>On November 30, 2023, Williams closed on the acquisition of 100 percent of Cureton Front Range, LLC (Cureton) (Cureton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and also closed on the acquisition of the remaining 50 percent interest in Rocky Mountain Midstream Holdings LLC (RMM) (RMM Acquisition), both of which operate midstream assets in the Denver-Julesberg (DJ) Basin.</w:t>
      </w:r>
    </w:p>
    <w:p>
      <w:pPr>
        <w:spacing w:after="0" w:line="119" w:lineRule="exact"/>
        <w:rPr>
          <w:sz w:val="20"/>
          <w:szCs w:val="20"/>
          <w:color w:val="auto"/>
        </w:rPr>
      </w:pPr>
    </w:p>
    <w:p>
      <w:pPr>
        <w:jc w:val="both"/>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Gulf Coast Storage Acquisition: </w:t>
      </w:r>
      <w:r>
        <w:rPr>
          <w:rFonts w:ascii="Times New Roman" w:cs="Times New Roman" w:eastAsia="Times New Roman" w:hAnsi="Times New Roman"/>
          <w:sz w:val="18"/>
          <w:szCs w:val="18"/>
          <w:color w:val="auto"/>
        </w:rPr>
        <w:t>On January 3, 2024, Williams closed on the acquisition of 100 percent of both Hartree Cardinal Gas, LLC and Hartree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Gas Storage, LLC (collectively, “Hartree”), which own natural gas storage facilities and pipelines in Louisiana and Mississippi.</w:t>
      </w:r>
    </w:p>
    <w:p>
      <w:pPr>
        <w:spacing w:after="0" w:line="104" w:lineRule="exact"/>
        <w:rPr>
          <w:sz w:val="20"/>
          <w:szCs w:val="20"/>
          <w:color w:val="auto"/>
        </w:rPr>
      </w:pPr>
    </w:p>
    <w:p>
      <w:pPr>
        <w:jc w:val="both"/>
        <w:ind w:left="320" w:right="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MountainWest Acquisition: </w:t>
      </w:r>
      <w:r>
        <w:rPr>
          <w:rFonts w:ascii="Times New Roman" w:cs="Times New Roman" w:eastAsia="Times New Roman" w:hAnsi="Times New Roman"/>
          <w:sz w:val="18"/>
          <w:szCs w:val="18"/>
          <w:color w:val="auto"/>
        </w:rPr>
        <w:t>On February 14, 2023, Williams closed on the acquisition of 100 percent of MountainWest Pipelines Holding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(MountainWest), which includes FERC-regulated interstate natural gas pipeline systems and natural gas storage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report includes information for multiple registrants, specifically The Williams Companies, Inc. (Williams), as well as Transcontinental Gas Pipe Line Company, LLC (Transco) and Northwest Pipeline LLC (NWP) both of which are wholly owned subsidiaries of Williams (collectively, the Registrants). References to subsidiaries by name, including equity-method investees, Transco, and NWP, refer exclusively to those businesses and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is an energy company committed to being the leader in providing infrastructure that safely delivers natural gas products to reliably fuel the clean energy economy. Williams has operations in 11 supply areas that provide natural gas gathering and processing (G&amp;P), transmission and storage services; NGL fractionation, transportation, and storage services; and marketing services to approximately 800 customers. Williams owns an interest in and operates over 32,000 miles of pipelines in 24 states and in the Gulf of America, 35 natural gas processing facilities, 9 NGL fractionation facilities, approximately 23 million barrels of NGL storage capacity, and 423 Bcf of natural gas storage capacity, and delivers natural gas that is used every day for clean-power generation, heating, and industrial use.</w:t>
      </w:r>
    </w:p>
    <w:p>
      <w:pPr>
        <w:spacing w:after="0" w:line="1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was founded in 1908, originally incorporated under the laws of the state of Nevada in 1949 and reincorporated under the laws of the state of Delaware in 1987. Its common stock trades on the New York Stock Exchange under the symbol “WMB.” Its operations are located in the United States. Williams’ headquarters are located in Tulsa, Oklahoma, with other major offices in Houston, Texas; Pittsburgh, Pennsylvania; and Salt Lake City, Utah.</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owns and operates an approximately 9,600-mile natural gas pipeline system extending from Texas, Louisiana, Mississippi and the Gulf of America through Alabama, Georgia, South Carolina, North Carolina, Virginia, Maryland, Delaware, Pennsylvania and New Jersey to the New York City metropolitan area. The system serves customers in Texas and the 12 southeast and Atlantic seaboard states mentioned above, including major metropolitan areas in Georgia, Washington D.C., Maryland, North Carolina, New York, New Jersey, and Pennsylvania. Transco’s principal business is the interstate transportation of natural gas, which is regulated by the FERC.</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NWP owns and operates an approximately 3,900-mile natural gas pipeline system, extending from the San Juan basin in northwestern New Mexico and southwestern Colorado through Colorado, Utah, Wyoming, Idaho, Oregon, and Washington to a point on the Canadian border near Sumas, Washington. The system serves customers in Washington, Oregon, Idaho, Wyoming, Nevada, Utah, Colorado, New Mexico, California, and Arizona, either directly or indirectly through interconnections with other pipelines. NWP’s principal business is the interstate transportation of natural gas, which is regulated by FERC.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954405</wp:posOffset>
            </wp:positionV>
            <wp:extent cx="5349240" cy="3008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Assets, Customers, and Contracts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variables for Williams’ businesses will continue to be:</w:t>
      </w:r>
    </w:p>
    <w:p>
      <w:pPr>
        <w:spacing w:after="0" w:line="171"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Williams’ construction and expansion efforts, including delays or denials of necessary permits and opposition to hydrocarbon-based energy development;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Producer drilling activities impacting natural gas supplies supporting Williams’ gathering and processing volumes;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attracting customers by continuing to provide reliable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associated with additional infrastructure either completed or currently under construction;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impacting Williams’ commodity-based activities;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Disciplined growth in Williams’ service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3763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Gathering and Processing Assets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gathering, treating, and processing operations are presented within the Transmission, Power &amp; Gulf; Northeast G&amp;P; and West reporting segments, as described under the heading “Business Segments.”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gathering systems receive natural gas from producers’ crude oil and natural gas wells and gather these volumes to gas processing, treating, or redelivery facilities. Typically, natural gas, in its raw form, is not acceptable for transportation in major interstate natural gas pipelines or for commercial use as a fuel. Williams’ treating facilities remove water vapor, carbon dioxide, and other contaminants, and collect condensate. Williams is generally paid a fee based on the volume of natural gas gathered and/or treated, generally measured in the Btu heating value.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natural gas contains various amounts of NGLs, which generally have a higher value when separated from the natural gas stream. Williams’ processing plants extract the NGLs, which include ethane, primarily used in the petrochemical industry; propane, used for heating, fuel, and also in the petrochemical industry; and, normal butane, isobutane, and natural gasoline, primarily used by the refining industry.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gas processing services generate revenues primarily from the following types of contracts: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Fee-based: A cash fee is received based on the volume of natural gas processed, generally measured in the Btu heating value. A portion of Williams’ fee-based processing revenue includes a share of the margins on the NGLs produced. For the year ended December 31, 2025, approximately 93 percent of NGL production volumes were under fee-based contracts.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commodity-based: Gas is also processed under primarily two types of commodity-based contracts, keep-whole and percent-of-liquids, where consideration for services is received in the form of NGLs. For 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14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keep-whole arrangement Williams replaces the Btu content of the retained NGLs with natural gas purchases, also known as shrink replacement gas. For a percent-of-liquids arrangement, Williams delivers an agreed-upon percentage of the extracted NGLs and retains the remainder. Retained NGLs, referred to as equity NGL production, are then sold. Per-unit NGL margins are calculated based on sales of these equity volumes at the processing plants. For the year ended December 31, 2025, approximately 7 percent of NGL production volumes were under noncash commodity-based contracts.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Williams’ gathering and processing agreements are long-term agreements, with terms ranging from month-to-month to the life of the producing lease. Williams has certain gas gathering and processing agreements with MVC, whereby the customer is obligated to pay a contractually determined fee based on any shortfall between the actual gathered and processed volumes and the MVC for a stated period.</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Demand for gas gathering and processing services is dependent on producers’ drilling activities, which is impacted by the strength of the economy, commodity prices, and the resulting demand for natural gas by manufacturing and industrial companies and consumers. Williams’ gathering, treating, and processing businesses do not have material direct exposure to crude oil prices. Williams’ on-shore natural gas gathering and processing businesses are substantially focused on gas-directed drilling basins rather than crude oil, with a broad diversity of basins and customers served. Declines in crude oil drilling would be expected to result in less associated natural gas production, which could drive more demand for natural gas produced from gas-directed basins served.</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2025, Williams’ facilities gathered and processed gas for approximately 253 customers. The top ten customers accounted for approximately 55 percent of gathering and processing fee revenues and NGL margins from noncash commodity-based agreements. Williams believes counterparty credit concerns in its gathering and processing businesses are significantly mitigated by the physical nature of Williams’ services, where gathering occurs at the wellhead and therefore is critical to a producer’s ability to move product to market.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Natural Gas Pipeline Assets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interstate natural gas pipelines, which are presented in the Transmission, Power &amp; Gulf segment as described under the heading “Business Segments,” are subject to regulation by the FERC and as such, rates and charges for the transportation of natural gas in interstate commerce are subject to regulation. The rates are established primarily through the FERC’s ratemaking process, but rates may also be negotiated with customers pursuant to the terms of tariffs and FERC policy.</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interstate natural gas pipelines transport and store natural gas for a broad mix of customers, including local natural gas distribution companies, public utilities, municipalities, direct industrial users, electric power generators, and natural gas marketers and producers. Most of Williams’ interstate natural gas transmission businesses are fully contracted under long-term firm reservation contracts with high credit quality customers. These contracts have various expiration dates and account for the major portion of these regulated businesses. Additionally, Williams offers storage services and interruptible transportation services under shorter-term agreements. The top ten customers of the interstate natural gas pipelines in 2025 accounted for approximately 44 percent of Williams’ regulated interstate natural gas transportation and storage revenues.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Standalone, Market-Based Rate Natural Gas Storage Assets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market-based rate natural gas storage assets, which are separate from its regulated interstate natural gas transportation assets, are presented in the Transmission, Power &amp; Gulf segment as described under the heading “Business Segments” and include Williams’ North Texas storage assets and Williams’ Gulf Coast storage assets. These natural gas storage assets provide natural gas storage services in interstate commerce under the jurisdiction of the FERC pursuant to the Natural Gas Act or Section 311 of the Natural Gas Policy Act. Williams is authorized to charge and collect market-based rates for all of the services that these natural gas storage assets provide.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stores natural gas for a broad mix of customers, including local natural gas distribution companies, public utilities, municipalities, direct industrial users, electric power generators, and natural gas marketers and producers. Most of these natural gas storage businesses are fully contracted under long-term firm reservation contracts with high credit quality customers. The contracts have various expiration dates and account for the major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 of the entities’ businesses. The three largest customers of this business in 2025 accounted for approximately 20 percent of its total operating revenues.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and NGL Marketing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natural gas and NGL marketing services are presented primarily within its Gas &amp; NGL Marketing Services segment. Williams markets natural gas and NGL products to a wide range of users in the energy and petrochemical industries. In 2025, the three largest natural gas marketing customers accounted for approximately 8 percent of Williams’ gross natural gas marketing sales, and the three largest NGL marketing customers accounted for approximately 42 percent of Williams’ NGL marketing sales.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gas marketing business markets natural gas and provides natural gas asset management and wholesale marketing, trading, storage, and transportation for a diverse set of natural gas and electric utilities, municipalities, power generators, and producers, including for Williams’ upstream properties. Additionally, Williams’ gas marketing business moves and optimizes natural gas to markets through transportation and storage agreements on strategically positioned assets. Williams’ gas and NGL marketing services provide customers with access to diverse sources of supply and to various natural gas demand markets, including the southeastern and Gulf Coast regions which are the fastest growing natural gas demand regions in the United States.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purchases natural gas for storage when the current market price paid to buy and transport natural gas plus the cost to store and finance the natural gas is less than an estimated, forward market price that can be received in the future, resulting in positive net product sales. Commodity-based exchange-traded futures contracts and over-the-counter (OTC) contracts are used to sell natural gas at that future price to substantially protect the natural gas revenues that will ultimately be realized when the stored natural gas is sold. Additionally, Williams enters into transactions to secure transportation capacity between delivery points in order to serve Williams’ customers and various markets. Commodity-based exchange-traded futures contracts and OTC contracts are used to capture the price differential or spread between the locations served by the capacity in order to substantially protect the natural gas revenues that will ultimately be realized when the physical flow of natural gas between receipt and delivery points occurs.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Monthly demand charges incurred for the contracted storage and transportation capacity and payments associated with asset management agreements are substantially indirectly reimbursed by customers. As Williams is acting as an agent, natural gas marketing revenues are presented net of the related costs of those activities. In addition, all of Williams’ natural gas marketing derivative activities qualify as held for trading purposes, which requires net presentation in Williams Consolidated Statement of Income.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NGL marketing business transports and markets equity NGLs from the production at Williams’ processing plants, NGLs from the production at Williams’ upstream properties, and also NGLs on behalf of third-party NGL producers, including some of our fee-based processing customers. The NGL marketing business bears the risk of price changes in these NGL volumes while they are being transported to final sales delivery points. In order to meet sales contract obligations, Williams may purchase products in the spot market for resale.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is exposed to commodity price risk. To manage this volatility, various contracts are used in the marketing and trading activities that generally meet the definition of derivatives. Williams enters into commodity-related derivatives to hedge exposures to natural gas and NGLs and retain exposure to price changes that can, in a volatile energy market, be material and can adversely affect results of operations.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experiences significant earnings volatility from the fair value accounting required for the derivatives used to hedge a portion of the economic value of the underlying transportation and storage portfolio as well as upstream related production. However, the unrealized fair value measurement gains and losses on the derivatives are generally offset by valuation changes in the economic value of the underlying production or transportation and storage contracts, which are not recognized until the underlying transaction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Consistent with the manner in which Williams’ chief operating decision maker (CODM) evaluates performance and allocates resources, Williams’ operations are conducted, managed, and presented in Part I of this Annual Report within the following reportable segments: Transmission, Power &amp; Gulf; Northeast G&amp;P; West; and Gas &amp; NGL Marketing Services. All remaining business activities, including upstream operations and corporate activities, are included in Other. See Part II, Item 8. Financial Statements and Supplementary Data in Note 1 – Description of Business, Basis of Presentation, and Summary of Significant Accounting Policies for a full description of each segment.</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Detailed discussion of each of our reportable segments follows. For a discussion of ongoing expansion projects, see Part II, Item 7.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 Power &amp; Gulf</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Interstate Natural Gas Pipeline Assets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Transco</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Transco’s system had a design capacity totaling approximately 20.6 MMdth/d. Transco’s system includes 62 compressor stations. Compression facilities at sea level-rated capacity total approximately 2.7 million horsepower. During 2025, Transco placed the following pipeline expansion projects in service: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Expansion Project:</w:t>
            </w: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Firm Transportation Capacity (MMdth/d)</w:t>
            </w:r>
          </w:p>
        </w:tc>
      </w:tr>
      <w:tr>
        <w:trPr>
          <w:trHeight w:val="213"/>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Commonwealth Energy Connector</w:t>
            </w:r>
          </w:p>
        </w:tc>
        <w:tc>
          <w:tcPr>
            <w:tcW w:w="4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r>
      <w:tr>
        <w:trPr>
          <w:trHeight w:val="213"/>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Alabama Georgia Connector</w:t>
            </w:r>
          </w:p>
        </w:tc>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r>
      <w:tr>
        <w:trPr>
          <w:trHeight w:val="219"/>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Texas to Louisiana Energy Pathway</w:t>
            </w:r>
          </w:p>
        </w:tc>
        <w:tc>
          <w:tcPr>
            <w:tcW w:w="4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r>
      <w:tr>
        <w:trPr>
          <w:trHeight w:val="210"/>
        </w:trPr>
        <w:tc>
          <w:tcPr>
            <w:tcW w:w="6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Southeast Energy Connector</w:t>
            </w:r>
          </w:p>
        </w:tc>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r>
    </w:tbl>
    <w:p>
      <w:pPr>
        <w:spacing w:after="0" w:line="24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has natural gas storage capacity in four underground storage fields located on or near its pipeline system or market areas and operates two of these storage fields. Transco also has storage capacity in an LNG storage facility that it owns and operates. The total usable gas storage capacity available to Transco and its customers in such underground storage fields and LNG storage facility and through storage service contracts is approximately 188 Bcf of natural gas. Storage capacity permits Transco’s customers to inject gas into storage during the summer and off-peak periods for delivery during peak winter demand periods.</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Transco’s three largest customers in 2025 accounted for approximately 22 percent of Transco’s total operating revenues. Transco’s firm transportation agreements are generally long-term agreements with various expiration dates and account for the major portion of its business.</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NWP</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NWP’s system had a design capacity totaling approximately 3.8 MMdth/d. NWP’s system includes 42 transmission compressor stations having a combined sea level-rated capacity of approximately 476,000 horsepower.</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NWP owns a one-third undivided interest in the Jackson Prairie underground storage facility in Washington. NWP also owns and operates an LNG storage facility in Washington. These storage facilities have an aggregate working natural gas storage capacity of approximately 10 Bcf. NWP also contracts for natural gas storage services for approximately 3 Bcf at the Clay Basin underground storage reservoir with a Williams’ affiliate, MountainWest. These natural gas storage facilities, which are substantially utilized for third-party natural gas, enable NWP to balance daily receipts and deliveries and provide storage services to customers.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NWP’s three largest customers in 2025 accounted for approximately 52 percent of NWP total operating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MountainWest</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owns 100 percent of MountainWest Pipelines Holding Company. MountainWest is an interstate natural gas transmission company that owns and operates an approximately 2,200-mile natural gas pipeline system which is regulated by the FERC. At December 31, 2025, MountainWest’s system has a design capacity totaling 8.4 MMdth/d. During 2025, MountainWest placed the Overthrust Westbound Compression expansion project into service increasing firm transportation capacity by approximately 0.3 MMdth/d to its pipeline. The system is comprised of MountainWest Pipeline, LLC; MountainWest Overthrust Pipeline, LLC; a 50 percent equity-method interest in White River Hub, LLC; and 64 Bcf of natural gas storage capacity, including the Clay Basin underground storage reservoir in Utah. MountainWest is located in the Rocky Mountains near six producing areas, including the Greater Green River basin in Wyoming, the Uinta basin in Utah, and the Piceance basin in Colorado.</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Investments in Louisiana LNG and Driftwood Pipeline Projects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2025, Williams closed on various agreements with the same counterparty to acquire a 10 percent equity-method investment in Louisiana LNG LLC (Louisiana LNG), which is developing a fully permitted LNG export facility, and an 80 percent interest in Driftwood Pipeline LLC (Driftwood Pipeline), which is constructing a fully permitted greenfield pipeline, Line 200, connecting to multiple other pipelines, including Transco and Louisiana Energy Gateway, to supply the LNG facility. Williams will be the operator of the pipeline, and a third-party will operate the LNG facility. Williams will also manage the gas supply for the LNG facility and purchase approximately 10 percent of the LNG produced. Both investments will require additional capital to fund further construction. These projects are expected to be placed into service by 2029.</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Gulfstream Equity-Method Investment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owns a 50 percent equity-method investment in Gulfstream Natural Gas System, L.L.C. (Gulfstream), a 745-mile interstate natural gas pipeline system extending from the Mobile Bay area in Alabama to markets in Florida, which has a capacity to transport 1.4 Bcf/d. Operating responsibilities for Gulfstream are shared with the other 50 percent owner.</w:t>
      </w:r>
    </w:p>
    <w:p>
      <w:pPr>
        <w:spacing w:after="0" w:line="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Standalone, Market-Based Rate Natural Gas Storage Assets</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Gulf Coast Storage Assets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Gulf Coast Storage includes a strategic portfolio of approximately 230 miles of natural gas transmission pipelines and six underground storage facilities with a capacity of approximately 120 Bcf of natural gas storage across Louisiana and Mississippi and direct access to LNG export facilities and interstate pipelines. These assets expand Williams’ natural gas storage footprint in the Gulf Coast region.</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NorTex</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NorTex includes approximately 94 miles of natural gas transmission pipelines and 37 Bcf of natural gas storage in the Dallas-Fort Worth market. In addition to providing gas supply to power generation in north Texas, these assets also provide storage services for Permian gas directed toward growing Gulf Coast LNG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Natural Gas Gathering and Processing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significant owned and operated gathering and processing assets of this segment:</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2660" w:type="dxa"/>
            <w:vAlign w:val="bottom"/>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Offshore Natural Gas Gathering Pipelines</w:t>
            </w:r>
          </w:p>
        </w:tc>
        <w:tc>
          <w:tcPr>
            <w:tcW w:w="2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2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Pipeline Miles</w:t>
            </w:r>
          </w:p>
        </w:tc>
        <w:tc>
          <w:tcPr>
            <w:tcW w:w="118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Inlet Capacity</w:t>
            </w:r>
          </w:p>
        </w:tc>
        <w:tc>
          <w:tcPr>
            <w:tcW w:w="120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27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(Bcf/d)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Canyon Chief, including Blind</w:t>
            </w:r>
          </w:p>
        </w:tc>
        <w:tc>
          <w:tcPr>
            <w:tcW w:w="2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156</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4"/>
                <w:szCs w:val="14"/>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3"/>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Faith and Gulfstar extensions</w:t>
            </w:r>
          </w:p>
        </w:tc>
        <w:tc>
          <w:tcPr>
            <w:tcW w:w="27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Norphlet</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3"/>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Eastern Gulf</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Offshore shelf and other</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Seahawk</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3"/>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Perdido Norte</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Whale (1)</w:t>
            </w:r>
          </w:p>
        </w:tc>
        <w:tc>
          <w:tcPr>
            <w:tcW w:w="2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Deepwater Gulf of America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0"/>
        </w:trPr>
        <w:tc>
          <w:tcPr>
            <w:tcW w:w="2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Discovery</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Central Gulf of America</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594</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Central Gulf of America</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i w:val="1"/>
          <w:iCs w:val="1"/>
          <w:color w:val="auto"/>
        </w:rPr>
        <w:t>Natural Gas Processing Facilities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680" w:type="dxa"/>
            <w:vAlign w:val="bottom"/>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Inlet Capacity</w:t>
            </w:r>
          </w:p>
        </w:tc>
        <w:tc>
          <w:tcPr>
            <w:tcW w:w="1180" w:type="dxa"/>
            <w:vAlign w:val="bottom"/>
            <w:tcBorders>
              <w:top w:val="single" w:sz="8" w:color="auto"/>
            </w:tcBorders>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NGL Production</w:t>
            </w:r>
          </w:p>
        </w:tc>
        <w:tc>
          <w:tcPr>
            <w:tcW w:w="118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4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180" w:type="dxa"/>
            <w:vAlign w:val="bottom"/>
            <w:gridSpan w:val="2"/>
            <w:vMerge w:val="continue"/>
          </w:tcPr>
          <w:p>
            <w:pPr>
              <w:spacing w:after="0"/>
              <w:rPr>
                <w:sz w:val="12"/>
                <w:szCs w:val="12"/>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2680" w:type="dxa"/>
            <w:vAlign w:val="bottom"/>
            <w:gridSpan w:val="2"/>
            <w:vMerge w:val="continue"/>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(Bcf/d)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(Mbbls/d)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Markham</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Markham, TX</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Mobile Bay</w:t>
            </w:r>
          </w:p>
        </w:tc>
        <w:tc>
          <w:tcPr>
            <w:tcW w:w="2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Coden, AL</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0"/>
        </w:trPr>
        <w:tc>
          <w:tcPr>
            <w:tcW w:w="2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Discovery</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Larose, LA</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Central Gulf of America</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the Whale expansion project that went into service in January 2025.</w:t>
      </w:r>
    </w:p>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Crude Oil Transportation and Production Handling Assets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Williams’ natural gas assets, Williams owns and operates five deepwater crude oil pipelines and owns and operates production platforms serving the deepwater in the Gulf of America. Williams’ offshore floating production platforms provide centralized services to deepwater producers such as compression, separation, production handling, water removal, and pipeline landings. Williams’ crude oil transportation operations earn revenues primarily from a combination of fixed-monthly fees, contractual fixed or variable fees applied to production volumes, and contributions in aid of construction (CIAC) arrangements. Generally, fixed-monthly fees associated with production handling and export revenues are recognized on a units-of-production basis utilizing either contractually determined maximum daily quantities or expected remaining production. CIAC arrangements are recognized on a units of production basis, utilizing expected remaining production. Williams’ crude oil transportation business is supported mostly by major oil producers with long-cycle perspectives.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significant operated crude oil transportation pipelines and production handling platforms of this segment: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i w:val="1"/>
                <w:iCs w:val="1"/>
                <w:color w:val="auto"/>
              </w:rPr>
              <w:t>Crude Oil Pipelines</w:t>
            </w:r>
          </w:p>
        </w:tc>
        <w:tc>
          <w:tcPr>
            <w:tcW w:w="2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Pipeline Miles</w:t>
            </w:r>
          </w:p>
        </w:tc>
        <w:tc>
          <w:tcPr>
            <w:tcW w:w="13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760" w:type="dxa"/>
            <w:vAlign w:val="bottom"/>
            <w:gridSpan w:val="3"/>
          </w:tcPr>
          <w:p>
            <w:pPr>
              <w:jc w:val="center"/>
              <w:ind w:right="600"/>
              <w:spacing w:after="0" w:line="132"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560" w:type="dxa"/>
            <w:vAlign w:val="bottom"/>
            <w:vMerge w:val="restart"/>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(Mbbls/d)</w:t>
            </w:r>
          </w:p>
        </w:tc>
        <w:tc>
          <w:tcPr>
            <w:tcW w:w="176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Mountaineer, including Blind Faith and Gulfstar extensions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w:t>
            </w: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150</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Pr>
          <w:p>
            <w:pPr>
              <w:jc w:val="center"/>
              <w:ind w:right="321"/>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BANJO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ind w:right="321"/>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3"/>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Alpine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w:t>
            </w: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Pr>
          <w:p>
            <w:pPr>
              <w:jc w:val="center"/>
              <w:ind w:right="321"/>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Perdido Norte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150</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560" w:type="dxa"/>
            <w:vAlign w:val="bottom"/>
            <w:shd w:val="clear" w:color="auto" w:fill="CCEEFF"/>
          </w:tcPr>
          <w:p>
            <w:pPr>
              <w:jc w:val="center"/>
              <w:ind w:right="321"/>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r>
        <w:trPr>
          <w:trHeight w:val="210"/>
        </w:trPr>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Whale (1)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124</w:t>
            </w: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140</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Pr>
          <w:p>
            <w:pPr>
              <w:jc w:val="center"/>
              <w:ind w:right="321"/>
              <w:spacing w:after="0"/>
              <w:rPr>
                <w:sz w:val="20"/>
                <w:szCs w:val="20"/>
                <w:color w:val="auto"/>
              </w:rPr>
            </w:pPr>
            <w:r>
              <w:rPr>
                <w:rFonts w:ascii="Times New Roman" w:cs="Times New Roman" w:eastAsia="Times New Roman" w:hAnsi="Times New Roman"/>
                <w:sz w:val="16"/>
                <w:szCs w:val="16"/>
                <w:color w:val="auto"/>
              </w:rPr>
              <w:t>Western Gulf of America</w:t>
            </w:r>
          </w:p>
        </w:tc>
        <w:tc>
          <w:tcPr>
            <w:tcW w:w="0" w:type="dxa"/>
            <w:vAlign w:val="bottom"/>
          </w:tcPr>
          <w:p>
            <w:pPr>
              <w:spacing w:after="0"/>
              <w:rPr>
                <w:sz w:val="1"/>
                <w:szCs w:val="1"/>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Production Handling Platforms</w:t>
            </w:r>
          </w:p>
        </w:tc>
        <w:tc>
          <w:tcPr>
            <w:tcW w:w="2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Gas Inlet</w:t>
            </w:r>
          </w:p>
        </w:tc>
        <w:tc>
          <w:tcPr>
            <w:tcW w:w="1020" w:type="dxa"/>
            <w:vAlign w:val="bottom"/>
          </w:tcPr>
          <w:p>
            <w:pPr>
              <w:jc w:val="center"/>
              <w:ind w:left="44"/>
              <w:spacing w:after="0" w:line="132" w:lineRule="exact"/>
              <w:rPr>
                <w:sz w:val="20"/>
                <w:szCs w:val="20"/>
                <w:color w:val="auto"/>
              </w:rPr>
            </w:pPr>
            <w:r>
              <w:rPr>
                <w:rFonts w:ascii="Times New Roman" w:cs="Times New Roman" w:eastAsia="Times New Roman" w:hAnsi="Times New Roman"/>
                <w:sz w:val="14"/>
                <w:szCs w:val="14"/>
                <w:b w:val="1"/>
                <w:bCs w:val="1"/>
                <w:color w:val="auto"/>
              </w:rPr>
              <w:t>Crude/NGL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20" w:type="dxa"/>
            <w:vAlign w:val="bottom"/>
          </w:tcPr>
          <w:p>
            <w:pPr>
              <w:jc w:val="center"/>
              <w:ind w:left="44"/>
              <w:spacing w:after="0" w:line="149" w:lineRule="exact"/>
              <w:rPr>
                <w:sz w:val="20"/>
                <w:szCs w:val="20"/>
                <w:color w:val="auto"/>
              </w:rPr>
            </w:pPr>
            <w:r>
              <w:rPr>
                <w:rFonts w:ascii="Times New Roman" w:cs="Times New Roman" w:eastAsia="Times New Roman" w:hAnsi="Times New Roman"/>
                <w:sz w:val="14"/>
                <w:szCs w:val="14"/>
                <w:b w:val="1"/>
                <w:bCs w:val="1"/>
                <w:color w:val="auto"/>
              </w:rPr>
              <w:t>Handling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6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020" w:type="dxa"/>
            <w:vAlign w:val="bottom"/>
          </w:tcPr>
          <w:p>
            <w:pPr>
              <w:jc w:val="center"/>
              <w:ind w:left="64"/>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2360" w:type="dxa"/>
            <w:vAlign w:val="bottom"/>
            <w:vMerge w:val="restart"/>
          </w:tcPr>
          <w:p>
            <w:pPr>
              <w:jc w:val="center"/>
              <w:ind w:right="521"/>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(MMcf/d)</w:t>
            </w:r>
          </w:p>
        </w:tc>
        <w:tc>
          <w:tcPr>
            <w:tcW w:w="102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(Mbbls/d)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Devils Tower</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110</w:t>
            </w:r>
          </w:p>
        </w:tc>
        <w:tc>
          <w:tcPr>
            <w:tcW w:w="200" w:type="dxa"/>
            <w:vAlign w:val="bottom"/>
          </w:tcPr>
          <w:p>
            <w:pPr>
              <w:spacing w:after="0"/>
              <w:rPr>
                <w:sz w:val="18"/>
                <w:szCs w:val="18"/>
                <w:color w:val="auto"/>
              </w:rPr>
            </w:pPr>
          </w:p>
        </w:tc>
        <w:tc>
          <w:tcPr>
            <w:tcW w:w="1020" w:type="dxa"/>
            <w:vAlign w:val="bottom"/>
          </w:tcPr>
          <w:p>
            <w:pPr>
              <w:jc w:val="center"/>
              <w:ind w:left="64"/>
              <w:spacing w:after="0"/>
              <w:rPr>
                <w:sz w:val="20"/>
                <w:szCs w:val="20"/>
                <w:color w:val="auto"/>
              </w:rPr>
            </w:pPr>
            <w:r>
              <w:rPr>
                <w:rFonts w:ascii="Times New Roman" w:cs="Times New Roman" w:eastAsia="Times New Roman" w:hAnsi="Times New Roman"/>
                <w:sz w:val="16"/>
                <w:szCs w:val="16"/>
                <w:color w:val="auto"/>
                <w:w w:val="99"/>
              </w:rPr>
              <w:t>60</w:t>
            </w:r>
          </w:p>
        </w:tc>
        <w:tc>
          <w:tcPr>
            <w:tcW w:w="1480" w:type="dxa"/>
            <w:vAlign w:val="bottom"/>
            <w:gridSpan w:val="3"/>
          </w:tcPr>
          <w:p>
            <w:pPr>
              <w:jc w:val="center"/>
              <w:ind w:left="259"/>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60" w:type="dxa"/>
            <w:vAlign w:val="bottom"/>
          </w:tcPr>
          <w:p>
            <w:pPr>
              <w:jc w:val="center"/>
              <w:ind w:right="521"/>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Gulfstar I FPS (2)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4"/>
              <w:spacing w:after="0"/>
              <w:rPr>
                <w:sz w:val="20"/>
                <w:szCs w:val="20"/>
                <w:color w:val="auto"/>
              </w:rPr>
            </w:pPr>
            <w:r>
              <w:rPr>
                <w:rFonts w:ascii="Times New Roman" w:cs="Times New Roman" w:eastAsia="Times New Roman" w:hAnsi="Times New Roman"/>
                <w:sz w:val="16"/>
                <w:szCs w:val="16"/>
                <w:color w:val="auto"/>
                <w:w w:val="99"/>
              </w:rPr>
              <w:t>80</w:t>
            </w:r>
          </w:p>
        </w:tc>
        <w:tc>
          <w:tcPr>
            <w:tcW w:w="1480" w:type="dxa"/>
            <w:vAlign w:val="bottom"/>
            <w:gridSpan w:val="3"/>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360" w:type="dxa"/>
            <w:vAlign w:val="bottom"/>
            <w:shd w:val="clear" w:color="auto" w:fill="CCEEFF"/>
          </w:tcPr>
          <w:p>
            <w:pPr>
              <w:jc w:val="center"/>
              <w:ind w:right="521"/>
              <w:spacing w:after="0"/>
              <w:rPr>
                <w:sz w:val="20"/>
                <w:szCs w:val="20"/>
                <w:color w:val="auto"/>
              </w:rPr>
            </w:pPr>
            <w:r>
              <w:rPr>
                <w:rFonts w:ascii="Times New Roman" w:cs="Times New Roman" w:eastAsia="Times New Roman" w:hAnsi="Times New Roman"/>
                <w:sz w:val="16"/>
                <w:szCs w:val="16"/>
                <w:color w:val="auto"/>
              </w:rPr>
              <w:t>Eastern Gulf of America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Discovery</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200" w:type="dxa"/>
            <w:vAlign w:val="bottom"/>
          </w:tcPr>
          <w:p>
            <w:pPr>
              <w:spacing w:after="0"/>
              <w:rPr>
                <w:sz w:val="18"/>
                <w:szCs w:val="18"/>
                <w:color w:val="auto"/>
              </w:rPr>
            </w:pPr>
          </w:p>
        </w:tc>
        <w:tc>
          <w:tcPr>
            <w:tcW w:w="1020" w:type="dxa"/>
            <w:vAlign w:val="bottom"/>
          </w:tcPr>
          <w:p>
            <w:pPr>
              <w:jc w:val="center"/>
              <w:ind w:left="64"/>
              <w:spacing w:after="0"/>
              <w:rPr>
                <w:sz w:val="20"/>
                <w:szCs w:val="20"/>
                <w:color w:val="auto"/>
              </w:rPr>
            </w:pPr>
            <w:r>
              <w:rPr>
                <w:rFonts w:ascii="Times New Roman" w:cs="Times New Roman" w:eastAsia="Times New Roman" w:hAnsi="Times New Roman"/>
                <w:sz w:val="16"/>
                <w:szCs w:val="16"/>
                <w:color w:val="auto"/>
                <w:w w:val="99"/>
              </w:rPr>
              <w:t>10</w:t>
            </w:r>
          </w:p>
        </w:tc>
        <w:tc>
          <w:tcPr>
            <w:tcW w:w="1480" w:type="dxa"/>
            <w:vAlign w:val="bottom"/>
            <w:gridSpan w:val="3"/>
          </w:tcPr>
          <w:p>
            <w:pPr>
              <w:jc w:val="center"/>
              <w:ind w:left="259"/>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60" w:type="dxa"/>
            <w:vAlign w:val="bottom"/>
          </w:tcPr>
          <w:p>
            <w:pPr>
              <w:jc w:val="center"/>
              <w:ind w:right="521"/>
              <w:spacing w:after="0"/>
              <w:rPr>
                <w:sz w:val="20"/>
                <w:szCs w:val="20"/>
                <w:color w:val="auto"/>
              </w:rPr>
            </w:pPr>
            <w:r>
              <w:rPr>
                <w:rFonts w:ascii="Times New Roman" w:cs="Times New Roman" w:eastAsia="Times New Roman" w:hAnsi="Times New Roman"/>
                <w:sz w:val="16"/>
                <w:szCs w:val="16"/>
                <w:color w:val="auto"/>
              </w:rPr>
              <w:t>Central Gulf of America</w:t>
            </w:r>
          </w:p>
        </w:tc>
        <w:tc>
          <w:tcPr>
            <w:tcW w:w="0" w:type="dxa"/>
            <w:vAlign w:val="bottom"/>
          </w:tcPr>
          <w:p>
            <w:pPr>
              <w:spacing w:after="0"/>
              <w:rPr>
                <w:sz w:val="1"/>
                <w:szCs w:val="1"/>
                <w:color w:val="auto"/>
              </w:rPr>
            </w:pPr>
          </w:p>
        </w:tc>
      </w:tr>
      <w:tr>
        <w:trPr>
          <w:trHeight w:val="303"/>
        </w:trPr>
        <w:tc>
          <w:tcPr>
            <w:tcW w:w="4200" w:type="dxa"/>
            <w:vAlign w:val="bottom"/>
            <w:gridSpan w:val="2"/>
          </w:tcPr>
          <w:p>
            <w:pPr>
              <w:jc w:val="right"/>
              <w:ind w:right="3219"/>
              <w:spacing w:after="0"/>
              <w:rPr>
                <w:sz w:val="20"/>
                <w:szCs w:val="20"/>
                <w:color w:val="auto"/>
              </w:rPr>
            </w:pPr>
            <w:r>
              <w:rPr>
                <w:rFonts w:ascii="Times New Roman" w:cs="Times New Roman" w:eastAsia="Times New Roman" w:hAnsi="Times New Roman"/>
                <w:sz w:val="18"/>
                <w:szCs w:val="18"/>
                <w:color w:val="auto"/>
                <w:w w:val="97"/>
              </w:rPr>
              <w:t>__________</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Whale expansion project that went into service in January 2025.</w:t>
      </w:r>
    </w:p>
    <w:p>
      <w:pPr>
        <w:spacing w:after="0" w:line="152"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previously owned a 51 percent interest in Gulfstar One LLC (Gulfstar One) floating production system (FPS) and acquired ownership of the remaining interest in December 2025.</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Power Innovation Assets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is investing in construction projects to support the power demands created by new data center and industrial development in power grid-constrained markets, including agreements with a large, investment-grade company to provide onsite natural gas and power generation infrastructure. The projects, located in Ohio and Utah, represent a combined 1.9 gigawatts of total capacity and are backed by up to 12.5 year, primarily fixed-price agreements, with an option for the customer to extend the term of the agreements. The projects will require additional capital to fund construction until the projects are placed in-service. Williams plans to place the projects into service during 2026 through 2028, assuming timely receipt of permits, and continues to pursue additional projects to support the power demands created by new data center and industrial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Transmission, Power &amp; Gulf Operating Statistics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60" w:type="dxa"/>
            <w:vAlign w:val="bottom"/>
            <w:gridSpan w:val="2"/>
          </w:tcPr>
          <w:p>
            <w:pPr>
              <w:ind w:left="78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Pr>
          <w:p>
            <w:pPr>
              <w:spacing w:after="0"/>
              <w:rPr>
                <w:sz w:val="18"/>
                <w:szCs w:val="18"/>
                <w:color w:val="auto"/>
              </w:rPr>
            </w:pPr>
          </w:p>
        </w:tc>
        <w:tc>
          <w:tcPr>
            <w:tcW w:w="154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(Annual Average Amounts)</w:t>
            </w:r>
          </w:p>
        </w:tc>
        <w:tc>
          <w:tcPr>
            <w:tcW w:w="880" w:type="dxa"/>
            <w:vAlign w:val="bottom"/>
            <w:tcBorders>
              <w:top w:val="single" w:sz="8" w:color="auto"/>
            </w:tcBorders>
          </w:tcPr>
          <w:p>
            <w:pPr>
              <w:spacing w:after="0"/>
              <w:rPr>
                <w:sz w:val="18"/>
                <w:szCs w:val="18"/>
                <w:color w:val="auto"/>
              </w:rPr>
            </w:pPr>
          </w:p>
        </w:tc>
      </w:tr>
      <w:tr>
        <w:trPr>
          <w:trHeight w:val="231"/>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Interstate natural gas pipeline throughput (MMdth/d) (1)</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21.0</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20.2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2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Gathering volumes (Bcf/d)</w:t>
            </w:r>
          </w:p>
        </w:tc>
        <w:tc>
          <w:tcPr>
            <w:tcW w:w="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0.72</w:t>
            </w:r>
          </w:p>
        </w:tc>
        <w:tc>
          <w:tcPr>
            <w:tcW w:w="15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0.55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r>
      <w:tr>
        <w:trPr>
          <w:trHeight w:val="229"/>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0.93</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0.71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r>
      <w:tr>
        <w:trPr>
          <w:trHeight w:val="230"/>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81</w:t>
            </w:r>
          </w:p>
        </w:tc>
        <w:tc>
          <w:tcPr>
            <w:tcW w:w="15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47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29"/>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NGL equity sales (Mbbls/d)</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0"/>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Crude oil transportation (Mbbls/d)</w:t>
            </w:r>
          </w:p>
        </w:tc>
        <w:tc>
          <w:tcPr>
            <w:tcW w:w="66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208</w:t>
            </w:r>
          </w:p>
        </w:tc>
        <w:tc>
          <w:tcPr>
            <w:tcW w:w="154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113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6"/>
        </w:trPr>
        <w:tc>
          <w:tcPr>
            <w:tcW w:w="7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8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Non-consolidated: (2)</w:t>
            </w:r>
          </w:p>
        </w:tc>
        <w:tc>
          <w:tcPr>
            <w:tcW w:w="6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4"/>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Interstate natural gas pipeline throughput (MMdth/d) (1)</w:t>
            </w:r>
          </w:p>
        </w:tc>
        <w:tc>
          <w:tcPr>
            <w:tcW w:w="6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w:t>
            </w: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w:t>
      </w:r>
    </w:p>
    <w:p>
      <w:pPr>
        <w:spacing w:after="0" w:line="26"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Tbtu converted to MMdth at one trillion British thermal units = one million dekatherms.</w:t>
      </w:r>
    </w:p>
    <w:p>
      <w:pPr>
        <w:spacing w:after="0" w:line="15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percent of the volumes associated with equity-method investment in Gulfstream.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Northeast G&amp;P</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Natural Gas Gathering and Processing Assets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This segment includes Williams’ natural gas gathering, compression, processing, and NGL fractionation businesses in the Marcellus and Utica Shale regions in Pennsylvania, West Virginia, New York, and Ohio.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significant operated assets of this segment:</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Natural Gas Gathering Assets</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3400" w:type="dxa"/>
            <w:vAlign w:val="bottom"/>
          </w:tcPr>
          <w:p>
            <w:pPr>
              <w:spacing w:after="0"/>
              <w:rPr>
                <w:sz w:val="11"/>
                <w:szCs w:val="11"/>
                <w:color w:val="auto"/>
              </w:rPr>
            </w:pPr>
          </w:p>
        </w:tc>
        <w:tc>
          <w:tcPr>
            <w:tcW w:w="2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Pipeline Miles</w:t>
            </w:r>
          </w:p>
        </w:tc>
        <w:tc>
          <w:tcPr>
            <w:tcW w:w="11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Inlet Capacity</w:t>
            </w:r>
          </w:p>
        </w:tc>
        <w:tc>
          <w:tcPr>
            <w:tcW w:w="11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(Bcf/d)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Ohio Valley Midstream (1)</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Ohio, West Virginia, &amp; Pennsylvania</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65%</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Utica East Ohio Midstream (1) (2)</w:t>
            </w: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Ohio</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Susquehanna Supply Hub</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Pennsylvania &amp; New York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Cardinal (1)</w:t>
            </w:r>
          </w:p>
        </w:tc>
        <w:tc>
          <w:tcPr>
            <w:tcW w:w="2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Ohio</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Flint</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Ohio</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05"/>
        </w:trPr>
        <w:tc>
          <w:tcPr>
            <w:tcW w:w="340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Non-consolidated: (3)</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Bradford Supply Hub</w:t>
            </w:r>
          </w:p>
        </w:tc>
        <w:tc>
          <w:tcPr>
            <w:tcW w:w="2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Pennsylvania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Marcellus South</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Pennsylvania &amp; West Virginia</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353</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68%</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Laurel Mountain</w:t>
            </w:r>
          </w:p>
        </w:tc>
        <w:tc>
          <w:tcPr>
            <w:tcW w:w="2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Pennsylvania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0"/>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Blue Racer</w:t>
            </w: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Ohio &amp; West Virginia</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639</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50%</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Natural Gas Processing Facilities</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34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NGL</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Inlet Capacity</w:t>
            </w: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180" w:type="dxa"/>
            <w:vAlign w:val="bottom"/>
            <w:gridSpan w:val="2"/>
            <w:vMerge w:val="continue"/>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Supply Basins</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2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(Bcf/d)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(Mbbls/d)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(1)</w:t>
            </w:r>
          </w:p>
        </w:tc>
        <w:tc>
          <w:tcPr>
            <w:tcW w:w="2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Fort Beeler</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Marshall Co., WV</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65%</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Oak Grove</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Marshall Co., WV</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Kensington</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Columbiana Co., OH</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65%</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Leesville</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Carroll Co., OH</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65%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Non-consolidated: (3)</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Berne</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Monroe Co., OH</w:t>
            </w:r>
          </w:p>
        </w:tc>
        <w:tc>
          <w:tcPr>
            <w:tcW w:w="10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0.4</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50%</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Natrium</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Marshall Co., WV</w:t>
            </w:r>
          </w:p>
        </w:tc>
        <w:tc>
          <w:tcPr>
            <w:tcW w:w="10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0.8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Appalachian</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w:t>
      </w:r>
    </w:p>
    <w:p>
      <w:pPr>
        <w:spacing w:after="0" w:line="14" w:lineRule="exact"/>
        <w:rPr>
          <w:sz w:val="20"/>
          <w:szCs w:val="20"/>
          <w:color w:val="auto"/>
        </w:rPr>
      </w:pPr>
    </w:p>
    <w:p>
      <w:pPr>
        <w:ind w:left="340" w:hanging="332"/>
        <w:spacing w:after="0" w:line="270"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Statistics reflect 100 percent of the assets from Williams’ 65 percent ownership in Ohio Valley Midstream LLC (Northeast JV) and 66 percent ownership of Cardinal Gas Services, L.L.C. (Cardinal) gathering system.</w:t>
      </w:r>
    </w:p>
    <w:p>
      <w:pPr>
        <w:spacing w:after="0" w:line="118" w:lineRule="exact"/>
        <w:rPr>
          <w:rFonts w:ascii="Times New Roman" w:cs="Times New Roman" w:eastAsia="Times New Roman" w:hAnsi="Times New Roman"/>
          <w:sz w:val="18"/>
          <w:szCs w:val="18"/>
          <w:color w:val="auto"/>
        </w:rPr>
      </w:pPr>
    </w:p>
    <w:p>
      <w:pPr>
        <w:jc w:val="both"/>
        <w:ind w:left="34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Utica East Ohio Midstream inlet capacity consists of 1.3 Bcf/d of a high-pressure gathering pipeline that delivers Cardinal gathering volumes to Utica East Ohio Midstream processing facilities. The listed inlet capacity of 0.6 Bcf/d is incremental capacity to the Cardinal gathering capacity of 0.7 Bcf/d.</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percent of the statistics associated with operated equity-method investments.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NGL Operations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its Northeast G&amp;P business, Williams owns and operates a 43 Mbbls/d NGL fractionation facility at Moundsville, West Virginia, nearby condensate stabilization facilities capable of handling approximately 17 Mbbls/d of field condensate, a de-ethanization facility at its Oak Grove processing plant, an ethane pipeline, and an NGL pipeline. The Oak Grove de-ethanizer is capable of handling up to approximately 80 Mbbls/d of mixed NGLs to extract up to approximately 40 Mbbls/d of ethane. Williams also owns and operates a 135 Mbbls/d NGL fractionation facility and approximately 970,000 barrels of NGL storage capacity in Harrison County, Ohio, as well as 44 Mbbls/d of condensate stabilization capacity, and other ancillary assets, including loading and terminal facilities in Harrison, Carroll, and Columbiana Counties, Ohio.</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NGLs are extracted from the natural gas stream in Williams’ Oak Grove and Fort Beeler cryogenic processing plants. Ethane produced at the Oak Grove de-ethanizer is transported to markets via its 50-mile ethane pipeline to Houston, Pennsylvania. The remaining mixed NGL stream from the de-ethanizer is then transported via Williams’ 60-mile NGL pipeline and fractionated at either its Moundsville or Harrison fractionation facility. The resulting products are then transported on truck, rail, or pipeline. Ohio Valley Midstream provides residue natural gas take away options for customers with interconnections to three interstate transmission pipelines.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Certain Equity-Method Investments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Appalachia Midstream Investments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Through the Appalachia Midstream Investments, Williams operates and owns an approximate average 66 percent interest in the Bradford Supply Hub gathering system and operates and owns an approximate average 68 percent interest in the Marcellus South gathering system, together which consist of approximately 1,108 miles of gathering pipeline in the Marcellus Shale region with the capacity to gather 5,870 MMcf/d of natural gas. The majority of Williams’ volumes in the region are gathered from northern Pennsylvania, southwestern Pennsylvania, and the northwestern panhandle of West Virginia in core areas of the Marcellus Shale. Williams operates the assets primarily under long-term, 100 percent fixed-fee gathering agreements that include significant acreage dedications. Additionally, certain Marcellus South agreements have MVCs.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Laurel Mountain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operates and owns a 69 percent interest in a joint venture, Laurel Mountain Midstream, LLC (Laurel Mountain), which includes a 1,151-mile gathering system in western Pennsylvania with the capacity to gather 0.9 Bcf/d of natural gas. Laurel Mountain has a long-term, dedicated, volumetric-based fee agreement, with exposure to natural gas prices subject to a floor, to gather the anchor customer’s production in the western Pennsylvania area of the Marcellus Shale.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Blue Racer</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operates and owns a 50 percent interest in Blue Racer Midstream LLC (Blue Racer). Blue Racer is a joint venture to own, operate, develop, and acquire midstream assets in the Utica Shale and certain adjacent areas in the Marcellus Shale. Blue Racer’s assets include 639 miles of gathering pipelines and the Natrium complex in Marshall County, West Virginia, with a cryogenic processing capacity of 800 MMcf/d and fractionation capacity of approximately 134 Mbbls/d with approximately 220,000 barrels of NGL storage capacity. Blue Racer also owns the Berne complex in Monroe County, Ohio, with a cryogenic processing capacity of 400 MMcf/d, and 102 miles of NGL and condensate pipelines connecting Natrium to Berne. Blue Racer provides gathering, processing, and marketing services primarily under percent-of-liquids and fixed-fee agreements. Additionally, certain Blue Racer agreements have MVCs.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Northeast G&amp;P Operating Statistics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180" w:type="dxa"/>
            <w:vAlign w:val="bottom"/>
            <w:gridSpan w:val="2"/>
          </w:tcPr>
          <w:p>
            <w:pPr>
              <w:ind w:left="78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8"/>
                <w:szCs w:val="18"/>
                <w:color w:val="auto"/>
              </w:rPr>
            </w:pPr>
          </w:p>
        </w:tc>
        <w:tc>
          <w:tcPr>
            <w:tcW w:w="1520" w:type="dxa"/>
            <w:vAlign w:val="bottom"/>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3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(Annual Average Amounts)</w:t>
            </w:r>
          </w:p>
        </w:tc>
        <w:tc>
          <w:tcPr>
            <w:tcW w:w="860" w:type="dxa"/>
            <w:vAlign w:val="bottom"/>
            <w:tcBorders>
              <w:top w:val="single" w:sz="8" w:color="auto"/>
            </w:tcBorders>
          </w:tcPr>
          <w:p>
            <w:pPr>
              <w:spacing w:after="0"/>
              <w:rPr>
                <w:sz w:val="18"/>
                <w:szCs w:val="18"/>
                <w:color w:val="auto"/>
              </w:rPr>
            </w:pPr>
          </w:p>
        </w:tc>
      </w:tr>
      <w:tr>
        <w:trPr>
          <w:trHeight w:val="231"/>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Gathering volumes (Bcf/d)</w:t>
            </w:r>
          </w:p>
        </w:tc>
        <w:tc>
          <w:tcPr>
            <w:tcW w:w="6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4.16</w:t>
            </w:r>
          </w:p>
        </w:tc>
        <w:tc>
          <w:tcPr>
            <w:tcW w:w="15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4.16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6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1.89</w:t>
            </w:r>
          </w:p>
        </w:tc>
        <w:tc>
          <w:tcPr>
            <w:tcW w:w="15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1.86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6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143</w:t>
            </w:r>
          </w:p>
        </w:tc>
        <w:tc>
          <w:tcPr>
            <w:tcW w:w="15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139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equity sales (Mbbls/d)</w:t>
            </w:r>
          </w:p>
        </w:tc>
        <w:tc>
          <w:tcPr>
            <w:tcW w:w="6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Non-consolidated: (1)</w:t>
            </w:r>
          </w:p>
        </w:tc>
        <w:tc>
          <w:tcPr>
            <w:tcW w:w="6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Gathering volumes (Bcf/d)</w:t>
            </w:r>
          </w:p>
        </w:tc>
        <w:tc>
          <w:tcPr>
            <w:tcW w:w="6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6.73</w:t>
            </w:r>
          </w:p>
        </w:tc>
        <w:tc>
          <w:tcPr>
            <w:tcW w:w="15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6.27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6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1.10</w:t>
            </w:r>
          </w:p>
        </w:tc>
        <w:tc>
          <w:tcPr>
            <w:tcW w:w="15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0.98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6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75</w:t>
            </w:r>
          </w:p>
        </w:tc>
        <w:tc>
          <w:tcPr>
            <w:tcW w:w="152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72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equity sales (Mbbls/d)</w:t>
            </w:r>
          </w:p>
        </w:tc>
        <w:tc>
          <w:tcPr>
            <w:tcW w:w="64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w:t>
            </w:r>
          </w:p>
        </w:tc>
        <w:tc>
          <w:tcPr>
            <w:tcW w:w="15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2"/>
        <w:spacing w:after="0" w:line="260" w:lineRule="auto"/>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percent of the volumes associated with operated equity-method investments, including Laurel Mountain, Blue Racer, and the Bradford Supply Hub and Marcellus South within Appalachia Midstream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Natural Gas Gathering and Processing Assets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significant operated assets of this segment: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54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i w:val="1"/>
                <w:iCs w:val="1"/>
                <w:color w:val="auto"/>
              </w:rPr>
              <w:t>Natural Gas Gathering Assets</w:t>
            </w:r>
          </w:p>
        </w:tc>
        <w:tc>
          <w:tcPr>
            <w:tcW w:w="2400" w:type="dxa"/>
            <w:vAlign w:val="bottom"/>
            <w:tcBorders>
              <w:bottom w:val="single" w:sz="8" w:color="auto"/>
            </w:tcBorders>
          </w:tcPr>
          <w:p>
            <w:pPr>
              <w:spacing w:after="0"/>
              <w:rPr>
                <w:sz w:val="18"/>
                <w:szCs w:val="18"/>
                <w:color w:val="auto"/>
              </w:rPr>
            </w:pPr>
          </w:p>
        </w:tc>
      </w:tr>
      <w:tr>
        <w:trPr>
          <w:trHeight w:val="178"/>
        </w:trPr>
        <w:tc>
          <w:tcPr>
            <w:tcW w:w="2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Inlet Capacity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2400" w:type="dxa"/>
            <w:vAlign w:val="bottom"/>
          </w:tcPr>
          <w:p>
            <w:pPr>
              <w:spacing w:after="0"/>
              <w:rPr>
                <w:sz w:val="15"/>
                <w:szCs w:val="15"/>
                <w:color w:val="auto"/>
              </w:rPr>
            </w:pPr>
          </w:p>
        </w:tc>
      </w:tr>
      <w:tr>
        <w:trPr>
          <w:trHeight w:val="233"/>
        </w:trPr>
        <w:tc>
          <w:tcPr>
            <w:tcW w:w="2540" w:type="dxa"/>
            <w:vAlign w:val="bottom"/>
          </w:tcPr>
          <w:p>
            <w:pPr>
              <w:spacing w:after="0"/>
              <w:rPr>
                <w:sz w:val="20"/>
                <w:szCs w:val="20"/>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Location</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Pipeline Miles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(Bcf/d)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Supply Basins/Shale Formations</w:t>
            </w:r>
          </w:p>
        </w:tc>
      </w:tr>
      <w:tr>
        <w:trPr>
          <w:trHeight w:val="200"/>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(1)</w:t>
            </w: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r>
      <w:tr>
        <w:trPr>
          <w:trHeight w:val="21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Wamsutter</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Wyoming</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2,251</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Wamsutter</w:t>
            </w:r>
          </w:p>
        </w:tc>
      </w:tr>
      <w:tr>
        <w:trPr>
          <w:trHeight w:val="21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Southwest Wyoming</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Wyoming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Southwest Wyoming</w:t>
            </w:r>
          </w:p>
        </w:tc>
      </w:tr>
      <w:tr>
        <w:trPr>
          <w:trHeight w:val="21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Piceance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Colorado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352</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Piceance</w:t>
            </w:r>
          </w:p>
        </w:tc>
      </w:tr>
      <w:tr>
        <w:trPr>
          <w:trHeight w:val="21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Barnett Shale</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4"/>
              </w:rPr>
              <w:t>Texas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Barnett Shale</w:t>
            </w:r>
          </w:p>
        </w:tc>
      </w:tr>
      <w:tr>
        <w:trPr>
          <w:trHeight w:val="21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Eagle Ford Shale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Texas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1,258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Eagle Ford Shale</w:t>
            </w:r>
          </w:p>
        </w:tc>
      </w:tr>
      <w:tr>
        <w:trPr>
          <w:trHeight w:val="21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Haynesville Shale (2)</w:t>
            </w:r>
          </w:p>
        </w:tc>
        <w:tc>
          <w:tcPr>
            <w:tcW w:w="2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Louisiana &amp; Texas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978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Haynesville Shale, Bossier Shale</w:t>
            </w:r>
          </w:p>
        </w:tc>
      </w:tr>
      <w:tr>
        <w:trPr>
          <w:trHeight w:val="213"/>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Louisiana Energy Gateway (3)</w:t>
            </w: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Louisiana &amp; Texas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179</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Haynesville Shale</w:t>
            </w:r>
          </w:p>
        </w:tc>
      </w:tr>
      <w:tr>
        <w:trPr>
          <w:trHeight w:val="219"/>
        </w:trPr>
        <w:tc>
          <w:tcPr>
            <w:tcW w:w="2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Permian</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4"/>
              </w:rPr>
              <w:t>Texas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Permian</w:t>
            </w:r>
          </w:p>
        </w:tc>
      </w:tr>
      <w:tr>
        <w:trPr>
          <w:trHeight w:val="210"/>
        </w:trPr>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DJ Basin (4)</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Colorado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572</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Denver-Julesburg</w:t>
            </w:r>
          </w:p>
        </w:tc>
      </w:tr>
    </w:tbl>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56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Natural Gas Processing Facilities</w:t>
            </w:r>
          </w:p>
        </w:tc>
        <w:tc>
          <w:tcPr>
            <w:tcW w:w="2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5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Inlet Capacity</w:t>
            </w:r>
          </w:p>
        </w:tc>
        <w:tc>
          <w:tcPr>
            <w:tcW w:w="126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5"/>
                <w:szCs w:val="15"/>
                <w:b w:val="1"/>
                <w:bCs w:val="1"/>
                <w:color w:val="auto"/>
              </w:rPr>
              <w:t>NGL Production</w:t>
            </w: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2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Location</w:t>
            </w:r>
          </w:p>
        </w:tc>
        <w:tc>
          <w:tcPr>
            <w:tcW w:w="1260" w:type="dxa"/>
            <w:vAlign w:val="bottom"/>
            <w:gridSpan w:val="2"/>
            <w:vMerge w:val="continue"/>
          </w:tcPr>
          <w:p>
            <w:pPr>
              <w:spacing w:after="0"/>
              <w:rPr>
                <w:sz w:val="13"/>
                <w:szCs w:val="13"/>
                <w:color w:val="auto"/>
              </w:rPr>
            </w:pPr>
          </w:p>
        </w:tc>
        <w:tc>
          <w:tcPr>
            <w:tcW w:w="126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Capacity</w:t>
            </w:r>
          </w:p>
        </w:tc>
        <w:tc>
          <w:tcPr>
            <w:tcW w:w="1280" w:type="dxa"/>
            <w:vAlign w:val="bottom"/>
            <w:gridSpan w:val="2"/>
            <w:vMerge w:val="continue"/>
          </w:tcPr>
          <w:p>
            <w:pPr>
              <w:spacing w:after="0"/>
              <w:rPr>
                <w:sz w:val="13"/>
                <w:szCs w:val="13"/>
                <w:color w:val="auto"/>
              </w:rPr>
            </w:pPr>
          </w:p>
        </w:tc>
        <w:tc>
          <w:tcPr>
            <w:tcW w:w="23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Supply Basins</w:t>
            </w:r>
          </w:p>
        </w:tc>
        <w:tc>
          <w:tcPr>
            <w:tcW w:w="0" w:type="dxa"/>
            <w:vAlign w:val="bottom"/>
          </w:tcPr>
          <w:p>
            <w:pPr>
              <w:spacing w:after="0"/>
              <w:rPr>
                <w:sz w:val="1"/>
                <w:szCs w:val="1"/>
                <w:color w:val="auto"/>
              </w:rPr>
            </w:pPr>
          </w:p>
        </w:tc>
      </w:tr>
      <w:tr>
        <w:trPr>
          <w:trHeight w:val="202"/>
        </w:trPr>
        <w:tc>
          <w:tcPr>
            <w:tcW w:w="2560" w:type="dxa"/>
            <w:vAlign w:val="bottom"/>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(Bcf/d)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(Mbbls/d)</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Echo Springs</w:t>
            </w:r>
          </w:p>
        </w:tc>
        <w:tc>
          <w:tcPr>
            <w:tcW w:w="2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Echo Springs, WY</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Wamsutter</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Opal</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Opal, WY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Southwest Wyoming</w:t>
            </w:r>
          </w:p>
        </w:tc>
        <w:tc>
          <w:tcPr>
            <w:tcW w:w="0" w:type="dxa"/>
            <w:vAlign w:val="bottom"/>
          </w:tcPr>
          <w:p>
            <w:pPr>
              <w:spacing w:after="0"/>
              <w:rPr>
                <w:sz w:val="1"/>
                <w:szCs w:val="1"/>
                <w:color w:val="auto"/>
              </w:rPr>
            </w:pPr>
          </w:p>
        </w:tc>
      </w:tr>
      <w:tr>
        <w:trPr>
          <w:trHeight w:val="213"/>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Willow Creek</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Rio Blanco Co., CO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Piceance</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Parachute</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Garfield Co., CO</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Piceance</w:t>
            </w:r>
          </w:p>
        </w:tc>
        <w:tc>
          <w:tcPr>
            <w:tcW w:w="0" w:type="dxa"/>
            <w:vAlign w:val="bottom"/>
          </w:tcPr>
          <w:p>
            <w:pPr>
              <w:spacing w:after="0"/>
              <w:rPr>
                <w:sz w:val="1"/>
                <w:szCs w:val="1"/>
                <w:color w:val="auto"/>
              </w:rPr>
            </w:pPr>
          </w:p>
        </w:tc>
      </w:tr>
      <w:tr>
        <w:trPr>
          <w:trHeight w:val="213"/>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Fort Lupton</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Weld Co., CO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0.3</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Denver-Julesburg</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Keenesburg I</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Weld Co., CO</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Denver-Julesburg</w:t>
            </w:r>
          </w:p>
        </w:tc>
        <w:tc>
          <w:tcPr>
            <w:tcW w:w="0" w:type="dxa"/>
            <w:vAlign w:val="bottom"/>
          </w:tcPr>
          <w:p>
            <w:pPr>
              <w:spacing w:after="0"/>
              <w:rPr>
                <w:sz w:val="1"/>
                <w:szCs w:val="1"/>
                <w:color w:val="auto"/>
              </w:rPr>
            </w:pPr>
          </w:p>
        </w:tc>
      </w:tr>
      <w:tr>
        <w:trPr>
          <w:trHeight w:val="213"/>
        </w:trPr>
        <w:tc>
          <w:tcPr>
            <w:tcW w:w="2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Front Range</w:t>
            </w: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Weld Co., CO</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Denver-Julesburg</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Pierce</w:t>
            </w:r>
          </w:p>
        </w:tc>
        <w:tc>
          <w:tcPr>
            <w:tcW w:w="2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Weld Co., CO</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Denver-Julesburg</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2"/>
        <w:spacing w:after="0" w:line="260" w:lineRule="auto"/>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natural gas gathering pipeline miles and inlet capacity related to the Mid-Continent region assets have been removed from the table as they are considered held for sale at December 31, 2025.</w:t>
      </w:r>
    </w:p>
    <w:p>
      <w:pPr>
        <w:spacing w:after="0" w:line="12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Statistics reflect assets from the completion of the Haynesville Gathering Expansion in September 2025 and the Saber Asset Purchase in June 2025.</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Placed into service in July and August 2025.</w:t>
      </w:r>
    </w:p>
    <w:p>
      <w:pPr>
        <w:spacing w:after="0" w:line="17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Statistics include the Rimrock Asset Purchase on January 31, 2025.</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NGL Operations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owns interests in and/or operates NGL fractionation and storage assets in central Kansas near Conway. These assets include a 50 percent interest in an NGL fractionation facility with capacity of slightly more than 100 Mbbls/d and also approximately 22 million barrels of NGL storage capacity. In addition, Williams owns a 189-mile NGL pipeline from a fractionator near Conway, Kansas, to an interconnection with a third-party NGL pipeline system in Oklahoma.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Overland Pass Pipeline Equity-Method Investment</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operates and owns a 50 percent interest in Overland Pass Pipeline Company LLC (OPPL). OPPL is capable of transporting 245 Mbbls/d of NGLs and includes 1,035 miles of NGL pipeline extending from Opal, Wyoming, to the Mid-Continent NGL market center near Conway, Kansas, along with extensions into the Piceance and DJ basins in Colorado and a connection that receives NGLs from the Bakken Shale in the Williston basin in North Dakota and the Powder River basin in Wyoming. The equity NGL volumes from Williams’ Wyoming plants as well as certain Colorado plants are dedicated for transport on OPPL under long-term transportation agreements.</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West Operating Statistics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160" w:type="dxa"/>
            <w:vAlign w:val="bottom"/>
            <w:gridSpan w:val="2"/>
          </w:tcPr>
          <w:p>
            <w:pPr>
              <w:ind w:left="78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8"/>
                <w:szCs w:val="18"/>
                <w:color w:val="auto"/>
              </w:rPr>
            </w:pP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(Annual Average Amounts)</w:t>
            </w:r>
          </w:p>
        </w:tc>
        <w:tc>
          <w:tcPr>
            <w:tcW w:w="860" w:type="dxa"/>
            <w:vAlign w:val="bottom"/>
            <w:tcBorders>
              <w:top w:val="single" w:sz="8" w:color="auto"/>
            </w:tcBorders>
          </w:tcPr>
          <w:p>
            <w:pPr>
              <w:spacing w:after="0"/>
              <w:rPr>
                <w:sz w:val="18"/>
                <w:szCs w:val="18"/>
                <w:color w:val="auto"/>
              </w:rPr>
            </w:pPr>
          </w:p>
        </w:tc>
      </w:tr>
      <w:tr>
        <w:trPr>
          <w:trHeight w:val="231"/>
        </w:trPr>
        <w:tc>
          <w:tcPr>
            <w:tcW w:w="8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Gathering volumes (Bcf/d)</w:t>
            </w:r>
          </w:p>
        </w:tc>
        <w:tc>
          <w:tcPr>
            <w:tcW w:w="6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95"/>
              </w:rPr>
              <w:t>6.09</w:t>
            </w: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5.46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30"/>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inlet natural gas volumes (Bcf/d)</w:t>
            </w:r>
          </w:p>
        </w:tc>
        <w:tc>
          <w:tcPr>
            <w:tcW w:w="6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95"/>
              </w:rPr>
              <w:t>1.68</w:t>
            </w:r>
          </w:p>
        </w:tc>
        <w:tc>
          <w:tcPr>
            <w:tcW w:w="15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1.54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NGL production (Mbbls/d)</w:t>
            </w:r>
          </w:p>
        </w:tc>
        <w:tc>
          <w:tcPr>
            <w:tcW w:w="6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99</w:t>
            </w:r>
          </w:p>
        </w:tc>
        <w:tc>
          <w:tcPr>
            <w:tcW w:w="154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90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equity sales (Mbbls/d)</w:t>
            </w:r>
          </w:p>
        </w:tc>
        <w:tc>
          <w:tcPr>
            <w:tcW w:w="6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w:t>
            </w:r>
          </w:p>
        </w:tc>
        <w:tc>
          <w:tcPr>
            <w:tcW w:w="154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&amp; NGL Marketing Services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natural gas marketing business provides asset management and the wholesale marketing, trading, storage, and transportation of natural gas for a diverse set of natural gas and electric utilities, municipalities, power generators, and producers and markets natural gas from the production at upstream properties. Williams’ NGL marketing business transports and markets equity NGLs from the production at processing plants, NGLs from the production at upstream properties, and NGLs on behalf of third-party NGL producers, including some fee-based processing customers. See the Gas and NGL Marketing section of Service Assets, Customers, and Contracts in Item 1. Business for additional information related to this business segment.</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Cogentrix Equity-Method Investment</w:t>
      </w:r>
    </w:p>
    <w:p>
      <w:pPr>
        <w:spacing w:after="0" w:line="20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March 2025, Williams purchased a minority interest in Cogentrix Co-Investment Fund, LP (Cogentrix) which is accounted for as an equity-method investment within the Gas &amp; NGL Marketing Services segment. Cogentrix owns interests in 11 natural gas power plants (see Note 8 – Investing Activities).</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Gas &amp; NGL Marketing Services Operating Statistics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Pr>
          <w:p>
            <w:pPr>
              <w:spacing w:after="0"/>
              <w:rPr>
                <w:sz w:val="18"/>
                <w:szCs w:val="18"/>
                <w:color w:val="auto"/>
              </w:rPr>
            </w:pPr>
          </w:p>
        </w:tc>
        <w:tc>
          <w:tcPr>
            <w:tcW w:w="1540" w:type="dxa"/>
            <w:vAlign w:val="bottom"/>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6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3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(Annual Average Amounts)</w:t>
            </w:r>
          </w:p>
        </w:tc>
        <w:tc>
          <w:tcPr>
            <w:tcW w:w="860" w:type="dxa"/>
            <w:vAlign w:val="bottom"/>
            <w:tcBorders>
              <w:top w:val="single" w:sz="8" w:color="auto"/>
            </w:tcBorders>
          </w:tcPr>
          <w:p>
            <w:pPr>
              <w:spacing w:after="0"/>
              <w:rPr>
                <w:sz w:val="18"/>
                <w:szCs w:val="18"/>
                <w:color w:val="auto"/>
              </w:rPr>
            </w:pPr>
          </w:p>
        </w:tc>
      </w:tr>
      <w:tr>
        <w:trPr>
          <w:trHeight w:val="231"/>
        </w:trPr>
        <w:tc>
          <w:tcPr>
            <w:tcW w:w="8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Sales Volumes:</w:t>
            </w:r>
          </w:p>
        </w:tc>
        <w:tc>
          <w:tcPr>
            <w:tcW w:w="6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Natural Gas (Bcf/d)</w:t>
            </w: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95"/>
              </w:rPr>
              <w:t>6.57</w:t>
            </w:r>
          </w:p>
        </w:tc>
        <w:tc>
          <w:tcPr>
            <w:tcW w:w="15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7.11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NGLs (Mbbls/d)</w:t>
            </w:r>
          </w:p>
        </w:tc>
        <w:tc>
          <w:tcPr>
            <w:tcW w:w="6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185</w:t>
            </w:r>
          </w:p>
        </w:tc>
        <w:tc>
          <w:tcPr>
            <w:tcW w:w="154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177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includes upstream operations and minor business activities that are not reportable segments, as well as corporate operations.</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Upstream Ventures</w:t>
      </w:r>
    </w:p>
    <w:p>
      <w:pPr>
        <w:spacing w:after="0" w:line="17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Williams acquired certain crude oil and natural gas properties in the Wamsutter basin in February 2021. Williams had an agreement regarding these properties in which it owned 75 percent of the venture’s undivided interest in each well’s working interest. In November 2024, Williams closed on the acquisition of the third-party operator Crowheart Energy, LLC. After closing on the acquisition Williams is the operator and owns more than a 90 percent working interest in each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natural gas properties in the Haynesville Shale region of Louisiana were transferred to Williams in November 2020 as part of a bankruptcy resolution with a customer. In the third quarter of 2021, Williams sold 50 percent of the existing wells and wellbore rights in the South Mansfield area of the Haynesville Shale region to a third-party operator, in a strategic effort to develop the acreage, thereby enhancing the value of Williams midstream natural gas infrastructure. On January 30, 2026, Williams closed on the sale of its interests in the region for consideration of $398 million with additional contingent consideration to possibly be received through 2029.</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Statistics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140" w:type="dxa"/>
            <w:vAlign w:val="bottom"/>
            <w:gridSpan w:val="2"/>
          </w:tcPr>
          <w:p>
            <w:pPr>
              <w:ind w:left="780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0" w:type="dxa"/>
            <w:vAlign w:val="bottom"/>
          </w:tcPr>
          <w:p>
            <w:pPr>
              <w:spacing w:after="0"/>
              <w:rPr>
                <w:sz w:val="18"/>
                <w:szCs w:val="18"/>
                <w:color w:val="auto"/>
              </w:rPr>
            </w:pPr>
          </w:p>
        </w:tc>
        <w:tc>
          <w:tcPr>
            <w:tcW w:w="160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2024 (1)</w:t>
            </w:r>
          </w:p>
        </w:tc>
        <w:tc>
          <w:tcPr>
            <w:tcW w:w="86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(Annual Average Amounts)</w:t>
            </w:r>
          </w:p>
        </w:tc>
        <w:tc>
          <w:tcPr>
            <w:tcW w:w="860" w:type="dxa"/>
            <w:vAlign w:val="bottom"/>
            <w:tcBorders>
              <w:top w:val="single" w:sz="8" w:color="auto"/>
            </w:tcBorders>
          </w:tcPr>
          <w:p>
            <w:pPr>
              <w:spacing w:after="0"/>
              <w:rPr>
                <w:sz w:val="18"/>
                <w:szCs w:val="18"/>
                <w:color w:val="auto"/>
              </w:rPr>
            </w:pPr>
          </w:p>
        </w:tc>
      </w:tr>
      <w:tr>
        <w:trPr>
          <w:trHeight w:val="231"/>
        </w:trPr>
        <w:tc>
          <w:tcPr>
            <w:tcW w:w="8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Product Sales Volumes:</w:t>
            </w:r>
          </w:p>
        </w:tc>
        <w:tc>
          <w:tcPr>
            <w:tcW w:w="6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Natural Gas (Bcf/d)</w:t>
            </w: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0.29</w:t>
            </w:r>
          </w:p>
        </w:tc>
        <w:tc>
          <w:tcPr>
            <w:tcW w:w="16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0.27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29"/>
        </w:trPr>
        <w:tc>
          <w:tcPr>
            <w:tcW w:w="8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NGLs (Mbbls/d)</w:t>
            </w:r>
          </w:p>
        </w:tc>
        <w:tc>
          <w:tcPr>
            <w:tcW w:w="6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 (Mbbls/d)</w:t>
            </w: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340" w:hanging="332"/>
        <w:spacing w:after="0" w:line="270" w:lineRule="auto"/>
        <w:tabs>
          <w:tab w:leader="none" w:pos="4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volumes for the Crowheart Acquisition after the purchase on November 1, 2024. Further, the amounts for the acquired assets are averaged over the over the entire year.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 Matters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FERC regulation requires all terms and conditions of service, including the rates charged, to be filed with and accepted by the FERC before any changes can go into effect. Our interstate natural gas pipelines establish their rates primarily through the FERC’s ratemaking process, but also may negotiate rates with their customers pursuant to the terms of their tariff and FERC policy. Key determinants in the ratemaking process are: (1) costs of providing service, including depreciation expense; (2) allowed rate of return, including the equity component of the capital structure and related income taxes; and (3) contract and volume throughput assumptions. The allowed rate of return is determined in each rate case. Rate design and the allocation of costs between the reservation and commodity rates also impact profitability. As a result of rate case proceedings, certain revenues may be collected subject to refund. Estimates of rate refund liabilities may be recorded considering their and third-party regulatory proceedings, advice of counsel and other risks.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Consistent with FERC policy, our interstate natural gas pipelines design their rates using the straight fixed-variable (SFV) method of rate design. Under the SFV method of rate design, substantially all fixed costs, including return on equity and income taxes, are included in a reservation charge to customers and all variable costs are recovered through a commodity charge to customers. While the use of SFV rate design limits our pipelines’ opportunity to earn incremental revenues through increased throughput, it also limits their risk associated with fluctuations in throughput.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 Rate Case Filing</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30, 2024, Transco filed a general rate case with the FERC in Docket No. RP24-1035 for an overall increase in rates. In September 2024, with the exception of certain rates that reflected a rate decrease, the FERC accepted and suspended our general rate filing to be effective March 1, 2025, subject to refund and the outcome of hearing procedures established by the FERC. The specific rates that reflected a rate decrease were accepted, without suspension, to be effective October 1, 2024, as requested by Transco, and are not subject to refund. On October 29, 2025, Transco filed a stipulation and agreement with the FERC that resolves all issues in this proceeding without the need for a hearing. On December 30, 2025, the FERC approved the agreement, which will become effective on March 1, 2026. Included in the agreement are provisions that establish a moratorium on any general NGA Section 4(e) filing by Transco and on any NGA Section 5 filing by a settling party to change the settlement rates prior to August 31, 2027. The agreement also requires that Transco file an NGA Section 4(e) general rate case no later than August 30, 2030, unless any NGA Section 5 investigation into Transco’s generally applicable rates results in rates becoming effective before that date. Transco has provided a reserve for rate refunds, which it believes is adequate for any refunds that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 Rate Case Settlement</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15, 2022, the FERC approved NWP’s Petition for Approval of Pre-Filing Stipulation and Settlement Agreement (Settlement) in Docket No. RP22-1155. The Settlement established a new general system firm Rate Schedule TF-1 (Large Customer) daily reservation rate of $0.37250/Dth with a $0.00935/Dth commodity rate (which were made effective January 1, 2023), resolved other rate issues, established a Modernization and Emission Reduction Program and satisfied our rate case filing obligation under our settlement in Docket No. RP17-346. Provisions were included in the Settlement that establish a moratorium on any NGA Section 4 or 5 proceedings that would seek to place new rates in effect any earlier than January 1, 2026. The Settlement also provides that Northwest Pipeline file an NGA Section 4 general rate case with rates to be effective not later than April 1, 2028, unless (a) Northwest Pipeline has entered into a pre-filing settlement or (b) a Section 5 general rate case has been filed on or before April 1, 2028.</w:t>
      </w:r>
    </w:p>
    <w:p>
      <w:pPr>
        <w:spacing w:after="0" w:line="14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a result of the Settlement, in January 2023, NWP refunded approximately $126 million, including interest, associated with the decrease in federal tax rates due to the Tax Cuts and Jobs Act of 2017 (Tax Reform), which reduced current </w:t>
      </w:r>
      <w:r>
        <w:rPr>
          <w:rFonts w:ascii="Times New Roman" w:cs="Times New Roman" w:eastAsia="Times New Roman" w:hAnsi="Times New Roman"/>
          <w:sz w:val="18"/>
          <w:szCs w:val="18"/>
          <w:i w:val="1"/>
          <w:iCs w:val="1"/>
          <w:color w:val="auto"/>
        </w:rPr>
        <w:t>Regulatory liabilities</w:t>
      </w:r>
      <w:r>
        <w:rPr>
          <w:rFonts w:ascii="Times New Roman" w:cs="Times New Roman" w:eastAsia="Times New Roman" w:hAnsi="Times New Roman"/>
          <w:sz w:val="18"/>
          <w:szCs w:val="18"/>
          <w:color w:val="auto"/>
        </w:rPr>
        <w:t xml:space="preserve"> on NWP’s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FERC</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natural gas pipeline interstate transmission and storage activities, including activities of Transco and NWP, are subject to FERC regulation under the NGA and under the Natural Gas Policy Act of 1978, as amended, and, as such, the rates and charges for the transportation of natural gas in interstate commerce, accounting, and the extension, enlargement, or abandonment of the jurisdictional facilities, among other things, are subject to regulation. Each of Williams’ natural gas pipeline companies, including Transco and NWP, holds certificates of public convenience and necessity issued by the FERC authorizing ownership and operation of all pipelines, facilities, and properties for which certificates are required under the NGA. FERC Standards of Conduct govern how the interstate pipelines communicate and conduct transmission transactions with an affiliate that engages in marketing functions. Among other things, the Standards of Conduct require that interstate gas pipelines treat all transmission customers, affiliated and non-affiliated, on a not unduly discriminatory basis. FERC Standards of Conduct govern the relationship between natural gas transmission providers and marketing function employees as defined by the rule. The Standards of Conduct are intended to prevent natural gas transmission providers from preferentially benefiting gas marketing functions by requiring the employees of a transmission provider that perform transmission functions to function independently from marketing function employees and by restricting the information that transmission providers may provide to marketing function employees. Under the Energy Policy Act of 2005, the FERC is authorized to impose civil penalties of more than $1.5 million per day for each violation of its rules.</w:t>
      </w:r>
    </w:p>
    <w:p>
      <w:pPr>
        <w:spacing w:after="0" w:line="20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FERC regulation requires all terms and conditions of service, including the rates charged, to be filed with and accepted by the FERC before any changes can go into effect. Williams’ interstate gas pipeline companies, including Transco and NWP, establish rates through the FERC’s ratemaking process. In addition, Williams’ interstate gas pipelines, including Transco and NWP, may enter into agreements with customers for negotiated rates, which may be less than, equal to, or greater than the otherwise applicable cost-based recourse rates. Williams, including Transco, has also received authority to charge market-based rates for certain of our storage services. Key determinants in the FERC ratemaking process include:</w:t>
      </w:r>
    </w:p>
    <w:p>
      <w:pPr>
        <w:spacing w:after="0" w:line="14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providing service, including depreciation expense;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Allowed rate of return, including the equity component of the capital structure and related income taxes;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and volume throughput assumptions.</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allowed rate of return is determined in each rate case. Rate design and the allocation of costs between the reservation and commodity rates also impact profitability. During the pendency of rate case proceedings, certain revenues collected may be subject to refund.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also owns interests in and operates natural gas liquids pipelines that are regulated by various federal and state governmental agencies. Services provided on the interstate natural gas liquids pipelines are subject to regulation under the Interstate Commerce Act by the FERC, which has authority over the terms and conditions of service; rates, including depreciation and amortization policies; and initiation of service. Williams’ intrastate natural gas liquids pipelines providing common carrier service are subject to regulation by various state regulatory agencies.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Updated Certificate Policy Statement and Interim Greenhouse Gas (GHG) Policy Statement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February 18, 2022, the FERC issued an Updated Certificate Policy Statement and an Interim GHG Policy Statement, which were to provide guidance for consideration of interstate natural gas pipeline projects. The Updated Certificate Policy Statement was intended to provide an analytical framework for how the FERC would consider whether a project is in the public convenience and necessity. The Interim GHG Policy Statement was intended to set forth how the FERC would assess the impacts of natural gas infrastructure projects on climate change in its reviews under the National Environmental Policy Act and the NGA. On March 24, 2022, the FERC converted the Updated Certificate Policy Statement and the Interim GHG Policy Statement into draft policy statements. On January 24, 2025, the FERC terminated the Interim GHG Policy Statement proceeding and on September 12, 2025, the FERC terminated the Updated Certificate Policy Statement proceeding.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Safety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interstate natural gas pipelines, including Transco and NWP, are subject to the Natural Gas Pipeline Safety Act of 1968, as amended, the Pipeline Safety Improvement Act of 2002, the Pipeline Safety, Regulatory Certainty, and Jobs Creation Act of 2011, and the Protecting Our Infrastructure of Pipelines and Enhancing Safety Act of 2016 and 2020, which regulate safety requirements in the design, construction, operation, and maintenance of interstate natural gas transmission facilities. The United States Department of Transportation Pipeline and Hazardous Materials Safety Administration (PHMSA) administers federal pipeline safety laws.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Federal pipeline safety laws authorize PHMSA to establish minimum safety standards for pipeline facilities and persons engaged in the transportation of gas or hazardous liquids by pipeline. These safety standards apply to the design, construction, testing, operation, and maintenance of gas and hazardous liquids pipeline facilities affecting interstate or foreign commerce. PHMSA has also established reporting requirements for operators of gas and hazardous liquid pipeline facilities, as well as provisions for establishing the qualification of pipeline personnel and requirements for managing the integrity of gas transmission and distribution lines and certain hazardous liquid pipelines. To ensure compliance with these provisions, PHMSA performs pipeline safety inspections and has the authority to initiate enforcement actions.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2022, PHMSA published Rule 2, which is the last in the three-part Mega Rule set of regulations. Rule 2 went into effect in May 2023, but a Stay of Enforcement until February 2024 limited the amount of the regulation that was implemented. Since the rule was published in 2022, Williams, including Transco and NWP, has worked to understand the regulatory changes and modify procedures as needed and will continue to monitor impacts, if any, from recently published amendments.</w:t>
      </w:r>
    </w:p>
    <w:p>
      <w:pPr>
        <w:spacing w:after="0" w:line="126"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PHMSA has finalized amendments to its gas transmission pipeline safety regulations addressing class location change requirements. Williams is evaluating the final rule to assess its applicability across its pipeline systems and potential operational and cost impacts. Certain aspects of the rule could result in increased compliance costs, changes to operating practices, or capital expenditures for some assets. The magnitude and timing of any such impacts will depend on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conditions, implementation choices, and future regulatory interpretations or guidance.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 Integrity Regulations</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Williams has an enterprise-wide Gas Integrity Management Plan, which includes Transco and NWP, that meets the PHMSA final rule issued pursuant to the requirements of the Pipeline Safety Improvement Act of 2002. To meet the PHMSA regulations, Williams has identified all pipelines in high consequence areas (HCAs) and developed baseline assessment plans for all applicable pipelines. In response to the PHMSA Mega Rule, implemented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Williams identified Moderate Consequence Areas, and integrated those segments into its integrity program along with Class 3 and 4 pipeline locations required by the rule.</w:t>
      </w:r>
    </w:p>
    <w:p>
      <w:pPr>
        <w:spacing w:after="0" w:line="54"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Regulatory changes as part of the Mega Rule, effective in 2024, impose stricter requirements for repairing crack-like, dent, and metal loss features. This has led to increased remediation efforts and higher costs compared to previous years. Additionally, advancements in identifying, evaluating, and remediating hard spot defects have contributed to higher spending.</w:t>
      </w:r>
    </w:p>
    <w:p>
      <w:pPr>
        <w:spacing w:after="0" w:line="21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Williams estimates that the cost to be incurred in 2026 with its entire Gas Integrity Management program to be approximately $210 million, which includes $141 million and $57 million for Transco and NWP, respectively. Management considers these costs to be prudent and incurred in the ordinary course of business and the maintenance capital costs to be recoverable through rate case filings by Williams’ interstate pipelines.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also has an enterprise-wide Liquid Integrity Management Plan that meets PHMSA requirements including HCA identification and a baseline assessment plan. Williams estimates that the cost to be incurred in 2026 associated with this program will be approximately $2 million. Williams considers these costs to be prudent and incurred in the ordinary course of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Matters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2024, the Transportation Security Administration (TSA) issued two updated security directives to further enhance cybersecurity resilience for pipeline operators. Security Directive Pipeline-2021-01D, effective May 29, 2024, continues to require owners/operators of critical pipelines to: (1) report cybersecurity incidents to the Cybersecurity and Infrastructure Security Agency (CISA) within 24 hours; (2) designate a Cybersecurity Coordinator available 24 hours a day, seven days a week, to coordinate cybersecurity practices and incident responses; and (3) conduct comprehensive reviews of cybersecurity practices, identify gaps, and report results to TSA and CISA.</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Security Directive Pipeline-2021-02E, effective July 27, 2024, builds on previous directives by requiring pipeline operators to: (1) implement a TSA-approved Cybersecurity Implementation Plan, incorporating network segmentation, continuous monitoring, and access control measures;</w:t>
      </w:r>
    </w:p>
    <w:p>
      <w:pPr>
        <w:ind w:firstLine="8"/>
        <w:spacing w:after="0" w:line="260" w:lineRule="auto"/>
        <w:tabs>
          <w:tab w:leader="none" w:pos="2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 robust Cybersecurity Incident Response Plan to reduce risks to critical systems during an incident; and (3) establish a Cybersecurity Assessment Plan with annual updates and reports to evaluate the effectiveness of implemented measures and identify vulnerabilities.</w:t>
      </w:r>
    </w:p>
    <w:p>
      <w:pPr>
        <w:spacing w:after="0" w:line="1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including Transco and NWP, has established and received TSA approval for its Cybersecurity Implementation Plan and Cybersecurity Assessment Plan, and is compliant with the remaining requirements established in Security Directives 1D and 2E.</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United States Coast Guard issued a final rule in January 2025, establishing baseline cybersecurity requirements for maritime transportation assets, including vessels and facilities regulated under the Maritime Transportation Security Act. This rule mandates the development and maintenance of a Cybersecurity Plan, designation of a Cybersecurity Officer, implementation of security measures for account, device, and data protection, regular cybersecurity assessments, and reporting of cyber incidents. Compliance timelines for these requirements are phased, with key milestones such as cybersecurity assessments and plan submissions required within 24 months of the rule’s effective date.</w:t>
      </w:r>
    </w:p>
    <w:p>
      <w:pPr>
        <w:spacing w:after="0" w:line="1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is actively monitoring evolving regulatory requirements to ensure compliance across its operations, including Transco and NWP. Williams is assessing the applicability of various regulations to its assets and implementing necessary measures to align with these standards. Williams, including</w:t>
      </w:r>
    </w:p>
    <w:p>
      <w:pPr>
        <w:jc w:val="both"/>
        <w:spacing w:after="0" w:line="266" w:lineRule="auto"/>
        <w:rPr>
          <w:sz w:val="20"/>
          <w:szCs w:val="20"/>
          <w:color w:val="auto"/>
        </w:rPr>
      </w:pPr>
      <w:r>
        <w:rPr>
          <w:rFonts w:ascii="Times New Roman" w:cs="Times New Roman" w:eastAsia="Times New Roman" w:hAnsi="Times New Roman"/>
          <w:sz w:val="18"/>
          <w:szCs w:val="18"/>
          <w:color w:val="auto"/>
        </w:rPr>
        <w:t>Transco and NWP, remains committed to safeguarding its infrastructure, minimizing risks, and maintaining the resilience of its operations in the face of evolving cybersecurity threats</w:t>
      </w:r>
    </w:p>
    <w:p>
      <w:pPr>
        <w:spacing w:after="0" w:line="120"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See Part I, Item 1A. Risk Factors — </w:t>
      </w:r>
      <w:r>
        <w:rPr>
          <w:rFonts w:ascii="Times New Roman" w:cs="Times New Roman" w:eastAsia="Times New Roman" w:hAnsi="Times New Roman"/>
          <w:sz w:val="18"/>
          <w:szCs w:val="18"/>
          <w:i w:val="1"/>
          <w:iCs w:val="1"/>
          <w:color w:val="auto"/>
        </w:rPr>
        <w:t>“A breach of information technology infrastructure, including a breach caused by a cybersecurity attack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Williams, Transco, or NWP, or the third parties with whom they are interconnected, may interfere with the safe operation of assets, result in the disclosure of personal or proprietary information, and cause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Regulations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onshore midstream gathering operations are subject to laws and regulations in the various states in which it operates. For example, the Texas Railroad Commission has the authority to regulate the terms of service for Williams’ intrastate natural gas gathering business in Texas. Although the applicable state regulations vary widely, they generally require that pipeline rates and practices be reasonable and nondiscriminatory, and may include provisions covering marketing, pricing, pollution, environment, and human health and safety. Some states, such as New York and Ohio, have specific regulations pertaining to the design, construction, and operations of gathering lines within such state.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been actively implementing PHMSA’s 2021 Gas Gathering final rule that requires all onshore gas gathering lines to report incidents and file annual reports. The final rule also established a new Type C regulated gathering line and now requires Type C gathering lines to comply with specifically identified PHMSA regulations in 49 Code of Federal Regulations Part 192. Since the rule was published, Williams has worked to understand the regulatory changes and modify our procedures as needed.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Liquids Pipelines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liquids pipelines are regulated by the Louisiana Department of Natural Resources, the Texas Railroad Commission, and various other state and federal agencies. These pipelines are also subject to the liquid pipeline safety and integrity regulations discussed above since both Louisiana and Texas have adopted the integrity management regulations defined in PHMSA.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Outer Continental Shelf Lands Act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offshore gas and liquids pipelines located on the outer continental shelf, including Transco, are subject to the Outer Continental Shelf Lands Act, which provides in part that outer continental shelf pipelines “must provide open and nondiscriminatory access to both owner and non-owner shippers.”</w:t>
      </w:r>
    </w:p>
    <w:p>
      <w:pPr>
        <w:spacing w:after="0" w:line="187"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 xml:space="preserve">See Part I, Item 1A. Risk Factors — </w:t>
      </w:r>
      <w:r>
        <w:rPr>
          <w:rFonts w:ascii="Times New Roman" w:cs="Times New Roman" w:eastAsia="Times New Roman" w:hAnsi="Times New Roman"/>
          <w:sz w:val="18"/>
          <w:szCs w:val="18"/>
          <w:i w:val="1"/>
          <w:iCs w:val="1"/>
          <w:color w:val="auto"/>
        </w:rPr>
        <w:t>“The operation of Williams’, Transco’s, and NWP’s businesses might be adversely affected by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proceedings, changes in government regulations or in their interpretation or implementation, or the introduction of new laws or regulations applicable to Williams’, Transco’s, and NWP’s businesses or customers,”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natural gas sales, transportation, and storage operations of Williams’, Transco’s, and NWP’s natural gas pipelines are subject to regulation by the FERC, which could have an adverse impact on their ability to establish transportation and storage rates that would allow them to recover the full cost of operating their respective pipelines and storage assets, including a reasonable rate of return.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operations, including Transco and NWP, are subject to federal environmental laws and regulations as well as the state, local, and tribal laws and regulations adopted by the jurisdictions in which they operate. Williams, Transco, and NWP could incur liability to governments or third parties for any unlawful discharge of pollutants into the air, soil, or water, as well as liability for cleanup costs. Materials could be released into the environment in several ways including, but not limited to:</w:t>
      </w:r>
    </w:p>
    <w:p>
      <w:pPr>
        <w:spacing w:after="0" w:line="126"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Leakage from gathering systems, underground gas storage caverns, pipelines, processing or treating facilities, transportation facilities, and storage tanks;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facilities resulting from accidents during normal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to onshore and offshore equipment and facilities resulting from storm events or natural disasters;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Blowouts, cratering, and explosions.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Williams, Transco, and NWP may be liable for environmental damage caused by former owners or operators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Transco, and NWP believe compliance with current environmental laws and regulations will not have a material adverse effect on their capital expenditures, earnings, or current competitive position. However, environmental laws and regulations could affect their business in various ways from time to time, including incurring capital and maintenance expenditures, fines and penalties, and creating the need to seek relief from the FERC for rate increases to recover the costs of certain capital expenditures and operation and maintenance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 - Washington State Climate Commitment Act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2021, the state of Washington passed its Climate Commitment Act establishing a market-based cap-and-invest program to reduce carbon emissions. This program took effect on January 1, 2023, and sets a limit, or cap, on overall carbon emissions in the state and requires businesses like NWP to obtain allowances equal to their annual covered carbon emissions. The state’s cap will be reduced over time to meet the state’s carbon emissions reduction targets, which means fewer carbon emissions allowances will be available to purchase each year. These allowances can be purchased through quarterly auctions hosted by the state or bought and sold on a secondary market. In 2023, NWP began purchasing allowances for the carbon emissions from nine of its thirteen compressor stations within the state whose annual carbon emissions have exceeded 25,000 metric tons of carbon dioxide equivalent at least once since 2015. NWP also began purchasing allowances for NWP’s delivery of natural gas to certain of their customers and certain of their facilities in the state whose annual carbon emissions are insufficient to require their direct participation in the program. NWP’s latest rate case settlement allows them to recover the costs of purchasing allowances under the program in their next rate case.</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For additional information regarding the potential impact of federal, state, tribal, or local regulatory measures on business and specific environmental issues, please refer to Part I, Item 1A. Risk Factors — </w:t>
      </w:r>
      <w:r>
        <w:rPr>
          <w:rFonts w:ascii="Times New Roman" w:cs="Times New Roman" w:eastAsia="Times New Roman" w:hAnsi="Times New Roman"/>
          <w:sz w:val="18"/>
          <w:szCs w:val="18"/>
          <w:i w:val="1"/>
          <w:iCs w:val="1"/>
          <w:color w:val="auto"/>
        </w:rPr>
        <w:t>“Williams’, Transco’s, and NWP’s operations are subject to environmental laws and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laws and regulations relating to climate change and greenhouse gas emissions, which may expose them to significant costs, liabilities, and expenditures that could exceed expectation</w:t>
      </w: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Part II, Item 7. Management's Discussion and Analysis of Financial Condition and Results of Operations</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“Environmental” and “Environmental Matters” in Part II, Item 8. Financial Statements and Supplementary Data — Note 18 – Contingencies and Commitments.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competitive strategy spans all of its product and service offerings. Williams has a narrowed natural gas value chain focus that supports the exceptional reliability and quality services that are valued by its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Gathering and Processing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Competition for natural gas gathering, processing, treating, transportation, and storage, as well as NGLs transportation, fractionation, and storage continues to increase as United States production continues to grow. Williams’ midstream services compete with similar facilities that are in close proximity to its assets.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faces competition from companies of varying size and financial capabilities, including major and independent natural gas midstream providers, private equity firms, and major integrated oil and natural gas companies that gather, transport, process, fractionate, store, and market natural gas and NGLs, as well as some larger exploration and production companies that are choosing to develop midstream services to handle their own natural gas.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gathering and processing agreements are generally long-term agreements that may include acreage dedication. Competition for natural gas volumes is primarily based on reputation, flexibility of commercial terms (including but not limited to fees charged, products retained, volume commitments), available capacity, array and quality of services provided, as well as efficiency, reliability, and safety of services. Williams believes its significant presence in key supply basins, expertise and reputation as a reliable and safe operator, commitment to sustainability, and ability to offer integrated packages of services positions it well against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Regulated Interstate Natural Gas Transportation and Storage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for supplying natural gas is highly competitive and new pipelines, storage facilities, and other related services are expanding to service the growing demand for natural gas. Additionally, pipeline capacity in many natural gas supply basins is constrained and facing more regulation and opposition causing competition to increase among pipeline companies as they strive to connect those basins to major natural gas demand centers.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predominately competes with major intrastate and interstate natural gas pipelines. Some local distribution companies are also involved in the long-haul transportation business through joint venture pipelines. The principle elements of competition in the interstate natural gas pipeline business are based on available capacity, rates, reliability, quality of customer service, diversity and flexibility of supply, and proximity or access to customers and market hubs.</w:t>
      </w:r>
    </w:p>
    <w:p>
      <w:pPr>
        <w:spacing w:after="0" w:line="19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Williams faces competition in a number of key markets, and competes with other interstate and intrastate pipelines for deliveries to customers who can take deliveries at multiple points. Natural gas delivered on Williams’ system competes with alternative energy sources used to generate electricity such as hydroelectric power, solar, wind, coal, fuel oil, and nuclear. Future demand for natural gas within the power sector could be increased by growing power demand and by regulations limiting or discouraging coal use in power generation. Conversely, natural gas demand could be adversely affected by laws mandating or encouraging solar and wind power sources or restricting the use of natural gas in power generation.</w:t>
      </w:r>
    </w:p>
    <w:p>
      <w:pPr>
        <w:spacing w:after="0" w:line="211"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Significant entrance barriers to build new pipelines exist, including increased federal and state regulations and elevated public opposition against new pipeline builds, and these factors will continue to impact potential competition for the foreseeable future. However, Williams believes past success in working with regulators and the public, the position of its existing infrastructure, established strategic long-term contracts, and the fact that Williams’ pipelines have numerous receipt and delivery points provide it a competitive advantage, especially along the eastern seaboard and northwestern United States.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Management and Marketing Services</w:t>
      </w:r>
    </w:p>
    <w:p>
      <w:pPr>
        <w:spacing w:after="0" w:line="14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Gas &amp; NGL Marketing Services segment competes with national and regional full-service energy providers, producers, and pipeline marketing affiliates or other marketing companies that aggregate commodities with transportation and storage capacity.</w:t>
      </w:r>
    </w:p>
    <w:p>
      <w:pPr>
        <w:spacing w:after="0" w:line="13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additional information regarding competition for Williams services or otherwise affecting our business, please refer to Part 1, Item 1A. “Risk Factors” - “</w:t>
      </w:r>
      <w:r>
        <w:rPr>
          <w:rFonts w:ascii="Times New Roman" w:cs="Times New Roman" w:eastAsia="Times New Roman" w:hAnsi="Times New Roman"/>
          <w:sz w:val="18"/>
          <w:szCs w:val="18"/>
          <w:i w:val="1"/>
          <w:iCs w:val="1"/>
          <w:color w:val="auto"/>
        </w:rPr>
        <w:t>The business, operating results, and financial condition of Williams’, Transco’s, and NWP’s natural gas transportation and midstream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businesses are dependent on the continued availability of natural gas supplies in the supply basins and demand for those supplies in the markets that they 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energy industry is highly competitive, and increased competitive pressure could adversely affect Williams’, Transco’s, and NWP’s businesses and operating results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Williams, Transco, and NWP may not be able to replace, extend, or add additional customer contracts or contracted volumes on favorable terms, or at all, as applicable, which could affect Williams’, Transco’s, and NWP’s financial condition and ability to grow, as well as the amount of cash available to Williams to pay dividends.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is committed to maintaining a work environment that enables Williams to attract, develop, and retain a highly skilled and diverse group of talented employees who help promote long-term value creation now and into the clean energy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February 1, 2026, Williams had 5,987 full-time employees located throughout the United States. During 2025, Williams’ voluntary turnover rate was 6.3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Transco and NWP have no employees. Operations, management and certain administrative services are provided by Williams for both Transco and NWP.</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2024 Sustainability Report is available on its website for more information about human capital programs and initiatives. The 2025 Sustainability Report will be available in the summer of 2026. Nothing on Williams’ website shall be deemed incorporated by reference into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Safety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continues to advance a safety-first culture by developing and empowering employees to operate assets in a safe, reliable, and customer-</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focused way. Williams strives to continuously improve safety and implement best practices to progress towards zero safety incidents. When a safety hazard is recognized, every employee has the authority and responsibility to stop work activities, make changes to enhance safety, and share the lessons learned with the organization on how we made it right.</w:t>
      </w:r>
    </w:p>
    <w:p>
      <w:pPr>
        <w:spacing w:after="0" w:line="18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Williams includes three safety and environmental metrics as a part of its Annual Incentive Program design. For 2025, these goals included Critical Tier 3 Loss of Primary Containment (LOPC) Ratio, a High Potential Hazard Identification to Incident Ratio goal aimed to focus attention on behaviors that are the leading causes of incidents, as well as a Methane Emissions Intensity Reduction goal focusing on efforts to reduce greenhouse gas emissions by safely and reliably operating and maintaining assets. These three metrics comprise 15 percent of Williams annual incentive program for eligible employees, and reinforce the importance of incident prevention and a commitment to environmental and safety-focused improvements.</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2025, the LOPC Ratio, High Potential Hazard Identification to Incident Ratio and Methane Emissions Intensity Reduction goals outperformed the established targets.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Health, Engagement, and Development</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employees are its most valued resource, are instrumental in our mission to safely deliver products that support the clean energy economy, and are the driving force behind Williams’ reputation as a safe, reliable company that does the right thing, every time. Cultivating a healthy work environment increases productivity, enhances employee satisfaction, and promotes long-term value creation.</w:t>
      </w:r>
    </w:p>
    <w:p>
      <w:pPr>
        <w:spacing w:after="0" w:line="19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provides a competitive total rewards program that includes base salary, an annual incentive program, retirement benefits, and health benefits, including wellness and employee assistance programs. Williams provides employees with company-paid life insurance, disability coverage, and paid parental leave for both birth and non-birth parents, as well as adoption assistance. The annual incentive program is a key component of Williams’ commitment to a performance culture focused on recognizing and rewarding high performance.</w:t>
      </w:r>
    </w:p>
    <w:p>
      <w:pPr>
        <w:spacing w:after="0" w:line="96"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In order to attract and retain top talent, Williams creates and is committed to maintaining a safe, inclusive workplace where employees feel valued, heard, respected, and supported in their personal and professional development. Williams leverages social and digital platforms like a careers site, external job boards, virtual and in-person career fairs and community events to attract candidates who have the specific skills we need. Further, leaders participate in training and utilize interview guides with collaboration-focused questions to ensure they are equipped with interviewer best practices that help them holistically evaluate candidates. Williams leverages employee-led resource groups to better understand business needs from the employee perspective, particularly related to engagement, development, and inclusion. Additionally, Williams supports employee engagement through formal programming including professional development, mentoring, and succession planning.</w:t>
      </w:r>
    </w:p>
    <w:p>
      <w:pPr>
        <w:spacing w:after="0" w:line="203"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Williams provides extensive corporate and technical training programs that are agile and robust. These programs are designed to support the professional, skill, and technological development of employees, which in turn creates a competitive advantage. Williams is committed to adding long-term value by investing in employees’ growth and development. In addition to internal development programming, Williams also supports external development opportunities to further enhance employees’ professional and technical skills. Performance is measured considering both the achieved results associated with attaining annual goals and the observable skills and behaviors based on defined competencies that contribute to workplace effectiveness and career success. All formal leaders are evaluated on an additional competency around building high-performing teams. Including the defined competencies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annual performance assessments illustrates Williams’ emphasis on, and commitment to, achieving results in the right way.</w:t>
      </w:r>
    </w:p>
    <w:p>
      <w:pPr>
        <w:spacing w:after="0" w:line="22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Additionally, Williams is committed to strengthening the communities where we operate through philanthropy and volunteerism. Williams supports Science, Technology, Engineering, and Math education initiatives, community benefit projects, environmental conservation, first responder efforts, and the work of United Way agencies across the United States.</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and Management Development Committee of Williams’ Board of Directors oversees executive compensation and equity-based compensation plans and the material risks associated with the compensation program, as well as the oversight elements of human capital management, including talent development and diversity and inclusion.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Inclusive Workforce</w:t>
      </w:r>
    </w:p>
    <w:p>
      <w:pPr>
        <w:spacing w:after="0" w:line="22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Williams is committed to creating an inclusive culture, where differences are embraced and employees feel valued, welcomed, appreciated, and compelled to reach their full potential. Williams believes that inclusion fosters innovation, collaboration, and drives business growth and long-term success. To create a culture of inclusion, Williams embraces, appreciates, and fully leverages the diversity of background and experience within teams. Williams believes that incorporating differences into a team of people who are working toward the same goal provides a competitive advantage.</w:t>
      </w:r>
    </w:p>
    <w:p>
      <w:pPr>
        <w:spacing w:after="0" w:line="12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Williams’ Employee Resource Groups (ERGs) create space for employees to share personal experiences and perspectives, appreciate differences, and promote inclusion across the company. ERGs are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led, based on shared interests and experiences, represent diverse communities and their allies, and are open to all employees. Members participate in community and volunteer events, provide professional and personal support, and contribute to a culture where all individuals can achieve their full potential.</w:t>
      </w:r>
    </w:p>
    <w:p>
      <w:pPr>
        <w:spacing w:after="0" w:line="146"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ERG Roundtable, led by ERG Leaders and inclusive of organizational and operational leaders and employees from across the company, support alignment and collaboration across enterprise inclusion efforts. Through this forum, ERG leaders coordinate priorities, share best practices, and advance policies, practices, and procedures that support the growth of a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performing workforce. Each ERG leadership team includes one or two vice president sponsors, and leadership teams coordinate and prioritize efforts with corporate oversight and support, including events organized and hosted by Williams’ 10 ERGs.</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is committed to helping all employees develop and succeed. Williams seeks inclusive representation at all levels of the organization through our talent management practices and employee development programs.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Williams’ Board of Directors includes 12 members, 10 of whom are independent members. As part of the director selection and nominating process, the Governance and Sustainability Committee annually assesses the Board’s effectiveness. Williams strives to maintain a board of directors with varied occupational and personal backgrounds.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Affiliates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Transco and NWP engage in transactions with Williams and its subsidiaries. Please see Part II, Item 8. Financial Statements and Supplementary Data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Note 1 – Description of Business, Basis of Presentation, and Summary of Significant Accounting Policies and Note 4 – Related Party Transactions.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Reports and Other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files its annual report on Form 10-K, quarterly reports on Form 10-Q, current reports on Form 8-K, proxy statements, and other documents electronically with the SEC under the Exchange Act.</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Williams’ Internet website is www.williams.com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Williams makes available, free of charge, through the Investors tab of its Internet website its annual report on Form 10-K, quarterly reports on Form 10-Q, current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99"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those reports filed or furnished pursuant to Section 13(a) or 15(d) of the Exchange Act as soon as reasonably practicable after Williams electronically files such material with, or furnishes it to, the SEC. Williams Corporate Governance Guidelines, Sustainability Report, Board committee charters, and the Williams Code of Business Conduct are also available on the Internet website. Williams will also provide, free of charge, a copy of any of our corporate documents listed above upon written request to Williams’ Corporate Secretary, One Williams Center, Suite 4700, Tulsa, Oklahoma 74172.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12" w:lineRule="exact"/>
        <w:rPr>
          <w:sz w:val="20"/>
          <w:szCs w:val="20"/>
          <w:color w:val="auto"/>
        </w:rPr>
      </w:pPr>
    </w:p>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FORWARD-LOOKING STATEMENTS AND CAUTIONARY STATEMENT FOR PURPOSES OF THE “SAFE HARBOR” PROVISIONS OF THE PRIVATE SECURITIES LITIGATION REFORM ACT OF 1995</w:t>
      </w:r>
    </w:p>
    <w:p>
      <w:pPr>
        <w:spacing w:after="0" w:line="175"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The reports, filings, and other public announcements of Williams, Transco, and NWP may contain or incorporate by reference statements that do not directly or exclusively relate to historical facts. Such statements are “forward-looking statements” within the meaning of Section 27A of the Securities Act and Section 21E of the Exchange Act. These forward-looking statements relate to anticipated financial performance, management’s plans and objectives for future operations, business prospects, outcomes of regulatory proceedings, market conditions, and other matters. Williams, Transco, and NWP make these forward-looking statements in reliance on the safe harbor protections provided under the Private Securities Litigation Reform Act of 1995, as applicable.</w:t>
      </w:r>
    </w:p>
    <w:p>
      <w:pPr>
        <w:spacing w:after="0" w:line="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report that address activities, events, or developments that Williams, Transco, and NWP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w:t>
      </w:r>
    </w:p>
    <w:p>
      <w:pPr>
        <w:spacing w:after="0" w:line="7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dividends to Williams’ stockholders;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credit ratings of Transco, NWP, and Williams and its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capital expenditures;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growth of business and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in-service dates for capital projects;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liquidity;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or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case filings;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certain business components;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natural gas liquids, and crude oil prices, supply, and demand;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services.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numerous assumptions, uncertainties, and risks that could cause future events or results to be materially different from those stated or implied in this report. Many of the factors that will determine these results are beyond Williams’, Transco’s, and NWP’s ability to control or predict. Specific factors that could cause actual results to differ from results contemplated by the forward-looking statements include, among others, the following:</w:t>
      </w:r>
    </w:p>
    <w:p>
      <w:pPr>
        <w:spacing w:after="0" w:line="7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supplies, market demand, and volatility of prices;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rate of adoption of alternative energy sources;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future laws and regulations, the regulatory environment, environmental matters, and litigation, as well as the ability and the ability of other energy companies with whom Williams, Transco, and NWP conduct or seek to conduct business, to obtain necessary permits and approvals, and the ability to achieve favorable rate proceeding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the credit risk of customers and counterparties;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ability to acquire new businesses and assets and successfully integrate those operations and assets into existing businesses as well as successfully expand facilities and consummate asset sales on acceptable terms;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identify, evaluate, and timely execute on capital projects and investment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financial resources of competitors and the effects of competition;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distributions from and capital requirements of Williams’ investments and joint ventures in which Williams participates;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Williams to effectively execute on its financing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changing expectations from stakeholders with respect to environmental, social, and governance practices;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and financial risks associated with climate change;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operational and developmental hazards and unforeseen interruptions;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resulting from outbreaks or other public health crises;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weather and natural phenomena, including climate conditions and physical damage to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cybersecurity incidents, and related disruptions;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costs and funding obligations for defined benefit pension plans and other postretirement benefit plans, and Transco’s and NWP’s allocations regarding the same;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maintenance and construction costs, as well as the ability to obtain sufficient construction- related inputs, including skilled labor;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interest rates, tariffs on foreign-made materials and goods (including steel and steel pipes) necessary to conduct business, and general economic conditions (including future disruptions and volatility in the global credit markets and the impact of these events on customers and suppliers);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financing, including restrictions stemming from debt agreements, future changes in credit ratings as determined by nationally recognized credit rating agencies, and the availability and cost of capital;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members of the Organization of Petroleum Exporting Countries (OPEC) and other oil exporting nations to agree to and maintain oil price and production controls and the impact on domestic production;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current geopolitical situation;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governmental administration and policies;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Williams is able to pay current and expected levels of dividends;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described in Williams’, Transco’s, and NWP’s SEC filings.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uncertainties and risk factors that could cause Williams’, Transco’s, and NWP’s actual results to differ materially from those contained in any forward-looking statement, Williams, Transco, and NWP caution investors not to unduly rely on these forward-looking statements. Williams, Transco, and NWP disclaim any obligations to, and do not intend to, update the above list or announce publicly the result of any revisions to any of the forward-looking statements to reflect future events or developments.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causing actual results to differ, the factors listed above and referred to below may cause Williams’, Transco’s, and NWP’s intentions to change from those statements of intention set forth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changes in intentions may also cause results to differ. Williams, Transco, and NWP may change intentions, at any time and without notice, based upon changes in such factors, assumptions, or otherwise.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forward-looking statements involve risks and uncertainties, Williams, Transco, and NWP caution that there are important factors, in addition to those listed above, that may cause actual results to differ materially from those contained in the forward-looking statements. These factors are described in the following section.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following risk factors in addition to the other information in this report. Each of these factors could adversely affect Williams’, Transco’s, and NWP’s businesses, prospects, financial condition, results of operations, cash flows, and, in some cases, reputation. The occurrence of any of such risks could also adversely affect the value of an investment in securities. These factors are summarized below and described in more detail following the summary.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Business</w:t>
      </w:r>
    </w:p>
    <w:p>
      <w:pPr>
        <w:spacing w:after="0" w:line="121"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business, operating results, and financial condition of Williams’, Transco’s, and NWP’s natural gas transportation and midstream businesses are dependent on the continued availability of natural gas supplies in the supply basins and demand for those supplies in the markets that they serve.</w:t>
      </w:r>
    </w:p>
    <w:p>
      <w:pPr>
        <w:spacing w:after="0" w:line="67" w:lineRule="exact"/>
        <w:rPr>
          <w:rFonts w:ascii="Times New Roman" w:cs="Times New Roman" w:eastAsia="Times New Roman" w:hAnsi="Times New Roman"/>
          <w:sz w:val="18"/>
          <w:szCs w:val="18"/>
          <w:b w:val="1"/>
          <w:bCs w:val="1"/>
          <w:i w:val="1"/>
          <w:iCs w:val="1"/>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for natural gas, NGLs, oil, LNG, and other commodities are volatile, and this volatility has and could continue to adversely affect Williams’ financial condition, results of operations, cash flows, access to capital, and ability to maintain or grow its business.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prolonged changes in natural gas prices could affect supply and demand for Transco and NWP and cause a reduction in or termination of their long-term transportation and storage contracts or throughput on their systems.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are exposed to the credit risk of customers and counterparties, and credit risk management will not be able to completely eliminate such risk.</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may not be able to grow or effectively manage growth, including the pursuit and operational implementation of power innovation projects.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energy industry is highly competitive, and increased competitive pressure could adversely affect Williams’, Transco’s, and NWP’s businesses and operating results.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does not own 100 percent of the equity interests of certain subsidiaries, including the nonconsolidated entities, which may limit its ability to operate and control these subsidiaries. Certain operations, including the nonconsolidated entities, are conducted through arrangements that may limit Williams’ ability to operate and control these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may not be able to replace, extend, or add additional customer contracts or contracted volumes on favorable terms, or at all, as applicable, which could affect Williams’, Transco’s, and NWP’s financial condition and ability to grow, as well as the amount of cash available to Williams to pay dividends.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Williams’, Transco’s, and NWP’s natural gas pipeline services are subject to long-term, fixed-price contracts that are not subject to adjustment, even if the cost to perform such services exceeds the revenues received from such contracts.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Williams’, Transco’s, and NWP’s businesses are exposed to supplier concentration risks arising from dependence on a single or a limited number of suppliers.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Transco and NWP depend on certain key customers for a significant portion of their revenues. The loss of any of these key customers or the loss of any contracted volumes could result in a decline in Transco’s and NWP’s respective businesses.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service providers or disruptions to outsourcing relationships might negatively impact Williams’, Transco’s, and NWP’s ability to conduct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Williams’ assets, including property, plant, and equipment, intangible assets, and/or equity-method investments, could reduce Williams’ earnings.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may face opposition to the operation and expansion of pipelines and facilities from various individuals and groups or face increased scrutiny from various stakeholders with respect to environmental, social and governance practices.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may be subject to physical and financial risks associated with climate change.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operations are subject to operational risks and hazards that might result in unforeseen interruptions.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assets and operations, as well as their customers’ assets and operations, can be adversely affected by weather and other natural phenomena.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businesses could be negatively impacted by acts of terrorism and related disruptions.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information technology infrastructure, including a breach caused by a cybersecurity attack on Williams, Transco, or NWP, or the third parties with whom they are interconnected, may interfere with the safe operation of assets, result in the disclosure of personal or proprietary information, and cause reputational harm.</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pipelines and other facilities interconnected to Williams’, Transco’s, and NWP’s pipelines and facilities become unavailable to transport natural gas and NGLs or to treat natural gas, as applicable, Williams’, Transco’s, and NWP’s revenues could be adversely affected.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operating results for certain components of its business might fluctuate on a seasonal basis.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do not own all of the land on which their pipelines and facilities are located, which could disrupt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business could be negatively impacted as a result of stockholder activism.</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costs and funding obligations for defined benefit pension plans and other postretirement benefit plans, and Transco’s and NWP’s allocations regarding the same, are affected by factors beyond Williams’ control.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Financing</w:t>
      </w:r>
    </w:p>
    <w:p>
      <w:pPr>
        <w:spacing w:after="0" w:line="121" w:lineRule="exact"/>
        <w:rPr>
          <w:sz w:val="20"/>
          <w:szCs w:val="20"/>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of Williams’, Transco’s, and NWP’s credit ratings, which are determined outside of their control by independent third parties, could impact liquidity, access to capital, and costs of doing business, and the ability of Transco and NWP to obtain credit in the future could be affected by Williams’ credit ratings.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 conditions in the global financial markets and the economy in general could negatively affect Williams’, Transco’s, and NWP’s businesses and results of operations.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Williams’, Transco’s, and NWP’s debt agreements and the amount of their indebtedness may affect their future financial and operating flexibility.</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interest rates or increases in interest rates could adversely impact Williams’, Transco’s, and NWP’s access to credit, share price and ability to issue securities or incur debt for acquisitions or other purposes, as applicable, and Williams’ ability to make cash dividends at intended levels.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hedging activities might not be effective and could increase the volatility of Williams’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could be affected by financial institutions’ policies concerning fossil-fuel related businesses.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can exercise substantial control over Transco’s and NWP’s distribution policies, businesses and operations and may do so in a manner that is adverse to Transco’s and NWP’s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Regulation</w:t>
      </w:r>
      <w:r>
        <w:rPr>
          <w:rFonts w:ascii="Times New Roman" w:cs="Times New Roman" w:eastAsia="Times New Roman" w:hAnsi="Times New Roman"/>
          <w:sz w:val="18"/>
          <w:szCs w:val="18"/>
          <w:b w:val="1"/>
          <w:bCs w:val="1"/>
          <w:color w:val="auto"/>
        </w:rPr>
        <w:t>s</w:t>
      </w:r>
    </w:p>
    <w:p>
      <w:pPr>
        <w:spacing w:after="0" w:line="121" w:lineRule="exact"/>
        <w:rPr>
          <w:sz w:val="20"/>
          <w:szCs w:val="20"/>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Williams’, Transco’s, and NWP’s businesses might be adversely affected by regulatory proceedings, including FERC proceedings, changes in government regulations or in their interpretation or implementation, or the introduction of new laws or regulations applicable to Williams’, Transco’s, and NWP’s businesses or customers.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operations are subject to environmental laws and regulations, including laws and regulations relating to climate change and greenhouse gas emissions, which may expose them to significant costs, liabilities, and expenditures that could exceed expectations.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Williams, Transco, and NWP do not insure against all potential risks and losses and could be seriously harmed by unexpected liabilities or by the inability of insurers to satisfy claims.</w:t>
      </w:r>
    </w:p>
    <w:p>
      <w:pPr>
        <w:spacing w:after="0" w:line="5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and retain an appropriately qualified workforce could negatively impact Williams’, Transco’s, and NWP’s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Williams’ common stock may not receive dividends in the amount expected or any dividends.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operating results, and financial condition of Williams’, Transco’s, and NWP’s natural gas transportation and midstream businesses are dependent on the continued availability of natural gas supplies in the supply basins and demand for those supplies in the markets that they serve.</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ability of Williams, Transco, and NWP to maintain and expand their natural gas transportation and midstream businesses depends on the level of drilling and production, predominantly by third parties, in the supply basins near Williams’, Transco’s, and NWP’s pipelines and gathering systems. Production from existing wells and natural gas supply basins with access to Williams’, Transco’s, and NWP’s pipeline and gathering systems will naturally decline over time. The amount of natural gas reserves underlying these existing wells may also be less than anticipated, and the rate at which production from these reserves declines may be greater than anticipated. Williams, Transco, and NWP do not obtain independent evaluations of natural gas reserves, and thus, do not have independent estimates of total reserves dedicated to, or the anticipated life of reserves connected to, Williams’, Transco’s, and NWP’s systems and processing facilities. In addition, low prices for natural gas, regulatory limitations, including permitting and environmental regulations, or the lack of available capital have, and may continue to, adversely affect the development and production of existing or additional natural gas reserves, the installation of gathering, storage, and pipeline transportation facilities, and the import and export of natural gas suppliers. Localized low natural gas prices in one or more of the existing supply basins connected to Williams, Transco, or NWP, whether caused by a lack of infrastructure or otherwise, could also result in depressed natural gas production in such basins and limit the supply of natural gas available. The competition for natural gas supplies to serve other markets could also reduce the amount of natural gas supply for customers. A failure to obtain access to sufficient natural gas supplies will adversely impact Williams’, Transco’s, and NWP’s ability to maximize the capacities of their gathering, transportation, and processing facilities, as applicable.</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Demand for Williams’, Transco’s, and NWP’s services is dependent on the demand for gas in the markets served. Demand for natural gas can be affected by weather, future industrial and economic conditions, fuel conservation measures, alternative fuel sources such as electricity, coal, fuel oils, or nuclear energy, technological advances in fuel economy, energy generation, and renewable sources of energy, and governmentally imposed constraints, such as prohibitions on natural gas hookups in newly constructed buildings, all of which are matters beyond Williams’, Transco’s, and NWP’s control.</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failure to obtain access to sufficient natural gas supplies or a reduction in demand for services in the markets served by Williams, Transco, and NWP could result in impairments of Williams’ assets and have a material adverse effect on Williams’, Transco’s, and NWP’s businesses,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Prices for natural gas, NGLs, oil, LNG, and other commodities are volatile, and this volatility has and could continue to adversely affect Williams’ financial condition, results of operations, cash flows, access to capital, and ability to maintain or grow its business.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revenues, operating results, future rate of growth, and the value of certain components of its business depend primarily upon the prices of natural gas, NGLs, oil, LNG, or other commodities, and the differences between prices of these commodities, and could be materially adversely affected by an extended period of low commodity prices or a decline in commodity prices. Price volatility has and could continue to impact both the amount Williams receives for products and services and the volume of products and services sold. Prices affect the amount of cash flow available for capital expenditures and Williams’ ability to borrow money or raise additional capital. Price volatility has had, and could continue to have, an adverse effect on Williams’ business, results of operations, financial condition, and cash flows.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markets for natural gas, NGLs, oil, LNG, and other commodities are likely to continue to be volatile. Wide fluctuations in prices might result from one or more factors beyond Williams’ control, including:</w:t>
      </w:r>
    </w:p>
    <w:p>
      <w:pPr>
        <w:spacing w:after="0" w:line="54" w:lineRule="exact"/>
        <w:rPr>
          <w:sz w:val="20"/>
          <w:szCs w:val="20"/>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Imbalances in supply and demand whether rising from worldwide or domestic supplies of and demand for natural gas, NGLs, oil, LNG, and related commodities;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turmoil in producing regions;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OPEC and other countries, whether acting independently of or informally aligned with OPEC, which have significant oil, natural gas, or other commodity production capabilities, including Russia;</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consumer demand;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other types of fuels or feedstocks;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pipeline capacity;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disruptions, including plant outages and transportation disruptions;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foreign imports and domestic exports of natural gas and oil;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foreign governmental regulations and taxes;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of participants in the markets where products are bought and sold.</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prolonged changes in natural gas prices could affect supply and demand for Transco and NWP and cause a reduction in or termination of their long-term transportation and storage contracts or throughput on their systems.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Higher natural gas prices over the long term could result in a decline in the demand for natural gas and, therefore, in Transco’s and NWP’s long-term transportation and storage contracts or throughput on their systems. Also, lower natural gas prices over the long term could result in a decline in the production of natural gas, resulting in reduced contracts or throughput on their systems. As a result, significant prolonged changes in natural gas prices could have a material adverse effect on Transco’s and NWP’s businesses, financial condition, results of operations, and cash flows.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 and NWP are exposed to the credit risk of customers and counterparties, and credit risk management will not be able to completely eliminate such risk.</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Transco, and NWP are subject to the risk of loss resulting from nonpayment and/or nonperformance by customers and counterparties in the ordinary course of business. Generally, Williams’, Transco’s, and NWP’s customers are rated investment grade, are otherwise considered creditworthy, are required to make prepayments or provide security to satisfy credit concerns, or are dependent upon Williams, Transco or NWP, in some cases without a readily available alternative, to provide necessary services. However, Williams’, Transco’s, and NWP’s credit procedures and policies cannot completely eliminate customer and counterparty credit risk. Williams’, Transco’s, and NWP’s customers and counterparties include industrial customers, local distribution companies, natural gas producers, and marketers whose creditworthiness may be suddenly and disparately impacted by, among other factors, commodity price volatility, deteriorating energy market conditions, and public and regulatory opposition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energy producing activities. In a low commodity price environment, certain customers have been or could be negatively impacted, causing them significant economic stress resulting, in some cases, in a customer bankruptcy filing or an effort to renegotiate contracts. To the extent one or more of Williams’, Transco’s, or NWP’s key customers commences bankruptcy proceedings, the contracts with such customers may be subject to rejection under applicable provisions of the United States Bankruptcy Code or may be renegotiated. Further, during any such bankruptcy proceeding, prior to assumption, rejection, or renegotiation of such contracts, the bankruptcy court may temporarily authorize the payment of value for services less than contractually required, which could have a material adverse effect on Williams’, Transco’s, and NWP’s businesses, results of operations, cash flows, and financial condition. If Williams, Transco, and NWP fail to adequately assess the creditworthiness of existing or future customers and counterparties or otherwise do not take sufficient mitigating actions, including obtaining sufficient collateral, deterioration in their creditworthiness and any resulting increase in nonpayment and/or nonperformance by them could cause Williams, Transco, or NWP to write down or write off accounts receivable. Such write-downs or write-offs could negatively affect Williams’, Transco’s, or NWP’s operating results for the period in which they occur, and, if significant, could have a material adverse effect on Williams’, Transco’s, or NWP’s businesses, financial condition, results of operations, and cash flows.</w:t>
      </w:r>
    </w:p>
    <w:p>
      <w:pPr>
        <w:spacing w:after="0" w:line="8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 and NWP may not be able to grow or effectively manage growth, including the pursuit and operational implementation of power innovation projects.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part of Williams’ growth strategy, Williams considers acquisition opportunities. Suitable acquisition candidates or assets may not be available on terms and conditions Williams finds acceptable or, where multiple parties are trying to acquire an acquisition candidate or assets, Williams may not be chosen as the acquirer. If Williams is able to acquire a targeted business, Williams may not be able to successfully integrate the acquired businesses and realize anticipated benefits in a timely manner.</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as part of Williams’, Transco’s, and NWP’s growth strategy, Williams, Transco, and NWP engage in significant capital projects and have both a project lifecycle process and an investment evaluation process. These are the processes used to identify, evaluate, and execute on capital projects, and the investment evaluation process is used by Williams’ to identify, evaluate, and execute on acquisitions. Williams, Transco, and NWP may not always have sufficient and accurate information to identify and value potential opportunities and risks or the investment evaluation process may be incomplete or flawed. Growth may also be dependent upon the construction of new natural gas gathering, transportation, compression, processing, or treating pipelines and facilities, NGL transportation, or fractionation or storage facilities as well as the expansion of existing facilities. Additional risks associated with construction may include the inability to obtain rights-of-way, skilled labor, equipment, materials, permits, and other required inputs in a timely manner such that projects are completed, on time or at all, and the risk that construction cost overruns, including due to inflation or the imposition of tariffs on foreign-made materials and goods (including steel and steel pipes) necessary to conduct business, could cause total project costs to exceed budgeted costs. Additional risks associated with growing the business include, among others, that:</w:t>
      </w:r>
    </w:p>
    <w:p>
      <w:pPr>
        <w:spacing w:after="0" w:line="86" w:lineRule="exact"/>
        <w:rPr>
          <w:sz w:val="20"/>
          <w:szCs w:val="20"/>
          <w:color w:val="auto"/>
        </w:rPr>
      </w:pPr>
    </w:p>
    <w:p>
      <w:pPr>
        <w:ind w:left="660" w:right="2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circumstances and deviations in variables could negatively impact the investment analysis, including projections of revenues, earnings, and cash flow relating to potential investment targets, resulting in outcomes that are materially different than anticipated;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or NWP could be required to contribute additional capital to support acquired businesses or assets, and Williams, Transco, or NWP may assume liabilities that were not disclosed, exceed estimates and for which contractual protections are either unavailable or prove inadequate;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disrupt ongoing business, distract management, divert financial and operational resources from existing operations, and make it difficult to maintain current business standards, controls, and procedures;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capital projects may require substantial new capital, including the issuance of debt or equity, and Williams, Transco, or NWP may not be able to access credit or capital markets or obtain acceptable terms.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realized, any of these risks could have an adverse impact on Williams’, Transco’s, and NWP’s financial condition, results of operations, including the possible impairment of assets,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Williams has invested in several power innovation projects and continues to evaluate power innovation projects related to data center growth. Additional risks associated with identifying, evaluating, and executing on power innovation projects may include accurately predicting future power needs of data centers due to rapidly changing technology and market dynamics, which could result in underutilized or stranded assets; managing the potential power demand; obtaining or constructing power generation sources, including sourcing turbines and batteries and maintaining other transmission capabilities to meet potential load growth from any data center customer; financing the capital investment needed to build and maintain the necessary infrastructure to support data center development; managing community opposition; managing the possible environmental impact of power innovation projects, and evaluating and complying with evolving regulations related to data center development. Risks associated with construction are similar to those described above for other capital projects, including obtaining long-lead specialized equipment and materials, such that projects are completed, on time or at all, and the risk that construction cost overruns, including due to inflation or the imposition of tariffs on foreign-made materials and goods necessary to conduct business, could cause total project costs to exceed budgeted costs. Williams’ behind the meter power generation projects require the constant, reliable production of electricity, which if not met, may result in contractual penalties and reputational damage, among other consequences. If realized, any of these risks could have an adverse impact on Williams’ financial condition, results of operations, including the possible impairment of assets, or cash flows.</w:t>
      </w:r>
    </w:p>
    <w:p>
      <w:pPr>
        <w:spacing w:after="0" w:line="7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energy industry is highly competitive, and increased competitive pressure could adversely affect Williams’, Transco’s, and NWP’s businesses and operating results.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has numerous competitors in all aspects of its businesses, and additional competitors may enter its markets. Any current or future competitor that delivers natural gas, NGLs, or other commodities into the areas that Williams operates could offer transportation services that are more desirable to shippers than those Williams provides because of price, location, facilities, or other factors. In addition, current or potential competitors may make strategic acquisitions or have greater financial resources, which could affect Williams’ ability to make strategic investments or acquisitions. Competitors may be able to respond more quickly to new laws or regulations or emerging technologies or to devote greater resources to the construction, expansion, or refurbishment of their facilities. Further, natural gas also competes with other forms of energy available to customers, including electricity, coal, fuel oils, and other alternative energy sources. Failure to successfully compete against current and future competitors could have a material adverse effect on Williams’ business, results of operations, financial condition, and cash flows.</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Similarly, Transco and NWP compete primarily with other interstate pipelines and storage facilities in the transportation and storage of natural gas. The principal elements of competition among interstate natural gas transportation and storage assets are rates, terms of service, access to natural gas supplies, flexibility, and reliability. Although most of Transco’s and NWP’s current capacity is fully contracted, the FERC has taken certain actions to strengthen market forces in the interstate natural gas pipeline industry that have led to increased competition throughout the industry. Similarly, a highly liquid competitive commodity market in natural gas, and increasingly competitive markets for natural gas services, including competitive secondary markets in pipeline capacity, have developed. As a result, pipeline capacity is being used more efficiently, and peaking and storage services are increasingly effective substitutes for annual pipeline capacity. As a result, Transco and NWP could experience some “turnback” of firm capacity as the primary terms of existing agreements expire. If Transco and NWP are unable to remarket this capacity or can remarket it only at substantially discounted rates compared to previous contracts, they or their remaining customers, may have to bear the costs associated with the turned back capacity. Moreover, Williams and its other affiliates may not be limited in their ability to compete with Transco and NWP.</w:t>
      </w:r>
    </w:p>
    <w:p>
      <w:pPr>
        <w:spacing w:after="0" w:line="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some of Transco’s and NWP’s competitors may have greater financial resources and access to greater supplies of natural gas than they do. Some of these competitors may expand or construct transportation and storage systems that would serve the same markets as Transco and NWP or create additional competition for natural gas supplies or the services provided to customers. Any new pipelines could offer transportation services that are more desirable to shippers because of locations, facilities, rates, or other factors. Transco and NWP are aware of proposals by competitors to expand pipeline capacity in certain markets Transco and NWP also serve. Transco and NWP may not be able to successfully compete against current and future competitors and any failure to do so could have a material adverse effect on Transco’s and NWP’s businesses,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Williams does not own 100 percent of the equity interests of certain subsidiaries, including the nonconsolidated entities, which may limit its ability to operate and control these subsidiaries. Certain operations, including the nonconsolidated entities, are conducted through arrangements that may limit Williams’ ability to operate and control these operations.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operations of Williams’ current non-wholly owned subsidiaries are conducted in accordance with their organizational documents. Williams anticipates that it will enter into more such arrangements, including through new joint venture structures. Williams may have limited operational flexibility in such current and future arrangements and may not be able to control the timing or amount of cash distributions received. In certain cases:</w:t>
      </w:r>
    </w:p>
    <w:p>
      <w:pPr>
        <w:spacing w:after="0" w:line="68"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cannot control the amount of cash reserves determined to be necessary to operate the business, which reduces cash available for distributions;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cannot control the amount of capital expenditures that it is required to fund, and Williams is dependent on third parties to fund their required share of capital expenditures;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may be subject to restrictions or limitations on its ability to sell or transfer its interests in the jointly owned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may be forced to offer rights of participation to other joint venture participants in the area of mutual interest;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has limited ability to influence or control certain day to day activities affecting the operations;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may have additional obligations, such as required capital contributions that are important to the success of the operations.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conflicts of interest may arise between Williams, on the one hand, and other interest owners, on the other hand. If such conflicts of interest arise, Williams may not have the ability to control the outcome with respect to the matter in question. Disputes between Williams and other interest owners may also result in delays, litigation, or operational impasses.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risks described above or the failure to continue such arrangements could adversely affect Williams’ ability to conduct the operations that are the subject of such arrangements which could, in turn, negatively affect Williams’ business, growth strategy, financial condition, and results of operations.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Williams, Transco, and NWP may not be able to replace, extend, or add additional customer contracts or contracted volumes on favorable terms, or at all, as applicable, which could affect Williams’, Transco’s, and NWP’s financial condition and ability to grow, as well as the amount of cash available to Williams to pay dividends.</w:t>
      </w:r>
    </w:p>
    <w:p>
      <w:pPr>
        <w:spacing w:after="0" w:line="6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Transco, and NWP rely on a limited number of customers and producers for a significant portion of revenues and supply of natural gas and NGLs, as applicable. Although many of Williams’, Transco’s, and NWP’s customers and suppliers are subject to long-term contracts, if Williams, Transco, and NWP are unable to replace or extend such contracts, add additional customers, or otherwise increase the contracted volumes of natural gas provided to it by current producers, in each case on favorable terms, if at all, Williams’, Transco’s, and NWP’s businesses, financial condition, results of operations, and cash flows, as well as Williams’ growth plans and the amount of cash available to pay dividends could be materially adversely affected.</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Transco’s, and NWP’s ability to replace, extend, or add additional customer or supplier contracts, or increase contracted volumes of natural gas from current producers, on favorable terms, or at all, is subject to a number of factors, some of which are beyond their control, including:</w:t>
      </w:r>
    </w:p>
    <w:p>
      <w:pPr>
        <w:spacing w:after="0" w:line="54"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existing and new competition in Williams’, Transco’s, and NWP’s businesses or from alternative sources, such as electricity, renewable resources, coal, fuel oils, or nuclear energy;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financial markets, and industry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regulation on Williams, Transco, and NWP, their customers, and their contracting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jc w:val="both"/>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Transco’s, and NWP’s ability to understand their customers’ expectations, efficiently and reliably deliver high quality services, and effectively manage customer relationships. The results of these efforts will impact Williams’, Transco’s, and NWP’s reputation and positioning in the market.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Williams’ markets are affected by natural gas and NGL prices, demand, availability, and margins. Higher prices for energy commodities related to Williams’ businesses could result in a decline in the demand for those commodities and, therefore, in customer contracts or throughput on the pipeline systems. Lower energy commodity prices could negatively impact the ability to maintain or achieve favorable contractual terms, including pricing, and could also result in a decline in the production of energy commodities resulting in reduced customer contracts, supply contracts, and throughput on the pipeline systems.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Williams’, Transco’s, and NWP’s natural gas pipeline services are subject to long-term, fixed-price contracts that are not subject to adjustment, even if the cost to perform such services exceeds the revenues received from such contracts.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Transco’s, and NWP’s natural gas pipelines provide some services pursuant to long-term, fixed-price contracts. It is possible that costs to perform services under such contracts will exceed the revenues collected. Regulatory or administrative actions in these areas, including successful complaints or protests against the rates of the gas pipelines, can affect Williams’, Transco’s, and NWP’s businesses in many ways, including decreasing tariff rates and revenues or setting future tariff rates to levels such that revenues are inadequate to recover increases in operating costs or to sustain an adequate return on capital investments, decreasing volumes in the pipelines, increasing costs, and otherwise altering the profitability of the pipeline business. Additionally, although other services are priced at cost-based rates that are subject to adjustment in rate cases, under FERC policy, a regulated service provider and a customer may mutually agree to sign a contract for service at a “negotiated rate” that may be above or below the FERC regulated cost-based rate for that service. These “negotiated rate” contracts are not generally subject to adjustment for increased costs that could be produced by inflation or other factors relating to the specific facilities being used to perform the services.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the costs of testing, maintaining, or repairing regulated facilities for Williams, Transco, and NWP may exceed Williams’, Transco’s and NWP’s expectations, and the FERC may not allow, or competition in the markets may prevent, recovery of such costs in the rates charged for applicable services at Williams’, Transco’s, and NWP’s regulated pipelines and facilities. Williams, Transco and NWP have experienced and could experience in the future unexpected leaks or ruptures on their regulated natural gas pipeline systems or storage facilities. Either as a preventative measure or in response to a leak or another issue, Williams, Transco and NWP could be required by regulatory authorities to test or undertake modifications to their regulated systems. If the cost of testing, maintaining, or repairing regulated facilities exceeds expectations, and the FERC does not allow recovery, or competition in the markets prevents recovering such costs in the rates charged for Williams’, Transco’s and NWP’s regulated services, such costs could have a material adverse impact on Williams’, Transco’s and NWP’s businesses, financial condition, results of operation, and cash flows.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Transco charges its transportation customers a separate fee to access its offshore facilities in the Gulf of America, unlike other interstate pipelines that own facilities offshore. The separate charge is referred to as an “IT feeder” charge. The “IT feeder” rate is charged only when gas is actually transported on the applicable facilities and typically it is paid by producers or marketers. Because the “IT feeder” rate is typically paid by producers and marketers, it generally results in netback prices to producers that are slightly lower than the netbacks realized by producers transporting on other interstate pipelines. This rate design disparity can result in producers bypassing Transco’s offshore facilities in favor of alternative transportation facilities.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Williams’, Transco’s, and NWP’s businesses are exposed to supplier concentration risks arising from dependence on a single or a limited number of suppliers.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Williams’, Transco’s, and NWP’s businesses may be dependent on a small number of suppliers for the delivery of critical goods or services. If a supplier on which one of the businesses depends were to fail to timely supply required goods and services, such business may not be able to replace such goods and services in a timely manner or otherwise on favorable terms or at all. If Williams’, Transco’s, and NWP’s businesses are unable to adequately diversify or otherwise mitigate such supplier concentration risks, and such risks were realized,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businesses could be subject to reduced revenues and increased expenses, which could have a material adverse effect on Williams’, Transco’s, and NWP’s financial condition, results of operations, and cash flows.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Transco and NWP depend on certain key customers for a significant portion of their revenues. The loss of any of these key customers or the loss of any contracted volumes could result in a decline in Transco’s and NWP’s respective businesses.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Transco and NWP rely on a limited number of customers for a significant portion of their revenues. Although some of these customers are subject to long-term contracts, Transco and NWP may be unable to negotiate extensions or replacements of these contracts on favorable terms, or at all. For the year ended December 31, 2025, Transco’s largest customer was Duke Energy Corporation, which accounted for approximately 9 percent of its operating revenue, and NWP’s largest customer was Puget Sound Energy, Inc., which accounted for approximately 31 percent of its operating revenue. The loss of all, or even a portion of, the revenues from contracted volumes supplied by Transco’s and NWP’s key customers, as a result of competition, creditworthiness, inability to negotiate extensions or replacements of contracts, or otherwise, could have a material adverse effect on their businesses, financial condition, results of operations, and cash flows. For more information regarding Transco’s and NWP’s customer revenues, please read Note 16 – Fair Value Measurements, Guarantees, and Concentration of Credit Risk.</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service providers or disruptions to outsourcing relationships might negatively impact Williams’, Transco’s, and NWP’s ability to conduct their businesses.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Transco and NWP rely on Williams and other third parties for certain services necessary for Transco and NWP to be able to conduct business. Certain of Williams’ accounting and information technology services, which are relied upon by Transco and NWP, are currently provided by third-party vendors, and sometimes from service centers outside of the United States. Services provided pursuant to these arrangements could be disrupted. Similarly, the expiration of agreements associated with such arrangements or the transition of services between providers could lead to loss of institutional knowledge or service disruptions. Williams’ reliance on others as service providers, and Transco’s and NWP’s reliance on Williams’ reliance on others as service providers, could have a material adverse effect on Williams’, Transco’s, and NWP’s businesses, financial condition, results of operations, and cash flows.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impairment of Williams’ assets, including property, plant, and equipment, intangible assets, and/or equity-method investments, could reduce Williams’ earnings.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requires Williams to test certain assets for impairment on either an annual basis or when events or circumstances occur which indicate that the carrying value of such assets might be impaired. The outcome of such testing could result in impairments of Williams’ assets including property, plant, and equipment, intangible assets, and/ or equity-method investments. Additionally, any asset monetizations could result in impairments if any assets are sold or otherwise exchanged for amounts less than their carrying value. If Williams determines that an impairment has occurred, Williams would be required to take an immediate noncash charge to earnings.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 and NWP may face opposition to the operation and expansion of pipelines and facilities from various individuals and groups or face increased scrutiny from various stakeholders with respect to environmental, social and governance practices.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Transco, and NWP have experienced, and anticipate continuing to face, opposition to the operation and expansion of pipelines and facilities from governmental officials, environmental groups, landowners, tribal groups, local groups, and other advocates. In some instances, Williams, Transco, and NWP encounter opposition that disfavors hydrocarbon-based energy supplies regardless of practical implementation or financial considerations. Opposition to operation and expansion can take many forms, including the delay or denial of required governmental permits, organized protests, attempts to block or sabotage operations, intervention in regulatory or administrative proceedings involving assets, or lawsuits or other actions designed to prevent, disrupt, or delay the operation or expansion of assets and business. In addition, acts of sabotage or eco-terrorism could cause significant damage or injury to people, property, or the environment or lead to extended interruptions of operations. Any such event that delays or prevents the expansion of Williams’, Transco’s, or NWP’s businesses, that interrupts the revenues generated by operations, or that causes significant expenditures not covered by insurance, could adversely affect Williams’, Transco’s, and NWP’s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companies across all industries have faced and may continue to face scrutiny from stakeholders related to their environmental, social and governance (“ESG”) practices. Focus and activism related to ESG (as proponents or opponents) and similar matters may hinder access to capital, as investors may decide to reallocate capital or to not commit capital as a result of their assessment of a company’s ESG practices. Companies that do not adapt to or comply with investor or other stakeholder expectations and standards, which are evolving, or that are perceived to have not responded appropriately to the concern for ESG issues, regardless of whether there is a legal requirement to do so, may suffer from reputational damage, and the business, financial condition, and/or stock price of such a company could be materially and adversely affected.</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Transco, and NWP face pressures from their stakeholders, who are increasingly focused on climate change, to prioritize sustainable energy practices, reduce carbon footprint, and promote sustainability. Williams’ stockholders may require Williams to implement ESG procedures or standards to continue engaging with Williams, to remain invested in Williams, or before they may make further investments in Williams. Additionally, Williams, Transco, and NWP may face reputational challenges in the event their ESG procedures or standards do not meet the standards set by certain constituencies. Williams, Transco, and NWP adopted certain practices as highlighted in Williams’ 2024 Sustainability Report, including with respect to air emissions, biodiversity and land use, climate change, and environmental stewardship. It is possible, however, that Williams’, Transco’s, and NWP’s stakeholders might not be satisfied with these sustainability efforts or the speed of their adoption. If Williams, Transco and NWP do not meet stakeholders’ expectations, Williams’, Transco’s, and NWP’s businesses, ability to access capital, and/or Williams’ stock price could be harmed.</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adverse effects upon the oil and gas industry related to the worldwide social and political environments, including uncertainty or instability resulting from climate change, changes in political leadership and environmental policies, changes in geopolitical-social views toward fossil fuels and renewable energy, concern about the environmental impact of climate change, and investors’ expectations regarding ESG matters, may also adversely affect demand for Williams’, Transco’s, and NWP’s services. Any long-term material adverse effect on the oil and gas industry could have a significant financial and operational adverse impact on Williams’, Transco’s, and NWP’s businesses.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could have a material adverse effect on the price of Williams’ stock and Williams’, Transco’s, and NWP’s businesses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 and NWP may be subject to physical and financial risks associated with climate change.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threat of global climate change may create physical and financial risks to Williams’, Transco’s, and NWP’s businesses. Energy needs vary with weather conditions. To the extent weather conditions may be affected by climate change, energy use could increase or decrease depending on the duration and magnitude of any changes. Increased energy use due to weather changes may require Williams, Transco, and NWP to invest in more pipelines and other infrastructure to serve increased demand. A decrease in energy use due to weather changes may affect Williams’, Transco’s, and NWP’s financial condition through decreased revenues. Extreme weather conditions in general require more system backup, adding to costs, and can contribute to increased system stresses, including service interruptions. Weather conditions outside of Williams’, Transco’s, and NWP’s operating territory could also have an impact on their revenues. To the extent the frequency of extreme weather events increases, this could increase the cost of providing service. Williams, Transco, and NWP may not be able to pass on the higher costs to customers or recover all costs related to mitigating these physical risks.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many climate models indicate that global warming is likely to result in rising sea levels and increased frequency and severity of weather events, which may lead to higher insurance costs, or a decrease in available coverage, for Williams’, Transco’s, and NWP’s assets in areas subject to severe weather. These climate-related changes could damage physical assets, especially operations located in low-lying areas near coasts and river banks, and facilities situated in hurricane-prone and rain-susceptible regions.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financial markets view climate change and greenhouse gas (“GHG”) emissions as a financial risk, this could negatively impact Williams’, Transco’s, and NWP’s cost of and access to capital. Climate change and GHG regulation could also reduce demand for Williams’, Transco’s, and NWP’s services. The business could also be affected by the potential for lawsuits against GHG emitters, based on links drawn between GHG emissions and climate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Transco’s, and NWP’s operations are subject to operational risks and hazards that might result in accidents and unforeseen interruptions.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are operational risks and hazards associated with the gathering, transporting, storage, processing, and treating of natural gas, the fractionation, transportation, and storage of NGLs, and crude oil transportation and production handling, including:</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Aging infrastructure and mechanical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to pipelines and pipeline blockages or other pipeline interruptions;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Uncontrolled releases of natural gas (including sour gas), NGLs, crude oil, or other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Collapse or failure of storage facilities or caverns, as applicable;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Operator error;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caused by third-party activity, such as operation of construction equipment;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and other environmental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craterings, and blowouts;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risks, including cybersecurity;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 a marine environment, as applicable.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of these risks could result in loss of human life, personal injuries, significant damage to property, environmental pollution, impairment of operations, loss of services to customers, reputational damage, and substantial losses to Williams, Transco, and NWP. The location of certain segments of Williams’, Transco’s, and NWP’s facilities in or near populated areas, including residential areas, commercial business centers, and industrial sites, could increase the level of damage resulting from these risks. An event such as those described above could have a material adverse effect on Williams’, Transco’s, and NWP’s financial condition and results of operations, particularly if the event is not fully covered by insurance.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Transco’s, and NWP’s assets and operations, as well as their customers’ assets and operations, can be adversely affected by weather and other natural phenomena.</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Transco’s, and NWP’s assets and operations, especially those located offshore, and their customers’ assets and operations can be adversely affected by hurricanes, floods, earthquakes, landslides, tornadoes, fires, and other natural phenomena and weather conditions, including extreme or unseasonable temperatures, making it more difficult for Williams, Transco, and NWP to realize the historic rates of return associated with their assets and operations. A significant disruption in Williams’, Transco’s, and NWP’s or their customers’ operations or the occurrence of a significant liability for which Williams, Transco, and NWP are not fully insured could have a material adverse effect on their businesses,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Transco’s, and NWP’s businesses could be negatively impacted by acts of terrorism and related disruptions.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Given the volatile nature of the commodities Williams, Transco, and NWP transport, process, store, and sell, their assets and the assets of their customers and others in the industry may be targets of terrorist activities. Uncertainty surrounding the Russian invasion of Ukraine, conflicts in the Middle East, or other sustained military campaigns, may affect Williams’, Transco’s, and NWP’s operations in unpredictable ways, including the possibility that infrastructure facilities could be direct targets of, or indirect casualties of, an act of terrorism. A terrorist attack could create significant price volatility, disrupt business, limit access to capital markets, or cause significant harm to operations, such as full or partial disruption to Williams’, Transco’s, and NWP’s ability to produce, process, transport, or distribute natural gas, NGLs, or other commodities, as applicable. Acts of terrorism, as well as events occurring in response to or in connection with acts of terrorism, could cause environmental repercussions that could result in a significant decrease in revenues or significant reconstruction or remediation costs, which could have a material adverse effect on Williams’, Transco’s, and NWP’s businesses,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breach of information technology infrastructure, including a breach caused by a cybersecurity attack on Williams, Transco, or NWP, or the third parties with whom they are interconnected, may interfere with the safe operation of assets, result in the disclosure of personal or proprietary information, and cause reputational harm.</w:t>
      </w:r>
    </w:p>
    <w:p>
      <w:pPr>
        <w:spacing w:after="0" w:line="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Williams relies on its information technology infrastructure to process, transmit, and store electronic information, including information used to safely operate Williams’, Transco’s, and NWP’s assets. Transco and NWP rely on Williams for their information technology infrastructure. The Williams Board of Directors has oversight responsibility with regard to cybersecurity risks, and reviews management’s efforts to address and mitigate cybersecurity risks, including the establishment and implementation of policies to address cybersecurity threats. Williams has invested, and expects to continue to invest, significant time, manpower, and capital in its information technology infrastructure. However, the age, operating systems, or condition of the current information technology infrastructure and software assets and the ability to maintain and upgrade such assets could affect Williams’, and thus Transco’s and NWP’s, ability to resist cybersecurity threats. While Williams believes that it maintains appropriate information security policies, practices, and protocols, Williams regularly faces cybersecurity and other security threats to its information technology infrastructure, including risks that may be enhanced through the use of artificial intelligence, which could include threats to operational industrial control systems and safety systems that operate its pipelines, plants, and assets. Williams faces unlawful attempts to gain access to its information technology infrastructure, including coordinated attacks from hackers, whether state-sponsored groups, “hacktivists”, or private individuals. Williams faces the threat of theft and misuse of sensitive data and information, including customer and employee information. Williams also faces attempts to gain access to information related to its assets through attempts to obtain unauthorized access by targeting acts of deception against individuals with legitimate access to physical locations or information. Williams is also subject to cybersecurity risks arising from the fact that Williams’, Transco’s, and NWP’s business operations are interconnected with third parties, including third-party pipelines, other facilities and contractors and vendors. In addition, the breach of certain business systems could affect Williams’ ability to correctly record, process, and report financial information. Breaches in Williams’, Transco’s, and NWP’s information technology infrastructure or physical facilities, or other disruptions including those arising from theft, vandalism, fraud, or unethical conduct, which may increase as a result of the Russian invasion of Ukraine or other geopolitical tensions and conflicts, could result in damage to or destruction of assets, unnecessary waste, safety incidents, damage to the environment, reputational damage, potential liability, the loss of contracts, the imposition of significant costs associated with remediation and litigation, heightened regulatory scrutiny, increased insurance costs, and have a material adverse effect on Williams’, Transco’s, and NWP’s operations, financial condition, results of operations, and cash flows.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pipelines and other facilities interconnected to Williams’, Transco’s, and NWP’s pipelines and facilities become unavailable to transport natural gas and NGLs or to treat natural gas, as applicable, Williams’, Transco’s, and NWP’s revenues could be adversely affected.</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Transco, and NWP depend upon third-party pipelines and other facilities that provide delivery options to and from their pipelines and storage facilities for the benefit of their customers that is outside Williams’ Transco’s, and NWP’s control. If these pipelines or facilities were to become temporarily or permanently unavailable for any reason, or if throughput were reduced because of testing, line repair, damage to pipelines or facilities, reduced operating pressures, lack of capacity, increased credit requirements or rates charged by such pipelines or facilities or other causes, Williams, Transco, and NWP and their customers would have reduced capacity to transport, store, or deliver natural gas or NGL products to end use markets or to receive deliveries of mixed NGLs, as applicable, thereby reducing revenues. Any temporary or permanent interruption at any key pipeline interconnection or in operations on third-party pipelines or facilities that would cause a material reduction in volumes transported on Williams’, Transco’s, or NWP’s pipelines or gathering systems, as applicable, or processed, fractionated, treated, or stored at Williams’, Transco’s, or NWP’s facilities, as applicable, could have a material adverse effect on Williams’, Transco’s, and NWP’s businesses, financial condition, results of operations, and cash flows.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operating results for certain components of its business might fluctuate on a seasonal basis.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Revenues from certain components of Williams’ business can have seasonal characteristics. In many parts of the country, demand for natural gas and other fuels peaks during the winter. As a result, Williams’ overall operating results in the future might fluctuate substantially on a seasonal basis. Demand for natural gas and other fuels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vary significantly from Williams’ expectations depending on the nature and location of its facilities and pipeline systems and the terms of the natural gas transportation arrangements relative to demand created by unusual weather patterns.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Transco, and NWP do not own all of the land on which their pipelines and facilities are located, which could disrupt operations.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Transco, and NWP do not own all of the land on which their pipelines and facilities have been constructed. As such, Williams, Transco, and NWP are subject to the possibility of increased costs to retain necessary land use. In those instances in which Williams, Transco and NWP do not own the land on which their facilities are located, Williams, Transco, and NWP obtain the rights to construct and operate their facilities and gathering systems on land owned by third parties and governmental agencies for a specific period of time. In addition, some of Williams’ and NWP’s facilities cross Native American lands pursuant to rights-of-way of limited terms. Williams and NWP may not have the right of eminent domain over land owned by Native American tribes. Williams’, Transco’s, and NWP’s loss of any of these rights, through their inability to renew right-of-way contracts or otherwise, could have a material adverse effect on their businesses, financial condition, results of operations,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business could be negatively impacted as a result of stockholder activism.</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recent years, stockholder activism, including threatened or actual proxy contests, has been directed against numerous public companies, including Williams. Williams was the target of a proxy contest from a stockholder activist, which resulted in Williams incurring significant costs. If stockholder activists were to again take or threaten to take actions against Williams or seek to involve themselves in the governance, strategic direction, or operations of Williams, Williams could incur significant costs as well as the distraction of management, which could have an adverse effect on Williams’ business or financial results. In addition, actions of activist stockholders may cause significant fluctuations in Williams’ stock price based on temporary or speculative market perceptions or other factors that do not necessarily reflect the underlying fundamentals and prospects of Williams’ business.</w:t>
      </w:r>
    </w:p>
    <w:p>
      <w:pPr>
        <w:spacing w:after="0" w:line="7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costs and funding obligations for defined benefit pension plans and other postretirement benefit plans, and Transco’s and NWP’s allocations regarding the same, are affected by factors beyond Williams’ control.</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defined benefit pension plans and other postretirement benefit plans. The timing and amount of the funding requirements under the defined benefit pension plans depend upon a number of factors that Williams controls, including changes to pension plan benefits, as well as factors outside of Williams’ control, such as asset returns, interest rates, and changes in pension laws. Changes to these and other factors can significantly increase Williams’ funding requirements and could have a significant adverse effect on Williams’ financial condition and results of operations.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Transco and NWP have no employees; employees of Williams and its affiliates provide services to Transco and NWP. As a result, Transco and NWP are allocated a portion of Williams’ cost for defined benefit pension plans and other postretirement benefit plans. The timing and amount of these allocations depends on factors that Williams controls, and any changes can significantly increase the allocations, which could have a significant adverse effect on Transco’s and NWP’s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Financing</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downgrade of Williams’, Transco’s, and NWP’s credit ratings, which are determined outside of their control by independent third parties, could impact their liquidity, access to capital, and costs of doing business, and the ability of Transco and NWP to obtain credit in the future could be affected by Williams’ credit ratings.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Downgrades of Williams’, Transco’s, and NWP’s credit ratings increase the cost of borrowing and could require Williams, Transco, and NWP to provide collateral to their counterparties, negatively impacting available liquidity. In addition, Williams’, Transco’s, and NWP’s ability to access capital markets could be limited by the downgrading of their credit ratings.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Credit rating agencies perform independent analysis when assigning credit ratings. The analysis includes a number of criteria such as business composition, market and operational risks, as well as various financial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rating agencies continue to review the criteria for industry sectors and various debt ratings and may make changes to those criteria from time to time. Credit ratings are subject to revision or withdrawal at any time by the ratings agencies. As of the date of the filing of this report, Williams, Transco, and NWP have been assigned an investment-grade credit rating by the credit ratings agencies.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substantially all of Williams’ operations are conducted through its subsidiaries. Williams’ cash flows are substantially derived from loans, dividends, and distributions paid to it by its subsidiaries. Due to the relationship of Transco and NWP as subsidiaries of Williams, Transco’s and NWP’s ability to obtain credit will be affected by Williams’ credit ratings. Any downgrading of a Williams credit rating could result in a downgrading of a Transco and NWP credit rating, which could adversely affect Transco’s and NWP’s access to capital and limit their ability to obtain financing in the future upon favorable terms, if at all.</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 conditions in the global financial markets and the economy in general could negatively affect Williams’, Transco’s, and NWP’s businesses and results of operations.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Transco’s, and NWP’s businesses may be negatively impacted by adverse economic conditions or future disruptions in the global financial markets. Included among these potential negative impacts are industrial or economic contraction leading to reduced energy demand and lower prices for Williams’, Transco’s, and NWP’s products and services and increased difficulty in collecting amounts owed to them by customers. Geopolitical tensions and conflicts, including those in the Middle East, as well as the ongoing Russian invasion of Ukraine and the actions undertaken by western nations in response to these conflicts, have had, and may continue to have, adverse impacts on global financial markets. If financing is not available when needed, or is available only on unfavorable terms, Williams, Transco, and NWP may be unable to implement their business plans or otherwise take advantage of business opportunities or respond to competitive pressures. In addition, financial markets have periodically been affected by concerns over U.S. fiscal and monetary policies. These concerns, as well as actions taken by the U.S. federal government in response to these concerns, could significantly and adversely impact the global and U.S. economies and financial markets, which could negatively impact Williams, Transco, and NWP in the manner described above.</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Transco and NWP are party to a credit agreement with aggregate commitments available of $3.75 billion, with up to an additional $500 million increase in aggregate commitments available under certain circumstances. Transco and NWP are each subject to a $500 million borrowing sublimit. The ability of Williams, Transco, and NWP to borrow under that facility could be impaired if one or more of the lenders fails to honor its contractual obligation to lend. For more information regarding financing, please read Note 13 – Debt and Banking Arrangements.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Williams’, Transco’s, and NWP’s debt agreements and the amount of their indebtedness may affect their future financial and operating flexibility.</w:t>
      </w:r>
    </w:p>
    <w:p>
      <w:pPr>
        <w:spacing w:after="0" w:line="5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total outstanding long-term debt (including current portion and commercial paper) as of December 31, 2025, was $29.4 billion, including the long-term debt of Transco and NWP. The total outstanding long-term debt (including current portion) as of December 31, 2025, for Transco and NWP was $5.9 billion and $748 million, respectively.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agreements governing Williams’, Transco’s, and NWP’s indebtedness contain covenants that restrict Williams’, Transco’s, and NWP’s, as applicable, and their respective subsidiaries’, ability to incur certain liens to support indebtedness, and ability to merge or consolidate or sell all or substantially all of its respective assets in certain circumstances. In addition, certain of Williams’, Transco’s, and NWP’s debt agreements contain various covenants that restrict or limit, among other things, the ability to make certain distributions during the continuation of an event of default, and to enter into certain affiliate transactions and certain restrictive agreements. Certain of Williams’, Transco’s, and NWP’s debt agreements also contain, and those Williams, Transco, and NWP enter into in the future may contain, financial covenants, and other limitations with which they will need to comply.</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Transco’s, and NWP’s debt service obligations and the covenants described above could have important consequences. For example, they could:</w:t>
      </w:r>
    </w:p>
    <w:p>
      <w:pPr>
        <w:spacing w:after="0" w:line="54" w:lineRule="exact"/>
        <w:rPr>
          <w:sz w:val="20"/>
          <w:szCs w:val="20"/>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Williams, Transco, and NWP to satisfy their obligations with respect to their indebtedness, which could in turn result in an event of default on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Williams’, Transco’s, and NWP’s ability to obtain additional financing in the future for working capital, capital expenditures, acquisitions, general corporate purposes or limited liability company purposes, as applicable, or other purposes;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Williams’, Transco’s, and NWP’s ability to withstand a continued or future downturn in their business or the economy generally;</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Williams, Transco, and NWP to dedicate a substantial portion of their cash flow from operations to debt service payments, thereby reducing the availability of cash for working capital, capital expenditures, acquisitions, the payments of dividends, general corporate purposes or limited liability company purposes, as applicable, or other purposes;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Williams’, Transco’s, and NWP’s flexibility in planning for, or reacting to, changes in their business and the industry in which they operate, including limiting their ability to expand or pursue business activities and preventing Williams, Transco, and NWP from engaging in certain transactions that might otherwise be considered beneficial to Williams, Transco, and NWP.</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Transco’s, and NWP’s ability to comply with their debt covenants, to repay, extend, or refinance their existing debt obligations and to obtain future credit will depend primarily on their operating performance. Williams’, Transco’s, and NWP’s ability to refinance existing debt obligations or obtain future credit will also depend upon the current conditions in the credit markets and the availability of credit generally. If Williams, Transco, and NWP are unable to comply with these covenants, meet their debt service obligations, or obtain future credit on favorable terms, or at all, Williams, Transco, and NWP could be forced to restructure or refinance their indebtedness, seek additional equity capital or sell assets. Williams, Transco, and NWP may be unable to obtain financing or sell assets on satisfactory terms, or at all.</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Transco’s, and NWP’s failure to comply with the covenants in the documents governing their indebtedness could result in events of default, which could render such indebtedness due and payable. Williams, Transco, and NWP may not have sufficient liquidity to repay their indebtedness in such circumstances. In addition, cross-default or cross-acceleration provisions in each of Williams’, Transco’s, and NWP’s debt agreements could cause a default or acceleration to have a wider impact on their liquidity than might otherwise arise from a default or acceleration of a single debt instrument. For more information regarding debt agreements, please read Note 13 – Debt and Banking Arrangements.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interest rates or increases in interest rates could adversely impact Williams’, Transco’s, and NWP’s access to credit, share price, and ability to issue securities or incur debt for acquisitions or other purposes, as applicable, and Williams’ ability to make cash dividends at intended levels.</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rates have fluctuated in recent years but could increase in the future. As a result, interest rates on future credit facilities and debt offerings could be higher than current levels, causing Williams’, Transco’s, and NWP’s financing costs to increase accordingly. As with other yield-oriented securities, Williams’ share price will be impacted by the level of Williams’ dividends and implied dividend yield. The dividend yield is often used by investors to compare and rank yield-oriented securities for investment decision-making purposes. Therefore, changes in interest rates, either positive or negative, may affect the yield requirements of investors who invest in Williams’ shares, and a rising interest rate environment could have an adverse impact on Williams’ share price and Williams’ ability to issue equity or pay cash dividends at intended levels or Williams’, Transco’s, and NWP’s ability to incur debt.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hedging activities might not be effective and could increase the volatility of Williams’ results.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an effort to manage Williams’ financial exposure related to commodity price and market fluctuations, Williams has entered, and may in the future enter into, contracts to hedge certain risks associated with its assets and operations. In these hedging activities, Williams has used, and may in the future use, fixed-price, forward, physical purchase, and sales contracts, futures, financial swaps, and option contracts traded in the over-the-counter markets or on exchanges. Nevertheless, no single hedging arrangement can adequately address all risks present in a given contract. For example, a forward contract that would be effective in hedging commodity price volatility risks would not hedge the contract’s counterparty credit or performance risk. Therefore, unhedged risks will always continue to exist. While Williams attempts to manage counterparty credit risk within guidelines established by its credit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Williams may not be able to successfully manage all credit risk and as such, future cash flows and results of operations could be impacted by counterparty default. The difference in accounting treatment for the underlying position and the financial instrument used to hedge the value of the contract can cause volatility in Williams’ reported net income while the positions are open due to mark-to-market accounting.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could be affected by financial institutions’ policies concerning fossil fuel related businesses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Public concern regarding the potential effects of climate change has directed increased attention towards the funding sources of fossil-fuel energy companies. As a result, certain financial institutions, funds, and other sources of capital have restricted or eliminated their investment in certain market segments of fossil-fuel related energy. Ultimately, limiting fossil-fuel related companies’ access to capital could make it more difficult for Williams’, Transco’s, and NWP’s customers to secure funding for exploration and production activities or for Williams, Transco, and NWP to secure funding for growth projects. Such a lack of capital could also both indirectly affect demand for Williams’, Transco’s, and NWP’s services and directly affect their ability to fund construction or other capital projects.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can exercise substantial control over Transco’s and NWP’s distribution policies, businesses, and operations and may do so in a manner that is adverse to Transco’s and NWP’s interests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Transco and NWP are indirect wholly owned subsidiaries of Williams, Williams exercises substantial control over their businesses and operations and makes determinations with respect to, among other things, the following:</w:t>
      </w:r>
    </w:p>
    <w:p>
      <w:pPr>
        <w:spacing w:after="0" w:line="5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distributions and repayment of advances;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on financings and capital raising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other business combinations;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disposition of assets.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could decide to increase distributions or advances to Transco’s and NWP’s member consistent with existing debt covenants. This could adversely affect Transco’s or NWP’s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operation of Williams’, Transco’s, and NWP’s businesses might be adversely affected by regulatory proceedings, including FERC proceedings; changes in government regulations or in their interpretation or implementation; or the introduction of new laws or regulations applicable to Williams’, Transco’s, and NWP’s businesses or customers.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Public and regulatory scrutiny of the energy industry has resulted in the proposal and/or implementation of increased regulations. In addition to regulation by other federal, state, and local regulatory authorities, interstate pipeline transportation and storage services and related assets are subject to regulation by the FERC. Federal regulation extends to such matters as:</w:t>
      </w:r>
    </w:p>
    <w:p>
      <w:pPr>
        <w:spacing w:after="0" w:line="6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sale for resale of natural gas in interstate commerce;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operating terms, types of services, and conditions of service;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and construction of new interstate pipelines and storage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extension, disposition, or abandonment of existing interstate pipelines and storage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records;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policies;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affiliated companies that are involved in marketing functions of the natural gas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manipulation in connection with interstate sales, purchases, or transportation of natural gas.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scrutiny has also resulted in various inquiries, investigations, and court proceedings, including litigation of energy industry matters. Both the shippers on Williams’, Transco’s, and NWP’s pipelines and regulators have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challenge the rates charged under certain circumstances. Any successful challenge could materially affect Williams’, Transco’s, and NWP’s results of operations.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inquiries, investigations, and court proceedings are ongoing. Adverse effects may continue as a result of the uncertainty of ongoing inquiries, investigations, and court proceedings, or additional inquiries and proceedings by federal or state regulatory agencies or private plaintiffs. In addition, Williams, Transco, and NWP cannot predict the outcome of any of these inquiries or whether these inquiries will lead to additional legal proceedings against them, or other regulatory action, including legislation, which might be materially adverse to the operation of Williams’, Transco’s, and NWP’s businesses and results of operations or increase their operating costs in other ways. Current legal proceedings or other matters, including environmental matters, suits, regulatory appeals, and similar matters might result in adverse decisions against Williams, Transco, and NWP which, among other outcomes, could result in the imposition of substantial penalties and fines and could damage their reputation. The result of such adverse decisions, either individually or in the aggregate, could be material and may not be covered fully or at all by insurance.</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existing regulations, including those pertaining to financial assurances to be provided by Williams’, Transco’s, and NWP’s businesses in respect of potential asset decommissioning and abandonment activities, might be revised, reinterpreted, or otherwise enforced in a manner that differs from prior regulatory action. New laws and regulations, including those pertaining to oil and gas hedging and cash collateral requirements, might also be adopted or become applicable to Williams, Transco, and NWP, their customers, or their business activities. If new laws or regulations are imposed relating to oil and gas extraction, or if additional or revised levels of reporting, regulation, or permitting moratoria are required or imposed, including those related to hydraulic fracturing, the volumes of natural gas and other products that Williams, Transco, and NWP transport, gather, process, and treat could decline, compliance costs could increase, and results of operations could be adversely affected.</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Transco’s, and NWP’s operations are subject to environmental laws and regulations, including laws and regulations relating to climate change and greenhouse gas emissions, which may expose them to significant costs, liabilities, and expenditures that could exceed expectations.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Williams’, Transco’s, and NWP’s operations are subject to extensive federal, state, tribal, and local laws and regulations governing environmental protection, endangered and threatened species, the discharge of materials into the environment, and the security of chemical and industrial facilities. Substantial costs, liabilities, delays, and other significant issues related to environmental laws and regulations are inherent in the gathering, transportation, storage, processing, and treating of natural gas, fractionation, transportation, and storage of NGLs, and crude oil transportation and production handling as well as waste disposal practices and construction activities, as applicable. New or amended environmental laws and regulations can also result in significant increases in capital costs incurred to comply with such laws and regulations. Failure to comply with these laws, regulations, and permits may result in the assessment of administrative, civil and/or criminal penalties, the imposition of remedial obligations, the imposition of stricter conditions on or revocation of permits, the issuance of injunctions limiting or preventing some or all operations, and delays or denials in granting permits.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Joint and several strict liability may be incurred without regard to fault under certain environmental laws and regulations, for the remediation of contaminated areas and in connection with spills or releases of materials associated with natural gas, oil, and wastes on, under, or from Williams’, Transco’s, and NWP’s properties and facilities. Private parties, including the owners of properties through which Williams’, Transco’s, and NWP’s pipeline and gathering systems pass and facilities where their wastes are taken for reclamation or disposal, may have the right to pursue legal actions to enforce compliance as well as to seek damages for noncompliance with environmental laws and regulations or for personal injury or property damage arising from their operations. Some sites at which Williams, Transco, and NWP operate are located near current or former third-party hydrocarbon storage and processing or oil and natural gas operations or facilities, and there is a risk that contamination has migrated from those sites.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Transco, and NWP are generally responsible for all liabilities associated with the environmental condition of their facilities and assets, whether acquired or developed, regardless of when the liabilities arose and whether they are known or unknown. In connection with certain acquisitions and divestitures, Williams, Transco, and NWP could acquire, or be required to provide indemnification against, environmental liabilities that could expose them to material losses, which may not be covered by insurance. In addition, the steps Williams, Transco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NWP could be required to take to bring certain facilities into compliance could be prohibitively expensive, and Williams, Transco, and NWP might be required to shut down, divest, or alter the operation of those facilities, which might cause them to incur losses.</w:t>
      </w:r>
    </w:p>
    <w:p>
      <w:pPr>
        <w:spacing w:after="0" w:line="54"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7"/>
          <w:szCs w:val="17"/>
          <w:color w:val="auto"/>
        </w:rPr>
        <w:t>In addition, regulations directed at preventing climate change and the costs that may be associated with such regulations and with the regulation of emissions of GHGs have the potential to affect the businesses of Williams, Transco, and NWP. Regulatory actions by the Environmental Protection Agency or the passage of new laws or regulations could result in increased costs to operate and maintain facilities, install new emission controls on facilities, or administer and manage any GHG emissions program. Williams, Transco, and NWP believe it is possible that future governmental legislation and/or regulation may require them either to limit GHG emissions associated with operations or to purchase allowances for such emissions. Williams, Transco, and NWP could also be subjected to a carbon tax assessed on the basis of carbon dioxide emissions or otherwise. However, Williams, Transco, and NWP cannot predict precisely what form these future regulations might take, the stringency of any such regulations or when they might become effective. Several legislative bills have been introduced in the United States Congress that would require carbon dioxide emission reductions. Previously considered proposals have included, among other things, limitations on the amount of GHGs that can be emitted (so called “caps”) together with systems of permitted emissions allowances. These proposals could require Williams, Transco, and NWP to reduce emissions or to purchase allowances for such emissions.</w:t>
      </w:r>
    </w:p>
    <w:p>
      <w:pPr>
        <w:spacing w:after="0" w:line="6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activities on the federal level, state and regional initiatives could also lead to the regulation of GHG emissions sooner than and/or independent of federal regulation. These regulations could be more stringent than any federal legislation that may be adopted. Future legislation and/or regulation designed to reduce GHG emissions could make some of Williams’, Transco’s, and NWP’s activities uneconomic to maintain or operate. Williams, Transco, and NWP continue to monitor legislative and regulatory developments in this area and otherwise take efforts to limit and reduce GHG emissions from their facilities. Although the regulation of GHG emissions may have a material impact on Williams’, Transco’s, and NWP’s operations and rates, Williams, Transco, and NWP believe it is premature to attempt to quantify the potential costs of the impacts.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Williams, Transco, and NWP are unable to recover or pass through a significant level of costs related to complying with climate change regulatory requirements, it could have a material adverse effect on Williams’, Transco’s, and NWP’s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Williams, Transco, and NWP do not insure against all potential risks and losses and could be seriously harmed by unexpected liabilities or by the inability of their insurers to satisfy their claims.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customary industry practice, Williams, Transco, and NWP maintain insurance against some, but not all, risks and losses, and only at levels they believe to be appropriate. The occurrence of any risks not fully covered by Williams’, Transco’s, and NWP’s insurance could have a material adverse effect on their businesses, financial condition, results of operations, and cash flows and their ability to repay debt.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attract and retain an appropriately qualified workforce could negatively impact Williams’, Transco’s, and NWP’s results of operations.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Events such as an aging workforce without appropriate replacements, mismatch of skill sets to future needs, the challenges of attracting new, qualified workers to the midstream energy industry, or unavailability of contract labor may lead to operating challenges such as lack of resources, loss of knowledge, and a lengthy time period associated with skill development, including with the workforce needs associated with projects and ongoing operations. Transco and NWP have no employees; employees of Williams and its affiliates provide services. Williams’ failure to hire and adequately obtain replacement employees, including the ability to transfer significant internal historical knowledge and expertise to the new employees, or the future availability and cost of contract labor may adversely affect Williams’, Transco’s, and NWP’s ability to manage and operate the businesses. If Williams is unable to successfully attract and retain an appropriately qualified workforce, including members of senior management, results of operations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Williams’ common stock may not receive dividends in the amount expected or any dividends.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may not have sufficient cash each quarter to pay dividends or maintain current or expected levels of dividends. The actual amount of cash Williams pays as a dividend may fluctuate from quarter to quarter and will depend on various factors, some of which are beyond Williams’ control, including:</w:t>
      </w:r>
    </w:p>
    <w:p>
      <w:pPr>
        <w:spacing w:after="0" w:line="6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that Williams’ subsidiaries distribute to it;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Williams generates from its operations, Williams’ working capital needs, Williams’ level of capital expenditures, and Williams’ ability to borrow;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contained in Williams’ indentures and credit facility and Williams’ debt service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acquisitions, if any.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failure either to pay dividends or to pay dividends at expected levels could result in a loss of investor confidence, reputational damage, and a decrease in the value of Williams’ stock price.</w:t>
      </w:r>
    </w:p>
    <w:p>
      <w:pPr>
        <w:spacing w:after="0" w:line="104" w:lineRule="exact"/>
        <w:rPr>
          <w:sz w:val="20"/>
          <w:szCs w:val="20"/>
          <w:color w:val="auto"/>
        </w:rPr>
      </w:pPr>
    </w:p>
    <w:p>
      <w:pPr>
        <w:jc w:val="center"/>
        <w:ind w:right="8460"/>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187" w:lineRule="exact"/>
        <w:rPr>
          <w:sz w:val="20"/>
          <w:szCs w:val="20"/>
          <w:color w:val="auto"/>
        </w:rPr>
      </w:pPr>
    </w:p>
    <w:p>
      <w:pPr>
        <w:jc w:val="center"/>
        <w:ind w:right="9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for Williams, Transco, and NWP recognizes the increasing volume and sophistication of cyber threats and takes its responsibility to protect the information and systems under its purview seriously. Management’s cybersecurity processes aim to provide a comprehensive approach to assess, identify, and manage material risks arising from these cybersecurity threats.</w:t>
      </w:r>
    </w:p>
    <w:p>
      <w:pPr>
        <w:spacing w:after="0" w:line="6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Comprehensive Cybersecurity Program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has implemented a comprehensive cybersecurity risk management program (Cybersecurity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that is aligned with the National Institute for Standards and Technology Cybersecurity Framework. The Cybersecurity Program provides a risk-based approach to cybersecurity, and security controls are tailored so that cost-effective controls can be applied commensurate with the risk and sensitivity of specific information systems, control systems, and enterprise data. The Cybersecurity Program incorporates best practices and industry standards from multiple sources and is designed to comply with applicable regulations. The Cybersecurity Program includes, but is not limited to, the following elements: risk assessment, policies and procedures, contract management, training and awareness, auditing, compliance monitoring and testing, table-top exercises, and incident response.</w:t>
      </w:r>
    </w:p>
    <w:p>
      <w:pPr>
        <w:spacing w:after="0" w:line="7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Integration with Overall Risk 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Management’s cybersecurity processes have been integrated into the overall risk management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processes. Management considers cybersecurity threat risks alongside other company risks as part of its overall risk assessment process. Cybersecurity risk professionals collaborate with subject matter specialists, as necessary, to gather insights for identifying and assessing material cybersecurity threat risks, their severity, and potential mitigations.</w:t>
      </w:r>
    </w:p>
    <w:p>
      <w:pPr>
        <w:spacing w:after="0" w:line="6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Engagement of Third 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often engages with specialized third-party assessors, consultants, auditors, and other experts to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validate, and enhance its cybersecurity practices. Third-party independent assessments provide an external perspective on management’s cybersecurity posture, allowing it to leverage best practices from the industry and ensure its defenses remain robust. All third parties engaged for such processes are subjected to rigorous scrutiny to ensure the third parties meet management’s security standards.</w:t>
      </w:r>
    </w:p>
    <w:p>
      <w:pPr>
        <w:spacing w:after="0" w:line="6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Oversight of Third-party Service Providers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acknowledges the potential risks associated with the use of third-party service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Therefore, management has established processes to oversee and identify material cybersecurity risks that may be associated with third-party service providers with whom it engages. This includes conducting thorough, risk-based due diligence before onboarding, performing security assessments, and confirming adherence to management’s cybersecurity requirements. Management also maintains active communication channels with these providers to stay informed about any potential security incidents or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Disclosure of Risks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describes how risks from cybersecurity threats could materially affect its business strategy, results of operations,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condition, as part of its risk factor disclosures at Part I, Item 1A. Risk Factors of this Annual Report on Form 10-K. To date, Williams has not experienced any cybersecurity threats or incidents that have resulted in a material adverse effect on our business strategy, results of operations, or financial condition. However, management continues to monitor and assess risks that could have a material impact in the future.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is committed to continually enhancing its cybersecurity processes and practices to address the dynamic nature of the threats it faces and to ensure the security and integrity of its systems and data.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Cybersecurity is an important part of the risk management processes and an area of focus for the Board of Directors and management. Each member of Williams’ organization, which includes Transco and NWP, from facility operators to board members, has a responsibility to safeguard the organization’s cybersecurity. The Chief Information Security Officer (CISO) collaborates with internal stakeholders to develop, implement and maintain the Cybersecurity Program, ensuring that the program addresses the evolving cybersecurity risk landscape. The CISO also engages with executive leadership to ensure that cybersecurity remains integrated with Williams’ overall risk management and strategic objectives.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oversees cybersecurity-related policy and strategy. As part of this oversight, the CISO provides a cybersecurity dashboard that is reviewed by the Board annually, which includes key performance indicators for cybersecurity process maturity, operational performance, and enterprise performance toward TSA compliance. Additionally, the Audit Committee, comprised of independent directors, reviews the implementation and effectiveness of cybersecurity risk management protocol as part of the company’s accounting and internal control policies. As part of this oversight, the Chief Information Officer (CIO) presents to the Audit Committee bi-annually, as well as periodically in conjunction with any internal audits related to cybersecurity.</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has implemented processes and controls designed to prevent, detect, mitigate, and remediate cybersecurity incidents, ensuring ongoing protection of the company’s systems and data. Additionally, management has protocols by which cybersecurity incidents that meet established reporting thresholds are escalated internally and, where appropriate, are reported to the Board, as well as ongoing updates regarding any such incident until it has been addressed.</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CIO, who joined the company in February 2025, brings over 20 years of experience in information technology and leadership within the energy industry. He has extensive expertise in digital transformation, cloud strategies, enterprise artificial intelligence initiatives, and cybersecurity, as well as managing large-scale system implementations and integrations. He holds an Executive Master of Business Administration from the University of Texas at San Antonio, a Master of Computer Science and Engineering from the University of Texas at Arlington, and a Bachelor of Information Science and Engineering from Bangalore University.</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CISO joined the company in November 2025, bringing significant experience in cybersecurity and operational technology leadership within the energy industry. He holds a Bachelor of Science in Management Information Systems from Kansas State University and is a Certified Information Systems Security Professional. His expertise spans operational technology security, infrastructure management, and cybersecurity operations. At Williams, he is responsible for the company’s cybersecurity strategy and execution, ensuring robust protection of systems and data in a dynamic threat environment.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Please read “Business” for a description of the location and general character of Williams’ principal physical properties. Williams generally owns its facilities in fee simple, although a substantial portion of our pipeline and gathering facilities is constructed and maintained pursuant to rights-of-way, easements, permits, licenses, or consents on and across properties owned by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Transco’s gas pipeline facilities are generally owned in fee simple. However, a substantial portion of such facilities is constructed and maintained pursuant to rights-of-way, easements, permits, licenses or consents on and across properties owned by others. Compressor stations, with appurtenant facilities, are located in whole or in part either on lands owned or on sites held under leases or permits issued or approved by public authorities. Transco’s storage facilities are either owned or contracted for under long-term leases or easements. Transco leases its company offices in Houston, Texas.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NWP</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NWP’s gas pipeline facilities are generally owned in fee simple. However, a substantial portion of such facilities are constructed and maintained on and across properties owned by others pursuant to rights-of-way, easements, permits, licenses or consents. NWP’s compressor stations, with associated facilities, are located in whole or in part upon lands owned by them and upon sites held under leases or permits issued or approved by public authorities. Land owned by others, but used by NWP under rights-of-way, easements, permits, leases, licenses, or consents, includes land owned by private parties, federal, state, and local governments, quasi-governmental agencies, or Native American tribes. The Plymouth LNG facility is located on lands owned in fee simple by NWP. Various credit arrangements restrict the sale or disposal of a major portion of our pipeline system. NWP leases its company offices in Salt Lake City, Utah.</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reportable legal proceedings involving governmental authorities under federal, state, and local laws regulating the discharge of materials into the environment are described below. While it is not possible for Williams to predict the final outcome of the proceedings that are still pending, it does not anticipate a material effect on its consolidated financial position if it received an unfavorable outcome in any one or more of such proceedings. Williams’ threshold for disclosing material environmental legal proceedings involving a governmental authority where potential monetary sanctions are involved is $1 million.</w:t>
      </w:r>
    </w:p>
    <w:p>
      <w:pPr>
        <w:spacing w:after="0" w:line="15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Other environmental matters called for by this Item are described under the caption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in Note 18 – Contingencies and Commitments included under Part II, Item 8. Financial Statements and Supplementary Data of this report, which information is incorporated by reference into this Item.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additional information called for by this Item is provided in Note 18 – Contingencies and Commitments included under Part II, Item 8. Financial Statements and Supplementary Data of this report, which information is incorporated by reference into this Item.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Information About Williams’ Executive Officers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name, title, age, period of service, and recent business experience of each of Williams’ executive officers as of February 24, 2026, are listed below.</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c>
          <w:tcPr>
            <w:tcW w:w="67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Business Experience in Past Five Years (or Relevant Business Experience)</w:t>
            </w:r>
          </w:p>
        </w:tc>
      </w:tr>
      <w:tr>
        <w:trPr>
          <w:trHeight w:val="40"/>
        </w:trPr>
        <w:tc>
          <w:tcPr>
            <w:tcW w:w="3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340" w:type="dxa"/>
            <w:vAlign w:val="bottom"/>
          </w:tcPr>
          <w:p>
            <w:pPr>
              <w:spacing w:after="0"/>
              <w:rPr>
                <w:sz w:val="3"/>
                <w:szCs w:val="3"/>
                <w:color w:val="auto"/>
              </w:rPr>
            </w:pPr>
          </w:p>
        </w:tc>
      </w:tr>
      <w:tr>
        <w:trPr>
          <w:trHeight w:val="162"/>
        </w:trPr>
        <w:tc>
          <w:tcPr>
            <w:tcW w:w="38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Alan S. Armstrong</w:t>
            </w:r>
          </w:p>
        </w:tc>
        <w:tc>
          <w:tcPr>
            <w:tcW w:w="5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63</w:t>
            </w:r>
          </w:p>
        </w:tc>
        <w:tc>
          <w:tcPr>
            <w:tcW w:w="1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2025 to present</w:t>
            </w:r>
          </w:p>
        </w:tc>
        <w:tc>
          <w:tcPr>
            <w:tcW w:w="5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Director and Executive Chairman of the Board, The Williams Companies,</w:t>
            </w:r>
          </w:p>
        </w:tc>
      </w:tr>
      <w:tr>
        <w:trPr>
          <w:trHeight w:val="216"/>
        </w:trPr>
        <w:tc>
          <w:tcPr>
            <w:tcW w:w="3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162"/>
        </w:trPr>
        <w:tc>
          <w:tcPr>
            <w:tcW w:w="3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Director and Executive Chairman of the Board</w:t>
            </w:r>
          </w:p>
        </w:tc>
        <w:tc>
          <w:tcPr>
            <w:tcW w:w="54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2011 to 2025</w:t>
            </w:r>
          </w:p>
        </w:tc>
        <w:tc>
          <w:tcPr>
            <w:tcW w:w="53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Director, Chief Executive Officer, and President, The Williams Companies,</w:t>
            </w:r>
          </w:p>
        </w:tc>
      </w:tr>
      <w:tr>
        <w:trPr>
          <w:trHeight w:val="223"/>
        </w:trPr>
        <w:tc>
          <w:tcPr>
            <w:tcW w:w="3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Payvand Fazel</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 to present</w:t>
            </w:r>
          </w:p>
        </w:tc>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Senior Vice President - Commercial, The Williams Companies, Inc.</w:t>
            </w:r>
          </w:p>
        </w:tc>
      </w:t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 Commercial</w:t>
            </w:r>
          </w:p>
        </w:tc>
        <w:tc>
          <w:tcPr>
            <w:tcW w:w="54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 to 2026</w:t>
            </w:r>
          </w:p>
        </w:tc>
        <w:tc>
          <w:tcPr>
            <w:tcW w:w="5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Vice President Western Interstates, The Williams Companies, Inc.</w:t>
            </w:r>
          </w:p>
        </w:tc>
      </w:tr>
      <w:tr>
        <w:trPr>
          <w:trHeight w:val="165"/>
        </w:trPr>
        <w:tc>
          <w:tcPr>
            <w:tcW w:w="3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2024 to 2025</w:t>
            </w:r>
          </w:p>
        </w:tc>
        <w:tc>
          <w:tcPr>
            <w:tcW w:w="534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Vice President Natural Gas Liquid (NGL) Operations &amp; Commercial - G&amp;P,</w:t>
            </w:r>
          </w:p>
        </w:tc>
      </w:tr>
      <w:tr>
        <w:trPr>
          <w:trHeight w:val="216"/>
        </w:trPr>
        <w:tc>
          <w:tcPr>
            <w:tcW w:w="3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The Williams Companies, Inc.</w:t>
            </w:r>
          </w:p>
        </w:tc>
      </w:tr>
      <w:tr>
        <w:trPr>
          <w:trHeight w:val="213"/>
        </w:trPr>
        <w:tc>
          <w:tcPr>
            <w:tcW w:w="3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2022 to 2024</w:t>
            </w:r>
          </w:p>
        </w:tc>
        <w:tc>
          <w:tcPr>
            <w:tcW w:w="5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Vice President Strategic Development, The Williams Companies, Inc.</w:t>
            </w:r>
          </w:p>
        </w:tc>
      </w:tr>
      <w:tr>
        <w:trPr>
          <w:trHeight w:val="165"/>
        </w:trPr>
        <w:tc>
          <w:tcPr>
            <w:tcW w:w="3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2021 to 2022</w:t>
            </w:r>
          </w:p>
        </w:tc>
        <w:tc>
          <w:tcPr>
            <w:tcW w:w="534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Vice President Origination and NGL Marketing/Commercial, The Williams</w:t>
            </w:r>
          </w:p>
        </w:tc>
      </w:tr>
      <w:tr>
        <w:trPr>
          <w:trHeight w:val="223"/>
        </w:trPr>
        <w:tc>
          <w:tcPr>
            <w:tcW w:w="3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3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62"/>
        </w:trPr>
        <w:tc>
          <w:tcPr>
            <w:tcW w:w="3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Glen G. Jasek</w:t>
            </w:r>
          </w:p>
        </w:tc>
        <w:tc>
          <w:tcPr>
            <w:tcW w:w="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59</w:t>
            </w: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2026 to present</w:t>
            </w:r>
          </w:p>
        </w:tc>
        <w:tc>
          <w:tcPr>
            <w:tcW w:w="53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 Transmission, Power &amp; Gulf, The Williams</w:t>
            </w:r>
          </w:p>
        </w:tc>
      </w:tr>
      <w:tr>
        <w:trPr>
          <w:trHeight w:val="213"/>
        </w:trPr>
        <w:tc>
          <w:tcPr>
            <w:tcW w:w="3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65"/>
        </w:trPr>
        <w:tc>
          <w:tcPr>
            <w:tcW w:w="3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Senior Vice President - Transmission, Power &amp; Gulf</w:t>
            </w: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2019 to 2026</w:t>
            </w:r>
          </w:p>
        </w:tc>
        <w:tc>
          <w:tcPr>
            <w:tcW w:w="534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Vice President/General Manager Eastern Interstates, The Williams</w:t>
            </w:r>
          </w:p>
        </w:tc>
      </w:tr>
      <w:tr>
        <w:trPr>
          <w:trHeight w:val="223"/>
        </w:trPr>
        <w:tc>
          <w:tcPr>
            <w:tcW w:w="3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3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62"/>
        </w:trPr>
        <w:tc>
          <w:tcPr>
            <w:tcW w:w="3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Mary A. Hausman</w:t>
            </w:r>
          </w:p>
        </w:tc>
        <w:tc>
          <w:tcPr>
            <w:tcW w:w="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54</w:t>
            </w: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2022 to present</w:t>
            </w:r>
          </w:p>
        </w:tc>
        <w:tc>
          <w:tcPr>
            <w:tcW w:w="53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Vice President, Chief Accounting Officer and Controller, The Williams</w:t>
            </w:r>
          </w:p>
        </w:tc>
      </w:tr>
      <w:tr>
        <w:trPr>
          <w:trHeight w:val="213"/>
        </w:trPr>
        <w:tc>
          <w:tcPr>
            <w:tcW w:w="3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Vice President, Chief Accounting Officer and Controller</w:t>
            </w: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2019 to 2022</w:t>
            </w:r>
          </w:p>
        </w:tc>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Staff Vice President of Internal Audit, The Williams Companies, Inc.</w:t>
            </w:r>
          </w:p>
        </w:tc>
      </w:tr>
      <w:tr>
        <w:trPr>
          <w:trHeight w:val="223"/>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Principal Financial Officer - Transco and NWP</w:t>
            </w: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340" w:type="dxa"/>
            <w:vAlign w:val="bottom"/>
            <w:tcBorders>
              <w:bottom w:val="single" w:sz="8" w:color="auto"/>
            </w:tcBorders>
          </w:tcPr>
          <w:p>
            <w:pPr>
              <w:spacing w:after="0"/>
              <w:rPr>
                <w:sz w:val="19"/>
                <w:szCs w:val="19"/>
                <w:color w:val="auto"/>
              </w:rPr>
            </w:pPr>
          </w:p>
        </w:tc>
      </w:tr>
      <w:tr>
        <w:trPr>
          <w:trHeight w:val="162"/>
        </w:trPr>
        <w:tc>
          <w:tcPr>
            <w:tcW w:w="38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Larry C. Larsen</w:t>
            </w:r>
          </w:p>
        </w:tc>
        <w:tc>
          <w:tcPr>
            <w:tcW w:w="5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51</w:t>
            </w:r>
          </w:p>
        </w:tc>
        <w:tc>
          <w:tcPr>
            <w:tcW w:w="1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2025 to present</w:t>
            </w:r>
          </w:p>
        </w:tc>
        <w:tc>
          <w:tcPr>
            <w:tcW w:w="53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Executive Vice President and Chief Operating Officer, The Williams</w:t>
            </w:r>
          </w:p>
        </w:tc>
      </w:tr>
      <w:tr>
        <w:trPr>
          <w:trHeight w:val="216"/>
        </w:trPr>
        <w:tc>
          <w:tcPr>
            <w:tcW w:w="3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62"/>
        </w:trPr>
        <w:tc>
          <w:tcPr>
            <w:tcW w:w="3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Executive Vice President and Chief Operating Officer</w:t>
            </w:r>
          </w:p>
        </w:tc>
        <w:tc>
          <w:tcPr>
            <w:tcW w:w="54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2022 to 2025</w:t>
            </w:r>
          </w:p>
        </w:tc>
        <w:tc>
          <w:tcPr>
            <w:tcW w:w="53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 Gathering &amp; Processing, The Williams Companies,</w:t>
            </w:r>
          </w:p>
        </w:tc>
      </w:tr>
      <w:tr>
        <w:trPr>
          <w:trHeight w:val="213"/>
        </w:trPr>
        <w:tc>
          <w:tcPr>
            <w:tcW w:w="3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219"/>
        </w:trPr>
        <w:tc>
          <w:tcPr>
            <w:tcW w:w="3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2020 to 2022</w:t>
            </w:r>
          </w:p>
        </w:tc>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Vice President Strategic Development, The Williams Companies, Inc.</w:t>
            </w:r>
          </w:p>
        </w:tc>
      </w:tr>
      <w:tr>
        <w:trPr>
          <w:trHeight w:val="223"/>
        </w:trPr>
        <w:tc>
          <w:tcPr>
            <w:tcW w:w="3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2019 to 2020</w:t>
            </w:r>
          </w:p>
        </w:tc>
        <w:tc>
          <w:tcPr>
            <w:tcW w:w="5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Vice President Rocky Mountain Midstream, The Williams Companies, Inc.</w:t>
            </w: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Thomas F. McCoy</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 to present</w:t>
            </w:r>
          </w:p>
        </w:tc>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Senior Vice President - Upstream, The Williams Companies, Inc.</w:t>
            </w:r>
          </w:p>
        </w:tc>
      </w:t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 Upstream</w:t>
            </w:r>
          </w:p>
        </w:tc>
        <w:tc>
          <w:tcPr>
            <w:tcW w:w="54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2024 to 2025</w:t>
            </w:r>
          </w:p>
        </w:tc>
        <w:tc>
          <w:tcPr>
            <w:tcW w:w="5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Adjunct Professor of Petroleum Practice, University of Tulsa</w:t>
            </w:r>
          </w:p>
        </w:tc>
      </w:tr>
      <w:tr>
        <w:trPr>
          <w:trHeight w:val="226"/>
        </w:trPr>
        <w:tc>
          <w:tcPr>
            <w:tcW w:w="38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2020 to 2022</w:t>
            </w:r>
          </w:p>
        </w:tc>
        <w:tc>
          <w:tcPr>
            <w:tcW w:w="53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Senior Vice President of Production, Cimarex Energy</w:t>
            </w:r>
          </w:p>
        </w:tc>
      </w:tr>
      <w:tr>
        <w:trPr>
          <w:trHeight w:val="21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Eric J. Ormond</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2023 to present</w:t>
            </w:r>
          </w:p>
        </w:tc>
        <w:tc>
          <w:tcPr>
            <w:tcW w:w="5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Senior Vice President - Project Execution, The Williams Companies, Inc.</w:t>
            </w:r>
          </w:p>
        </w:tc>
      </w:tr>
      <w:tr>
        <w:trPr>
          <w:trHeight w:val="164"/>
        </w:trPr>
        <w:tc>
          <w:tcPr>
            <w:tcW w:w="38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Senior Vice President - Project Execution</w:t>
            </w: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2023</w:t>
            </w:r>
          </w:p>
        </w:tc>
        <w:tc>
          <w:tcPr>
            <w:tcW w:w="5340" w:type="dxa"/>
            <w:vAlign w:val="bottom"/>
            <w:shd w:val="clear" w:color="auto" w:fill="CCEEFF"/>
          </w:tcPr>
          <w:p>
            <w:pPr>
              <w:ind w:left="300"/>
              <w:spacing w:after="0" w:line="164" w:lineRule="exact"/>
              <w:rPr>
                <w:sz w:val="20"/>
                <w:szCs w:val="20"/>
                <w:color w:val="auto"/>
              </w:rPr>
            </w:pPr>
            <w:r>
              <w:rPr>
                <w:rFonts w:ascii="Times New Roman" w:cs="Times New Roman" w:eastAsia="Times New Roman" w:hAnsi="Times New Roman"/>
                <w:sz w:val="16"/>
                <w:szCs w:val="16"/>
                <w:color w:val="auto"/>
              </w:rPr>
              <w:t>Senior Vice President Commercial Operations, Engineering &amp; Project</w:t>
            </w:r>
          </w:p>
        </w:tc>
      </w:tr>
      <w:tr>
        <w:trPr>
          <w:trHeight w:val="216"/>
        </w:trPr>
        <w:tc>
          <w:tcPr>
            <w:tcW w:w="3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Management, Crestwood Midstream Partners LP</w:t>
            </w:r>
          </w:p>
        </w:tc>
      </w:tr>
      <w:tr>
        <w:trPr>
          <w:trHeight w:val="162"/>
        </w:trPr>
        <w:tc>
          <w:tcPr>
            <w:tcW w:w="3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2020 to 2023</w:t>
            </w:r>
          </w:p>
        </w:tc>
        <w:tc>
          <w:tcPr>
            <w:tcW w:w="53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Engineering &amp; Project Management, Crestwood</w:t>
            </w:r>
          </w:p>
        </w:tc>
      </w:tr>
      <w:tr>
        <w:trPr>
          <w:trHeight w:val="213"/>
        </w:trPr>
        <w:tc>
          <w:tcPr>
            <w:tcW w:w="3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Midstream Partners LP</w:t>
            </w:r>
          </w:p>
        </w:tc>
      </w:tr>
      <w:tr>
        <w:trPr>
          <w:trHeight w:val="165"/>
        </w:trPr>
        <w:tc>
          <w:tcPr>
            <w:tcW w:w="38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2017 to 2020</w:t>
            </w:r>
          </w:p>
        </w:tc>
        <w:tc>
          <w:tcPr>
            <w:tcW w:w="534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Vice President Strategic Development &amp; New Ventures, Crestwood</w:t>
            </w:r>
          </w:p>
        </w:tc>
      </w:tr>
      <w:tr>
        <w:trPr>
          <w:trHeight w:val="216"/>
        </w:trPr>
        <w:tc>
          <w:tcPr>
            <w:tcW w:w="3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Midstream Partners 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7"/>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Name and Position</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Age</w:t>
            </w:r>
          </w:p>
        </w:tc>
        <w:tc>
          <w:tcPr>
            <w:tcW w:w="67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Business Experience in Past Five Years (or Relevant Business Experience)</w:t>
            </w:r>
          </w:p>
        </w:tc>
      </w:tr>
      <w:tr>
        <w:trPr>
          <w:trHeight w:val="162"/>
        </w:trPr>
        <w:tc>
          <w:tcPr>
            <w:tcW w:w="3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Debbie L. (Cowan) Pickle</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48</w:t>
            </w: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2026 to present</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and Chief Human Resources Officer, Communications</w:t>
            </w:r>
          </w:p>
        </w:tc>
      </w:tr>
      <w:tr>
        <w:trPr>
          <w:trHeight w:val="213"/>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and Corporate Social Responsibility, The Williams Companies, Inc.</w:t>
            </w:r>
          </w:p>
        </w:tc>
      </w:tr>
      <w:tr>
        <w:trPr>
          <w:trHeight w:val="165"/>
        </w:trPr>
        <w:tc>
          <w:tcPr>
            <w:tcW w:w="3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Senior Vice President - Chief Human Resources Officer,</w:t>
            </w:r>
          </w:p>
        </w:tc>
        <w:tc>
          <w:tcPr>
            <w:tcW w:w="56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2018 to 2026</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Senior Vice President and Chief Human Resources Officer, The Williams</w:t>
            </w:r>
          </w:p>
        </w:tc>
      </w:tr>
      <w:tr>
        <w:trPr>
          <w:trHeight w:val="223"/>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 and Corporate Social Responsibility</w:t>
            </w:r>
          </w:p>
        </w:tc>
        <w:tc>
          <w:tcPr>
            <w:tcW w:w="5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76"/>
        </w:trPr>
        <w:tc>
          <w:tcPr>
            <w:tcW w:w="38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John D. Porter</w:t>
            </w:r>
          </w:p>
        </w:tc>
        <w:tc>
          <w:tcPr>
            <w:tcW w:w="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56</w:t>
            </w:r>
          </w:p>
        </w:tc>
        <w:tc>
          <w:tcPr>
            <w:tcW w:w="14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2026 to present</w:t>
            </w:r>
          </w:p>
        </w:tc>
        <w:tc>
          <w:tcPr>
            <w:tcW w:w="532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rPr>
              <w:t>Executive Vice President and Chief Financial Officer, The Williams</w:t>
            </w:r>
          </w:p>
        </w:tc>
      </w:tr>
      <w:tr>
        <w:trPr>
          <w:trHeight w:val="203"/>
        </w:trPr>
        <w:tc>
          <w:tcPr>
            <w:tcW w:w="3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62"/>
        </w:trPr>
        <w:tc>
          <w:tcPr>
            <w:tcW w:w="38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Executive Vice President and Chief Financial Officer</w:t>
            </w:r>
          </w:p>
        </w:tc>
        <w:tc>
          <w:tcPr>
            <w:tcW w:w="56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2022 to present</w:t>
            </w:r>
          </w:p>
        </w:tc>
        <w:tc>
          <w:tcPr>
            <w:tcW w:w="53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and Chief Financial Officer, The Williams Companies,</w:t>
            </w: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2020 to 2022</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Vice President, Chief Accounting Officer, Controller and Financial Planning</w:t>
            </w:r>
          </w:p>
        </w:tc>
      </w:tr>
      <w:tr>
        <w:trPr>
          <w:trHeight w:val="223"/>
        </w:trPr>
        <w:tc>
          <w:tcPr>
            <w:tcW w:w="3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&amp; Analysis, The Williams Companies, Inc.</w:t>
            </w:r>
          </w:p>
        </w:tc>
      </w:tr>
      <w:tr>
        <w:trPr>
          <w:trHeight w:val="162"/>
        </w:trPr>
        <w:tc>
          <w:tcPr>
            <w:tcW w:w="38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Todd J. Rinke</w:t>
            </w: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52</w:t>
            </w:r>
          </w:p>
        </w:tc>
        <w:tc>
          <w:tcPr>
            <w:tcW w:w="14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2025 to present</w:t>
            </w:r>
          </w:p>
        </w:tc>
        <w:tc>
          <w:tcPr>
            <w:tcW w:w="532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 Gathering &amp; Processing, The Williams Companies,</w:t>
            </w: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Vice President - Gathering &amp; Processing</w:t>
            </w:r>
          </w:p>
        </w:tc>
        <w:tc>
          <w:tcPr>
            <w:tcW w:w="56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2021 to 2025</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Vice President/General Manager - ORSH, The Williams Companies, Inc.</w:t>
            </w:r>
          </w:p>
        </w:tc>
      </w:tr>
      <w:tr>
        <w:trPr>
          <w:trHeight w:val="226"/>
        </w:trPr>
        <w:tc>
          <w:tcPr>
            <w:tcW w:w="3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2018 to 2021</w:t>
            </w:r>
          </w:p>
        </w:tc>
        <w:tc>
          <w:tcPr>
            <w:tcW w:w="5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Vice President/General Manager - Central, The Williams Companies, Inc.</w:t>
            </w:r>
          </w:p>
        </w:tc>
      </w:tr>
      <w:tr>
        <w:trPr>
          <w:trHeight w:val="162"/>
        </w:trPr>
        <w:tc>
          <w:tcPr>
            <w:tcW w:w="3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Chad A. Teply</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54</w:t>
            </w: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2025 to 2026</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 Transmission, Power &amp; Gulf, The Williams</w:t>
            </w:r>
          </w:p>
        </w:tc>
      </w:tr>
      <w:tr>
        <w:trPr>
          <w:trHeight w:val="213"/>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Companies, Inc. (retiring April 3, 2026)</w:t>
            </w:r>
          </w:p>
        </w:tc>
      </w:tr>
      <w:tr>
        <w:trPr>
          <w:trHeight w:val="165"/>
        </w:trPr>
        <w:tc>
          <w:tcPr>
            <w:tcW w:w="3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Senior Vice President - Transmission, Power &amp; Gulf</w:t>
            </w:r>
          </w:p>
        </w:tc>
        <w:tc>
          <w:tcPr>
            <w:tcW w:w="56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2023 to 2025</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Senior Vice President - Transmission &amp; Gulf of Mexico, The Williams</w:t>
            </w: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21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 - Transco and NWP</w:t>
            </w:r>
          </w:p>
        </w:tc>
        <w:tc>
          <w:tcPr>
            <w:tcW w:w="56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2020 to 2023</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Senior Vice President - Project Execution, The Williams Companies, Inc.</w:t>
            </w:r>
          </w:p>
        </w:tc>
      </w:tr>
      <w:tr>
        <w:trPr>
          <w:trHeight w:val="165"/>
        </w:trPr>
        <w:tc>
          <w:tcPr>
            <w:tcW w:w="3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2017 to 2020</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Senior Vice President - Business Policy and Development, PacifiCorp (a</w:t>
            </w:r>
          </w:p>
        </w:tc>
      </w:tr>
      <w:tr>
        <w:trPr>
          <w:trHeight w:val="223"/>
        </w:trPr>
        <w:tc>
          <w:tcPr>
            <w:tcW w:w="3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Berkshire Hathaway Energy Company)</w:t>
            </w:r>
          </w:p>
        </w:tc>
      </w:tr>
      <w:tr>
        <w:trPr>
          <w:trHeight w:val="21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 Lane Wilson</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2017 to present</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Senior Vice President and General Counsel, The Williams Companies, Inc.</w:t>
            </w:r>
          </w:p>
        </w:tc>
      </w:tr>
      <w:tr>
        <w:trPr>
          <w:trHeight w:val="225"/>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Vice President and General Counsel</w:t>
            </w:r>
          </w:p>
        </w:tc>
        <w:tc>
          <w:tcPr>
            <w:tcW w:w="5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19"/>
                <w:szCs w:val="19"/>
                <w:color w:val="auto"/>
              </w:rPr>
            </w:pPr>
          </w:p>
        </w:tc>
      </w:tr>
      <w:tr>
        <w:trPr>
          <w:trHeight w:val="162"/>
        </w:trPr>
        <w:tc>
          <w:tcPr>
            <w:tcW w:w="3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Robert R. Wingo</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47</w:t>
            </w: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2025 to present</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Executive Vice President and Corporate Strategic Development, The</w:t>
            </w:r>
          </w:p>
        </w:tc>
      </w:tr>
      <w:tr>
        <w:trPr>
          <w:trHeight w:val="213"/>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Williams Companies, Inc.</w:t>
            </w:r>
          </w:p>
        </w:tc>
      </w:tr>
      <w:tr>
        <w:trPr>
          <w:trHeight w:val="165"/>
        </w:trPr>
        <w:tc>
          <w:tcPr>
            <w:tcW w:w="3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Executive Vice President and Corporate Strategic</w:t>
            </w:r>
          </w:p>
        </w:tc>
        <w:tc>
          <w:tcPr>
            <w:tcW w:w="56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2024 to 2025</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Executive Vice President of Corporate Ventures &amp; Midstream, EQT</w:t>
            </w:r>
          </w:p>
        </w:tc>
      </w:tr>
      <w:tr>
        <w:trPr>
          <w:trHeight w:val="21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w:t>
            </w: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Corporation</w:t>
            </w:r>
          </w:p>
        </w:tc>
      </w:tr>
      <w:tr>
        <w:trPr>
          <w:trHeight w:val="213"/>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2021 to 2024</w:t>
            </w: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Executive Vice President of Corporate Ventures, EQT Corporation</w:t>
            </w:r>
          </w:p>
        </w:tc>
      </w:tr>
      <w:tr>
        <w:trPr>
          <w:trHeight w:val="226"/>
        </w:trPr>
        <w:tc>
          <w:tcPr>
            <w:tcW w:w="3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2018 to 2021</w:t>
            </w:r>
          </w:p>
        </w:tc>
        <w:tc>
          <w:tcPr>
            <w:tcW w:w="53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Managing Director, Encap Flatrock Midstream</w:t>
            </w:r>
          </w:p>
        </w:tc>
      </w:tr>
      <w:tr>
        <w:trPr>
          <w:trHeight w:val="162"/>
        </w:trPr>
        <w:tc>
          <w:tcPr>
            <w:tcW w:w="3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Chad J. Zamarin</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49</w:t>
            </w: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2025 to present</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Director, Chief Executive Officer, and President, The Williams Companies,</w:t>
            </w:r>
          </w:p>
        </w:tc>
      </w:tr>
      <w:tr>
        <w:trPr>
          <w:trHeight w:val="213"/>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w:t>
            </w:r>
          </w:p>
        </w:tc>
      </w:tr>
      <w:tr>
        <w:trPr>
          <w:trHeight w:val="165"/>
        </w:trPr>
        <w:tc>
          <w:tcPr>
            <w:tcW w:w="3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Director, Chief Executive Officer, and President</w:t>
            </w:r>
          </w:p>
        </w:tc>
        <w:tc>
          <w:tcPr>
            <w:tcW w:w="560" w:type="dxa"/>
            <w:vAlign w:val="bottom"/>
            <w:shd w:val="clear" w:color="auto" w:fill="CCEEFF"/>
          </w:tcPr>
          <w:p>
            <w:pPr>
              <w:spacing w:after="0"/>
              <w:rPr>
                <w:sz w:val="14"/>
                <w:szCs w:val="14"/>
                <w:color w:val="auto"/>
              </w:rPr>
            </w:pPr>
          </w:p>
        </w:tc>
        <w:tc>
          <w:tcPr>
            <w:tcW w:w="1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2023 to 2025</w:t>
            </w:r>
          </w:p>
        </w:tc>
        <w:tc>
          <w:tcPr>
            <w:tcW w:w="532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Executive Vice President of Corporate Strategic Development, The Williams</w:t>
            </w: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2017 to 2023</w:t>
            </w:r>
          </w:p>
        </w:tc>
        <w:tc>
          <w:tcPr>
            <w:tcW w:w="532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Senior Vice President - Corporate Strategic Development, The Williams</w:t>
            </w:r>
          </w:p>
        </w:tc>
      </w:tr>
      <w:tr>
        <w:trPr>
          <w:trHeight w:val="223"/>
        </w:trPr>
        <w:tc>
          <w:tcPr>
            <w:tcW w:w="3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Companies,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131" w:right="379" w:bottom="1440" w:gutter="0" w:footer="0" w:header="0"/>
        </w:sectPr>
      </w:pPr>
    </w:p>
    <w:bookmarkStart w:id="55" w:name="page56"/>
    <w:bookmarkEnd w:id="55"/>
    <w:p>
      <w:pPr>
        <w:spacing w:after="0" w:line="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Unregistered Sales of Equity Securities, Use of Proceeds, and Issuer Purchases of Equity Securities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common stock is listed on the New York Stock Exchange under the symbol “WMB.” At the close of business on February 19, 2026, Williams had 5,329 holders of record of common stock.</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Transco and NWP are indirectly wholly owned by Williams.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distributions declared and paid to Williams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880" w:type="dxa"/>
            <w:vAlign w:val="bottom"/>
            <w:tcBorders>
              <w:bottom w:val="single" w:sz="8" w:color="auto"/>
            </w:tcBorders>
            <w:gridSpan w:val="3"/>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1"/>
        </w:trPr>
        <w:tc>
          <w:tcPr>
            <w:tcW w:w="7780" w:type="dxa"/>
            <w:vAlign w:val="bottom"/>
          </w:tcPr>
          <w:p>
            <w:pPr>
              <w:spacing w:after="0"/>
              <w:rPr>
                <w:sz w:val="18"/>
                <w:szCs w:val="18"/>
                <w:color w:val="auto"/>
              </w:rPr>
            </w:pPr>
          </w:p>
        </w:tc>
        <w:tc>
          <w:tcPr>
            <w:tcW w:w="10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10"/>
        </w:trPr>
        <w:tc>
          <w:tcPr>
            <w:tcW w:w="7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gridSpan w:val="2"/>
          </w:tcPr>
          <w:p>
            <w:pPr>
              <w:jc w:val="center"/>
              <w:ind w:right="435"/>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580" w:type="dxa"/>
            <w:vAlign w:val="bottom"/>
          </w:tcPr>
          <w:p>
            <w:pPr>
              <w:spacing w:after="0"/>
              <w:rPr>
                <w:sz w:val="18"/>
                <w:szCs w:val="18"/>
                <w:color w:val="auto"/>
              </w:rPr>
            </w:pPr>
          </w:p>
        </w:tc>
      </w:tr>
      <w:tr>
        <w:trPr>
          <w:trHeight w:val="23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Transco</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1,340</w:t>
            </w:r>
          </w:p>
        </w:tc>
        <w:tc>
          <w:tcPr>
            <w:tcW w:w="11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NWP</w:t>
            </w:r>
          </w:p>
        </w:tc>
        <w:tc>
          <w:tcPr>
            <w:tcW w:w="108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w:t>
            </w:r>
          </w:p>
        </w:tc>
        <w:tc>
          <w:tcPr>
            <w:tcW w:w="1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2021, Williams’ Board of Directors authorized a share repurchase program with a maximum dollar limit of $1.5 billion. Repurchases may be made from time to time in the open market, by block purchases, in privately negotiated transactions, or in such other manner as determined by management. Williams will also determine the timing and amount of any repurchases based on market conditions and other factors. The share repurchase program does not obligate Williams to acquire any particular amount of common stock, and it may be suspended or discontinued at any time. This share repurchase program does not have an expiration date. Williams’ purchases of its equity securities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Number</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(or Approximate</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60" w:type="dxa"/>
            <w:vAlign w:val="bottom"/>
          </w:tcPr>
          <w:p>
            <w:pPr>
              <w:spacing w:after="0"/>
              <w:rPr>
                <w:sz w:val="16"/>
                <w:szCs w:val="16"/>
                <w:color w:val="auto"/>
              </w:rPr>
            </w:pPr>
          </w:p>
        </w:tc>
        <w:tc>
          <w:tcPr>
            <w:tcW w:w="16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that May Yet</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60" w:type="dxa"/>
            <w:vAlign w:val="bottom"/>
          </w:tcPr>
          <w:p>
            <w:pPr>
              <w:spacing w:after="0"/>
              <w:rPr>
                <w:sz w:val="15"/>
                <w:szCs w:val="15"/>
                <w:color w:val="auto"/>
              </w:rPr>
            </w:pPr>
          </w:p>
        </w:tc>
        <w:tc>
          <w:tcPr>
            <w:tcW w:w="1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6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75"/>
        </w:trPr>
        <w:tc>
          <w:tcPr>
            <w:tcW w:w="386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the Plans or</w:t>
            </w:r>
          </w:p>
        </w:tc>
        <w:tc>
          <w:tcPr>
            <w:tcW w:w="0" w:type="dxa"/>
            <w:vAlign w:val="bottom"/>
          </w:tcPr>
          <w:p>
            <w:pPr>
              <w:spacing w:after="0"/>
              <w:rPr>
                <w:sz w:val="1"/>
                <w:szCs w:val="1"/>
                <w:color w:val="auto"/>
              </w:rPr>
            </w:pPr>
          </w:p>
        </w:tc>
      </w:tr>
      <w:tr>
        <w:trPr>
          <w:trHeight w:val="243"/>
        </w:trPr>
        <w:tc>
          <w:tcPr>
            <w:tcW w:w="3860" w:type="dxa"/>
            <w:vAlign w:val="bottom"/>
            <w:gridSpan w:val="2"/>
            <w:vMerge w:val="continue"/>
          </w:tcPr>
          <w:p>
            <w:pPr>
              <w:spacing w:after="0"/>
              <w:rPr>
                <w:sz w:val="21"/>
                <w:szCs w:val="21"/>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 October 31, 2025</w:t>
            </w:r>
          </w:p>
        </w:tc>
        <w:tc>
          <w:tcPr>
            <w:tcW w:w="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1,360,938,325</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 November 30, 2025</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1,360,938,325</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 2025</w:t>
            </w:r>
          </w:p>
        </w:tc>
        <w:tc>
          <w:tcPr>
            <w:tcW w:w="16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1,360,938,325</w:t>
            </w:r>
          </w:p>
        </w:tc>
        <w:tc>
          <w:tcPr>
            <w:tcW w:w="0" w:type="dxa"/>
            <w:vAlign w:val="bottom"/>
          </w:tcPr>
          <w:p>
            <w:pPr>
              <w:spacing w:after="0"/>
              <w:rPr>
                <w:sz w:val="1"/>
                <w:szCs w:val="1"/>
                <w:color w:val="auto"/>
              </w:rPr>
            </w:pPr>
          </w:p>
        </w:tc>
      </w:tr>
      <w:tr>
        <w:trPr>
          <w:trHeight w:val="22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Set forth below is a line graph comparing Williams’ cumulative total stockholder return on common stock (assuming reinvestment of dividends) with the cumulative total return of the S&amp;P 500 Stock Index, the Bloomberg Americas Pipelines Index, and the Arca Natural Gas Index for the period of five fiscal years commencing January 1, 2021. The Bloomberg Americas Pipelines Index is composed of Enbridge Inc., TC Energy Corporation, Kinder Morgan, Inc., Keyera Corp., ONEOK, Inc., Cheniere Energy, Inc., Pembina Pipeline Corporation, Plains GP Holdings LP, Targa Resources Corp., and Williams. The Arca Natural Gas Index is comprised of 20 highly capitalized companies in the natural gas industry involved primarily in natural gas exploration and production and natural gas pipeline transportation and transmission. The graph below assumes an investment of $100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980440</wp:posOffset>
            </wp:positionV>
            <wp:extent cx="5349240" cy="2434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Williams Companies,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384</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6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Bloomberg Americas Pipelines Index</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303</w:t>
            </w: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Arca Natural Gas Index</w:t>
            </w:r>
          </w:p>
        </w:tc>
        <w:tc>
          <w:tcPr>
            <w:tcW w:w="260" w:type="dxa"/>
            <w:vAlign w:val="bottom"/>
          </w:tcPr>
          <w:p>
            <w:pPr>
              <w:spacing w:after="0"/>
              <w:rPr>
                <w:sz w:val="20"/>
                <w:szCs w:val="20"/>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Combined Management’s Discussion and Analysis of Financial Condition and Results of Operations</w:t>
            </w: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3"/>
        </w:trPr>
        <w:tc>
          <w:tcPr>
            <w:tcW w:w="20" w:type="dxa"/>
            <w:vAlign w:val="bottom"/>
          </w:tcPr>
          <w:p>
            <w:pPr>
              <w:spacing w:after="0"/>
              <w:rPr>
                <w:sz w:val="15"/>
                <w:szCs w:val="15"/>
                <w:color w:val="auto"/>
              </w:rPr>
            </w:pPr>
          </w:p>
        </w:tc>
        <w:tc>
          <w:tcPr>
            <w:tcW w:w="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General</w:t>
            </w:r>
          </w:p>
        </w:tc>
        <w:tc>
          <w:tcPr>
            <w:tcW w:w="942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2"/>
          </w:tcPr>
          <w:p>
            <w:pPr>
              <w:jc w:val="center"/>
              <w:ind w:right="520"/>
              <w:spacing w:after="0" w:line="182" w:lineRule="exact"/>
              <w:rPr>
                <w:sz w:val="20"/>
                <w:szCs w:val="20"/>
                <w:color w:val="auto"/>
              </w:rPr>
            </w:pPr>
            <w:r>
              <w:rPr>
                <w:rFonts w:ascii="Times New Roman" w:cs="Times New Roman" w:eastAsia="Times New Roman" w:hAnsi="Times New Roman"/>
                <w:sz w:val="18"/>
                <w:szCs w:val="18"/>
                <w:color w:val="0000FF"/>
                <w:w w:val="99"/>
              </w:rPr>
              <w:t>55</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Company Outlook</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Results of Operations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64</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Williams</w:t>
            </w:r>
          </w:p>
        </w:tc>
        <w:tc>
          <w:tcPr>
            <w:tcW w:w="84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64</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Transco</w:t>
            </w:r>
          </w:p>
        </w:tc>
        <w:tc>
          <w:tcPr>
            <w:tcW w:w="910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78</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NWP</w:t>
            </w:r>
          </w:p>
        </w:tc>
        <w:tc>
          <w:tcPr>
            <w:tcW w:w="918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Liquidity</w:t>
            </w:r>
          </w:p>
        </w:tc>
        <w:tc>
          <w:tcPr>
            <w:tcW w:w="4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83</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is an energy company committed to being the leader in providing infrastructure that safely delivers natural gas products to reliably fuel the clean energy economy. Its operations are located in the United States.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interstate natural gas pipeline strategy is to create value by maximizing the utilization of its pipeline capacity by providing high-quality, low-cost transportation of natural gas to large and growing markets. Williams’ gas pipeline businesses’ interstate transmission and storage activities are subject to regulation by the FERC. As such, Williams’ rates and charges for the transportation of natural gas in interstate commerce; the extension, expansion, or abandonment of jurisdictional facilities; and accounting, among other things, are subject to regulation. The rates are established primarily through the FERC’s ratemaking process, but Williams may also negotiate rates with its customers pursuant to the terms of its tariffs and FERC policy. Changes in commodity prices and volumes transported have limited near-term impact on these revenues because the majority of the cost of service is recovered through firm capacity reservation charges in transportation rates.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ongoing strategy of Williams’ midstream operations is to safely and reliably operate large-scale midstream infrastructure where its assets can be fully utilized and drive low per-unit costs. Williams focuses on consistently attracting new business by providing highly reliable service to its customers. These services include natural gas gathering and processing, treating, compression and storage; NGL fractionation, transportation and storage; and crude oil production handling and transportation, as well as marketing services for NGL, crude oil, and natural gas.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Consistent with the manner in which Williams’ CODM evaluates performance and allocates resources, Williams’ operations are conducted, managed, and presented within the following reportable segments: Transmission, Power &amp; Gulf; Northeast G&amp;P; West; and Gas &amp; NGL Marketing Services. All remaining business activities, including upstream operations and corporate activities, are included in Other. See Note 1 – Description of Business, Basis of Presentation, and Summary of Significant Accounting Policies for a full description of each segment.</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indicated otherwise, the following discussion and analysis of results of operations and financial condition and liquidity relates to Williams’ current continuing operations and should be read in conjunction with the financial statements and combined notes thereto included in Part II, Item 8. Financial Statements and Supplementary Data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2025, Williams paid a regular quarterly dividend of $0.500 per share. On January 27, 2026, Williams’ board of directors approved a regular quarterly dividend of $0.525 per share payable on March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Year Ended December 31, 2025</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(loss) attributable to The Williams Companies, Inc. </w:t>
      </w:r>
      <w:r>
        <w:rPr>
          <w:rFonts w:ascii="Times New Roman" w:cs="Times New Roman" w:eastAsia="Times New Roman" w:hAnsi="Times New Roman"/>
          <w:sz w:val="18"/>
          <w:szCs w:val="18"/>
          <w:color w:val="auto"/>
        </w:rPr>
        <w:t>for the year ended December 31, 2025, increased $393 million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Further discussion of the results is found in this report in the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 FERC Rate Case Filing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Transco filed a general rate case with the FERC for an overall increase in rates and to comply with the terms of the settlement of its prior rate case. On September 30, 2024, the FERC issued an order accepting and suspending Transco’s general rate filing to be effective March 1, 2025, subject to refund and the outcome of hearing procedures established by the FERC. The order also accepted rate decreases for certain services to be effective as of October 1, 2024. During the third quarter of 2025, Transco reached an agreement in principle with its customers and the other participants to settle all aspects of the rate case and has accrued a related liability for rate refunds. Transco filed with the FERC in October 2025 for approval of the settlement. On December 30, 2025, the FERC approved the settlement which will become effective March 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Innovation Projects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continues to pursue projects to support the power demands created by new data center and industrial development in power grid-constrained markets, including agreements with a large, investment-grade company to provide onsite natural gas and power generation infrastructure. See Expansion Projects for further discussion.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Mid-Continent Gathering Assets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2025, Williams’ management approved a plan to sell certain gas gathering assets in the Mid-Continent region. These operations were designated as held for sale at December 31, 2025 and an impairment, within the West segment, has been recognized for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South Mansfield Upstream Interests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2025, Williams entered into an agreement to sell its interests in certain upstream ventures in the South Mansfield area of the Haynesville Shale region, included in Other, for consideration of $398 million with additional contingent consideration to possibly be received through 2029. The transaction closed in January 2026, and Williams expects to recognize a gain in the first quarter of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Louisiana LNG and Driftwood Pipeline Projects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2025, Williams closed on various agreements with the same counterparty to acquire a 10 percent equity-method investment in Louisiana LNG, which is developing a fully permitted LNG export facility, and an 80 percent interest in Driftwood Pipeline, which is constructing a fully permitted greenfield pipeline, Line 200, connecting to multiple other pipelines, including Transco and Louisiana Energy Gateway, to supply the LNG facility. Williams will be the operator of the pipeline. The total initial purchase price was $378 million, and both investments will require additional capital to fund further construction. Williams will also manage the gas supply for the LNG facility and purchase approximately 10 percent of the LNG produced.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Saber Asset Purchase</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2025, Williams acquired 100 percent of Saber Midstream, LLC (Saber). The acquisition, which was accounted for as an asset purchase, included cash consideration of $47 million and the retention of $113 million of Saber’s debt, which was separately repaid in full within the same month. Saber operates a gas gathering system in the Haynesville Shale region in the West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Cogentrix Investment</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March 2025, Williams purchased a minority interest in Cogentrix for $153 million, which is accounted for as an equity-method investment within the Gas &amp; NGL Marketing Services segment. Cogentrix owns interests in 11 natural gas power plants (see Note 8 – Investing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Rimrock Asset Purchase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January 31, 2025, Williams purchased a group of natural gas gathering and processing assets from Rimrock Energy Partners, LLC (Rimrock) for approximately $325 million, to expand Williams’ gathering and processing footprint and create operational synergies in the DJ Basin in the West segment.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Project Updates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Expansion projects placed into service for the current year are described below. Ongoing major expansion projects are discussed later in Company Outlook.</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Transmission, Power &amp; Gulf</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Overthrust Westbound Compression Expansion</w:t>
      </w:r>
    </w:p>
    <w:p>
      <w:pPr>
        <w:spacing w:after="0" w:line="19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October 2024, MountainWest received approval from the FERC for the project, which involves an expansion of MountainWest’s existing natural gas transmission system to provide incremental firm transportation capacity from multiple receipt points in Wamsutter, Wyoming to a delivery point in Opal, Wyoming. MountainWest placed the project into service in November 2025, increasing capacity by 325 Mdth/d.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Stanfield South</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project on NWP’s existing natural gas transmission system provides year-round transportation capacity from the Stanfield receipt point in Oregon to multiple delivery points in Idaho and a new delivery meter in Wyoming. NWP placed the project into service in November 2025, increasing NWP’s contracted capacity by 80 Mdth/d.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Commonwealth Energy Connector</w:t>
      </w:r>
    </w:p>
    <w:p>
      <w:pPr>
        <w:spacing w:after="0" w:line="19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November 2023, Transco received approval from the FERC for the project, which involves an expansion of Transco’s existing natural gas transmission system to provide incremental firm transportation capacity in Virginia. Transco placed the project into service in November 2025, increasing Transco’s capacity by 105 Mdth/d.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Alabama Georgia Connector</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March 2024, Transco received approval from the FERC for the project, which involves an expansion of Transco’s existing natural gas transmission system to provide incremental firm transportation capacity from Transco’s Station 85 pooling point in Alabama to customers in Georgia. Transco placed the project into service in October 2025, increasing Transco’s capacity by 64 Mdth/d.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Deepwater Shenandoah Project</w:t>
      </w:r>
    </w:p>
    <w:p>
      <w:pPr>
        <w:spacing w:after="0" w:line="171"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June 2021, Williams reached an agreement with two third parties to provide offshore natural gas gathering and transportation services as well as onshore natural gas processing services. The project expands the existing Gulf of America offshore infrastructure connecting to a third-party offshore lateral pipeline from the Shenandoah platform to Discovery’s existing Keathley Canyon Connector pipeline, adds onshore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facilities at Larose, Louisiana to handle the expected rich Shenandoah production, and the natural gas liquids are now fractionated and marketed at Discovery’s Paradis plant in Louisiana. This project was placed into service in July 2025.</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Texas to Louisiana Energy Pathway</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January 2024, Transco received approval from the FERC for the project, which involves an expansion of Transco’s existing natural gas transmission system to provide firm transportation capacity from receipt points in south Texas to delivery points in Texas and Louisiana. Transco placed the project into service in April 2025. Under the project, Transco provides 364 Mdth/d of new firm transportation service through a combination of increasing capacity, converting interruptible capacity to firm, and utilizing existing capacity.</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Southeast Energy Connector</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November 2023, Transco received approval from the FERC for the project, which involves an expansion of Transco’s existing natural gas transmission system to provide incremental firm transportation capacity from receipt points in Mississippi and Alabama to a delivery point in Alabama. Transco placed the project into service in April 2025, increasing Transco’s capacity by 150 Mdth/d.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Deepwater Whale Project</w:t>
      </w:r>
    </w:p>
    <w:p>
      <w:pPr>
        <w:spacing w:after="0" w:line="171"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August 2021, Williams reached an agreement with two third parties to provide offshore natural gas gathering and crude oil transportation services as well as onshore natural gas processing services. The project expands its existing Western Gulf of America offshore infrastructure via a 26-mile gas lateral pipeline from the Whale platform to the existing Perdido gas pipeline and adds a new 124-mile oil pipeline from the Whale platform to Williams’ existing junction platform. This project was placed into service in January 2025.</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West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Haynesville Gathering Expansion</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February 2023, Williams announced its agreement with a third party to facilitate natural gas production growth in the Haynesville Shale basin for the construction of a greenfield gathering system in support of a 26,000-acre dedication. In April 2025, the third party sold a majority of their ownership interest to another party, with both third parties agreeing to long-term capacity commitments on Williams’ Louisiana Energy Gateway expansion project. This project was placed into service in September 2025, providing natural gas gathering services to both parties.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Louisiana Energy Gateway</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August 2024, Williams began construction activities on new natural gas gathering assets in the Haynesville Shale basin to increase delivery of natural gas to premium markets, including Transco, industrial markets, and growing LNG export demand along the Gulf Coast. This project was placed into service in July and August 2025, increasing natural gas gathering capacity by 1.8 Bcf/d.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Outlook</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strategy is to provide a large-scale, reliable, and clean energy infrastructure designed to maximize the opportunities created by the vast supply of natural gas and natural gas products that exists in the United States. Williams accomplishes this by connecting the growing demand for cleaner fuels and feedstocks with our major positions in the premier natural gas and natural gas products supply basins. Williams continues to maintain a strong commitment to safety, environmental stewardship including seeking opportunities for renewable energy ventures, operational excellence, and customer satisfaction. Williams believes that accomplishing these goals will position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deliver safe, reliable, clean energy services to its customers and an attractive return to shareholders. Williams’ business plan for 2026 includes a continued focus on earnings and cash flow growth.</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2026, Williams’ operating results are expected to benefit from the continued growth in the Transmission, Power &amp; Gulf segment, primarily reflecting the impacts of the Socrates Power Innovation project, as well as numerous expansion projects at Transco and the Gulf of America. Growth in 2026 will benefit from a full year of the Louisiana Energy Gateway expansion project as well as expected increases in Haynesville Shale volumes. Additionally, Williams expects higher gathering and processing results in the Northeast. These increases are partially offset by the divestiture of the South Mansfield upstream joint venture, and lower expected Eagle Ford results in our West segment related to minimum volume commitment reductions.</w:t>
      </w:r>
    </w:p>
    <w:p>
      <w:pPr>
        <w:spacing w:after="0" w:line="143"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Williams seeks to maintain a strong financial position and liquidity, as well as manage a diversified portfolio of safe, clean, and reliable energy infrastructure assets that continue to serve key growth markets and supply basins in the United States. Williams’ growth capital and investment expenditures in 2026 are expected to range from $6.1 billion to $6.7 billion, excluding acquisitions and certain long-lead time equipment for power innovation projects which are backed by reimbursement from the customer if the equipment order is cancelled. Growth capital spending in 2026 primarily includes the Power Innovation projects, Transco expansions, all of which are fully contracted with firm transportation agreements, projects supporting growth in the Haynesville Shale basin, and projects supporting the Northeast G&amp;P business. Williams is investing capital in the Louisiana LNG and Driftwood Pipeline projects, as well as the development of its Wamsutter upstream oil and gas properties. In addition to growth capital and investment expenditures, Williams also remains committed to projects that maintain its assets for safe and reliable operations, as well as projects that reduce emissions, and meet legal, regulatory, and/or contractual commitments. See Note 18 – Contingencies and Commitments for further discussion of Williams’ commitments.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 risks and obstacles that could impact the execution of Williams’ plan include:</w:t>
      </w:r>
    </w:p>
    <w:p>
      <w:pPr>
        <w:spacing w:after="0" w:line="171" w:lineRule="exact"/>
        <w:rPr>
          <w:sz w:val="20"/>
          <w:szCs w:val="20"/>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recession, which could result in downturns in financial markets and commodity prices, as well as impact demand for natural gas and related products;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and regulations affecting, our infrastructure projects, including the risk of delay or denial in permits and approvals needed for our projects;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and performance risk;</w:t>
      </w:r>
    </w:p>
    <w:p>
      <w:pPr>
        <w:spacing w:after="0" w:line="13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significant increases in capital expenditures or delays in capital project execution, including increases from inflation or delays caused by supply chain disruptions;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customer drilling and production activities, which could negatively impact gathering and processing volumes;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demand for natural gas and natural gas products which could result in lower-than-expected volumes, energy commodity prices, and margins;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financial markets, or industry downturns, including increased inflation, interest rates, or tariffs;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damages to facilities, including damage to offshore facilities by weather-related events;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set forth under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Projects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ongoing major expansion projects include the following:</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Transmission, Power &amp; Gulf</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Gillis West</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Transco plans to file a prior notice application with the FERC in 2026 for the project, which involves an expansion of Transco’s existing natural gas transmission system to provide incremental firm transportation capacity from receipt points in Louisiana to delivery points in Texas. Transco plans to place the project into service as early as the second quarter of 2026, assuming timely receipt of all necessary regulatory approvals. The project is expected to increase capacity by 115 Mdth/d.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Southeast Supply Enhancement</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January 2026, Transco received approval from the FERC for the project, which involves an expansion of Transco’s existing natural gas transmission system to provide incremental firm transportation capacity from receipt points in Virginia to delivery points in Virginia, North Carolina, South Carolina, Georgia, and Alabama. Transco plans to place the project into service as early as the third quarter of 2027, assuming timely receipt of all necessary regulatory approvals. The project is expected to increase capacity by 1,597 Mdth/d.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Northeast Supply Enhancement</w:t>
      </w:r>
    </w:p>
    <w:p>
      <w:pPr>
        <w:spacing w:after="0" w:line="185" w:lineRule="exact"/>
        <w:rPr>
          <w:sz w:val="20"/>
          <w:szCs w:val="20"/>
          <w:color w:val="auto"/>
        </w:rPr>
      </w:pPr>
    </w:p>
    <w:p>
      <w:pPr>
        <w:jc w:val="both"/>
        <w:ind w:left="340" w:firstLine="324"/>
        <w:spacing w:after="0" w:line="257" w:lineRule="auto"/>
        <w:rPr>
          <w:sz w:val="20"/>
          <w:szCs w:val="20"/>
          <w:color w:val="auto"/>
        </w:rPr>
      </w:pPr>
      <w:r>
        <w:rPr>
          <w:rFonts w:ascii="Times New Roman" w:cs="Times New Roman" w:eastAsia="Times New Roman" w:hAnsi="Times New Roman"/>
          <w:sz w:val="18"/>
          <w:szCs w:val="18"/>
          <w:color w:val="auto"/>
        </w:rPr>
        <w:t>In August 2025, the FERC issued an order granting Transco’s petition for reissuance of the certificate authorization for the project, which involves an expansion of Transco’s existing natural gas transmission system to provide incremental firm transportation capacity from Transco’s Compressor Station 195 in Pennsylvania to the Rockaway Delivery Lateral transfer point in New York. In October and November 2025, Transco’s applications for Clean Water Act and related permits with the states of Pennsylvania, New York and New Jersey were approved. In August 2025, Transco executed precedent agreements with customers subscribing to all of the capacity under the project. Transco plans to place the project into service as early as the fourth quarter of 2027, assuming timely receipt of all necessary regulatory approvals. The project is expected to increase capacity by 400 Mdth</w:t>
      </w:r>
      <w:r>
        <w:rPr>
          <w:rFonts w:ascii="Arial" w:cs="Arial" w:eastAsia="Arial" w:hAnsi="Arial"/>
          <w:sz w:val="18"/>
          <w:szCs w:val="18"/>
          <w:color w:val="auto"/>
        </w:rPr>
        <w:t>⁄</w:t>
      </w:r>
      <w:r>
        <w:rPr>
          <w:rFonts w:ascii="Times New Roman" w:cs="Times New Roman" w:eastAsia="Times New Roman" w:hAnsi="Times New Roman"/>
          <w:sz w:val="18"/>
          <w:szCs w:val="18"/>
          <w:color w:val="auto"/>
        </w:rPr>
        <w:t>d.</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Pine Prairie Phase IV Expansion</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August 2025, Williams filed a certificate application with the FERC for the project, which will involve an expansion of storage capacity and the injection and withdrawal capabilities of one of its existing storage facilities in the Gulf Coast region. Williams plans to place the project into service during the fourth quarter of 2028, assuming timely receipt of all necessary regulatory approvals. The project is expected to increase working gas storage capacity by 10 Bcf.</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Dalton Lateral II</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Transco plans to file a certificate application for the project with the FERC in 2027. The project involves an expansion of Transco’s existing natural gas transmission system to provide incremental firm transportation capacity from Transco’s main line near existing Station 115 to an existing power plant in Georgia. Transco plans to place the project into service as early as the fourth quarter of 2029, assuming timely receipt of all necessary regulatory approvals. The project is expected to increase capacity up to 460 Mdth/d.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Power Express</w:t>
      </w:r>
    </w:p>
    <w:p>
      <w:pPr>
        <w:spacing w:after="0" w:line="18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Transco plans to file an application with the FERC as early as the second quarter 2027 for the project, which involves an expansion of Transco’s existing natural gas transmission system to provide incremental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transportation capacity in Virginia. Transco plans to place the project into service as early as the third quarter of 2030, assuming timely receipt of all necessary regulatory approvals. The project is expected to increase capacity by 689 Mdth/d.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Naughton Coal-to-Gas Conversion</w:t>
      </w:r>
    </w:p>
    <w:p>
      <w:pPr>
        <w:spacing w:after="0" w:line="198" w:lineRule="exact"/>
        <w:rPr>
          <w:sz w:val="20"/>
          <w:szCs w:val="20"/>
          <w:color w:val="auto"/>
        </w:rPr>
      </w:pPr>
    </w:p>
    <w:p>
      <w:pPr>
        <w:jc w:val="both"/>
        <w:ind w:left="340" w:right="20" w:firstLine="324"/>
        <w:spacing w:after="0" w:line="266" w:lineRule="auto"/>
        <w:rPr>
          <w:sz w:val="20"/>
          <w:szCs w:val="20"/>
          <w:color w:val="auto"/>
        </w:rPr>
      </w:pPr>
      <w:r>
        <w:rPr>
          <w:rFonts w:ascii="Times New Roman" w:cs="Times New Roman" w:eastAsia="Times New Roman" w:hAnsi="Times New Roman"/>
          <w:sz w:val="18"/>
          <w:szCs w:val="18"/>
          <w:color w:val="auto"/>
        </w:rPr>
        <w:t>The project involves an expansion of NWP’s existing natural gas transmission system to provide year-round transportation capacity to a power plant in southwest Wyoming. NWP plans to place the project into service as early as the second quarter of 2026, assuming timely receipt of all necessary regulatory approvals. The project is expected to increase capacity by 98 Mdth/d.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Ryckman Creek Loop</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January 2026, NWP received approval from the FERC for the project, which involves an expansion of NWP’s existing natural gas transmission system to provide incremental firm transportation capacity from a receipt point in northeast Oregon to multiple delivery points in southwest Wyoming. NWP plans to place the project into service as early as the fourth quarter of 2026. The project is expected to increase capacity by 50 Mdth/d.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Huntingdon Connector</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NWP plans to file a prior notice application for the project with the FERC in the first quarter of 2026. The project involves an expansion of NWP’s existing natural gas transmission system that will provide year-round transportation capacity from the Sumas receipt point to various delivery points in Washington. NWP plans to place the project into service during the fourth quarter of 2026, assuming timely receipt of all necessary regulatory approvals. The project is expected to increase capacity by 78 Mdth/d.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Wild Trail</w:t>
      </w:r>
    </w:p>
    <w:p>
      <w:pPr>
        <w:spacing w:after="0" w:line="198"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In May 2025, NWP filed a certificate application with the FERC for the project, which involves an expansion of NWP’s existing natural gas transmission system that will provide year-round transportation capacity from the White River Hub receipt point in western Colorado to various delivery points in southwest Wyoming and southern Colorado. The Wild Trail project is fully subscribed by an affiliate of NWP. NWP plans to place the project into service during the fourth quarter of 2027, assuming timely receipt of all necessary regulatory approvals. The project is expected to increase capacity by 83 Mdth/d.</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Kelso-Beaver Reliability</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November 2025, NWP received approval from the FERC for the project. The Kelso-Beaver Reliability project on NWP’s existing natural gas transmission system will provide year-round transportation capacity to various receipt and delivery points in Oregon. NWP plans to place the project into service during the fourth quarter of 2028, assuming timely receipt of all necessary regulatory approvals. The project is expected to increase capacity by 183 Mdth/d.</w:t>
      </w:r>
    </w:p>
    <w:p>
      <w:pPr>
        <w:spacing w:after="0" w:line="153"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8"/>
          <w:szCs w:val="18"/>
          <w:u w:val="single" w:color="auto"/>
          <w:color w:val="auto"/>
        </w:rPr>
        <w:t>Power Innovation</w:t>
      </w:r>
    </w:p>
    <w:p>
      <w:pPr>
        <w:spacing w:after="0" w:line="183"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18"/>
          <w:szCs w:val="18"/>
          <w:i w:val="1"/>
          <w:iCs w:val="1"/>
          <w:u w:val="single" w:color="auto"/>
          <w:color w:val="auto"/>
        </w:rPr>
        <w:t>Socrates</w:t>
      </w:r>
    </w:p>
    <w:p>
      <w:pPr>
        <w:spacing w:after="0" w:line="187"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Williams has received approval from the Ohio Power Siting Board for the power generation facilities and is expecting final approval for the associated gas pipeline infrastructure in the first half of 2026. The Socrates project involves the construction of the Socrates North and South power generation facilities in New Albany, Ohio. Williams has agreed to provide committed power generation and associated gas pipeline infrastructure for the project, which is expected to provide a combined 400 megawatts of onsite power generation capacity to the customer. The project is backed by a 10 year, primarily fixed-price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purchase agreement, with an option for the customer to extend the term of the agreement. Williams plans to place the project into service in the third and fourth quarter of 2026, assuming timely receipt of permits.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Additional Projects</w:t>
      </w:r>
    </w:p>
    <w:p>
      <w:pPr>
        <w:spacing w:after="0" w:line="187" w:lineRule="exact"/>
        <w:rPr>
          <w:sz w:val="20"/>
          <w:szCs w:val="20"/>
          <w:color w:val="auto"/>
        </w:rPr>
      </w:pPr>
    </w:p>
    <w:p>
      <w:pPr>
        <w:jc w:val="both"/>
        <w:ind w:left="660" w:firstLine="324"/>
        <w:spacing w:after="0" w:line="256" w:lineRule="auto"/>
        <w:rPr>
          <w:sz w:val="20"/>
          <w:szCs w:val="20"/>
          <w:color w:val="auto"/>
        </w:rPr>
      </w:pPr>
      <w:r>
        <w:rPr>
          <w:rFonts w:ascii="Times New Roman" w:cs="Times New Roman" w:eastAsia="Times New Roman" w:hAnsi="Times New Roman"/>
          <w:sz w:val="18"/>
          <w:szCs w:val="18"/>
          <w:color w:val="auto"/>
        </w:rPr>
        <w:t>Williams has agreed to provide committed power generation and associated gas pipeline infrastructure for three additional Power Innovation projects, Apollo, Aquila and Socrates the Younger. The projects are backed by primarily fixed-price power purchase agreements, with options for the customer to extend the term of the agreements. The Apollo project, in Ohio, has a term of 12.5 years, and Williams expects the project to be placed into service in the second half of 2027. The Aquila project, in Utah, also has a term of 12.5 years, and Williams expects the project to be placed into service in the second half of 2027 and the first half of 2028. The Socrates the Younger project, in Ohio, has a term of 10 years, and Williams expects the project to be placed into service the second half of 2028. All expected in-service dates assume timely receipt of permits.</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West</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Dorne</w:t>
      </w:r>
    </w:p>
    <w:p>
      <w:pPr>
        <w:spacing w:after="0" w:line="185" w:lineRule="exact"/>
        <w:rPr>
          <w:sz w:val="20"/>
          <w:szCs w:val="20"/>
          <w:color w:val="auto"/>
        </w:rPr>
      </w:pPr>
    </w:p>
    <w:p>
      <w:pPr>
        <w:ind w:left="340" w:firstLine="324"/>
        <w:spacing w:after="0" w:line="282" w:lineRule="auto"/>
        <w:rPr>
          <w:sz w:val="20"/>
          <w:szCs w:val="20"/>
          <w:color w:val="auto"/>
        </w:rPr>
      </w:pPr>
      <w:r>
        <w:rPr>
          <w:rFonts w:ascii="Times New Roman" w:cs="Times New Roman" w:eastAsia="Times New Roman" w:hAnsi="Times New Roman"/>
          <w:sz w:val="18"/>
          <w:szCs w:val="18"/>
          <w:color w:val="auto"/>
        </w:rPr>
        <w:t>Williams will construct and operate a greenfield treating and dehydration facility with a capacity of 400 MMcf/d. This project is expected to be placed into service in the third quarter of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Preparation of financial statements in conformity with generally accepted accounting principles requires management to make estimates and assumptions. The nature of these estimates and assumptions is material due to the subjectivity and judgment necessary, or the susceptibility of such matters to change, and the impact of these on the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Accounting</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regulated interstate natural gas pipelines, including Transco and NWP, are regulated by the FERC. Accounting Standards Codification (ASC) Topic 980, “Regulated Operations,” (ASC 980) provides that certain costs that would otherwise be charged to expense should be deferred as regulatory assets, based on the expected recovery from customers in future rates. Likewise, certain actual or anticipated credits that would otherwise reduce expense should be deferred as regulatory liabilities, based on the expected return to customers in future rates. Management’s expected recovery of deferred costs and return of deferred credits generally results from specific decisions by regulators granting such ratemaking treatment. Certain incurred costs and obligations are recorded as regulatory assets or liabilities if, based on regulatory orders or other available evidence, it is probable that the costs or obligations will be included in amounts allowable for recovery or refunded in future rates.</w:t>
      </w:r>
    </w:p>
    <w:p>
      <w:pPr>
        <w:spacing w:after="0" w:line="2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Accounting for operations that are regulated and apply the provisions of ASC 980 can differ from the accounting requirements for nonregulated operations. Transactions that are recorded differently as a result of regulatory accounting requirements include the capitalization of an equity return component on regulated capital projects, capitalization of other project costs, retirements of general plant assets, levelized cost of service, employee-related benefits, environmental costs, negative salvage, asset retirement obligations (AROs), as well as other costs and taxes included in, or expected to be included in, future rates. Management has determined that for its rate-regulated entities, it is appropriate to apply the accounting prescribed by ASC 980 and, accordingly, the accompanying financial statements include the effects of the types of transactions described above that result from regulatory accounting requirements. Management’s assessment of the probability of recovery or pass-through of regulatory assets and liabilities requires judgment and interpretation of laws and regulatory commission orders. If, for any reason, any of Williams’ regulated interstate natural gas pipelines, including Transco or NWP, ceases to meet the criteria for application of regulatory accounting treatment for all or part of its operations, the regulatory assets and liabilities related to those portions ceasing to meet such criteria would be eliminated from the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 sheet and included in the respective statement of income for the period in which the discontinuance of regulatory accounting treatment occurs and can be estimated, unless otherwise required to be recorded under other provisions of U.S. generally accepted accounting principles.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amount of regulatory assets reflected on Williams’ Consolidated Balance Sheet was $698 million at December 31, 2025, of which Transco’s and NWP’s Balance Sheets reflected $394 million and $83 million, respectively. The aggregate amount of regulatory liabilities reflected on Williams’ Consolidated Balance Sheet was $1.3 billion at December 31, 2025, of which Transco’s and NWP’s Balance Sheets reflected $1.0 billion and $245 million, respectively. A summary of regulatory assets and liabilities is included in Note 10 – Regulatory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Consolidated Overview</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and discussion is a summary of Williams’ consolidated results of operations for the three years ended December 31, 2025, and should be read in conjunction with the results of operations by segment, as discussed in further detail following this consolidated overview discussion.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jc w:val="center"/>
              <w:ind w:right="60"/>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200" w:type="dxa"/>
            <w:vAlign w:val="bottom"/>
          </w:tcPr>
          <w:p>
            <w:pPr>
              <w:spacing w:after="0"/>
              <w:rPr>
                <w:sz w:val="12"/>
                <w:szCs w:val="12"/>
                <w:color w:val="auto"/>
              </w:rPr>
            </w:pPr>
          </w:p>
        </w:tc>
        <w:tc>
          <w:tcPr>
            <w:tcW w:w="72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100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2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220" w:type="dxa"/>
            <w:vAlign w:val="bottom"/>
          </w:tcPr>
          <w:p>
            <w:pPr>
              <w:spacing w:after="0"/>
              <w:rPr>
                <w:sz w:val="12"/>
                <w:szCs w:val="12"/>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80" w:type="dxa"/>
            <w:vAlign w:val="bottom"/>
            <w:gridSpan w:val="4"/>
          </w:tcPr>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revenues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8,348</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+720</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+9 %</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7,628</w:t>
            </w: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+602</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0" w:type="dxa"/>
            <w:vAlign w:val="bottom"/>
          </w:tcPr>
          <w:p>
            <w:pPr>
              <w:spacing w:after="0"/>
              <w:rPr>
                <w:sz w:val="1"/>
                <w:szCs w:val="1"/>
                <w:color w:val="auto"/>
              </w:rPr>
            </w:pPr>
          </w:p>
        </w:tc>
      </w:tr>
      <w:tr>
        <w:trPr>
          <w:trHeight w:val="165"/>
        </w:trPr>
        <w:tc>
          <w:tcPr>
            <w:tcW w:w="35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Product sales and service revenues – commodity</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w:t>
            </w:r>
          </w:p>
        </w:tc>
        <w:tc>
          <w:tcPr>
            <w:tcW w:w="126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+357</w:t>
            </w:r>
          </w:p>
        </w:tc>
        <w:tc>
          <w:tcPr>
            <w:tcW w:w="12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+11 %</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w:t>
            </w:r>
          </w:p>
        </w:tc>
        <w:tc>
          <w:tcPr>
            <w:tcW w:w="12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consideration</w:t>
            </w: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gain (loss) from commodity derivatives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6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+370</w:t>
            </w:r>
          </w:p>
        </w:tc>
        <w:tc>
          <w:tcPr>
            <w:tcW w:w="122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-1,206</w:t>
            </w:r>
          </w:p>
        </w:tc>
        <w:tc>
          <w:tcPr>
            <w:tcW w:w="122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10,907</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5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Product costs and net processing commodity</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26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-81</w:t>
            </w:r>
          </w:p>
        </w:tc>
        <w:tc>
          <w:tcPr>
            <w:tcW w:w="12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2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w:t>
            </w:r>
          </w:p>
        </w:tc>
        <w:tc>
          <w:tcPr>
            <w:tcW w:w="12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and maintenance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-103</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-195</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depletion, and amortization expenses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-128</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32"/>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or write-off of certain assets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-212</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business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-129</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-53</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-88 %</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7"/>
        </w:trPr>
        <w:tc>
          <w:tcPr>
            <w:tcW w:w="35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2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2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earnings (losses)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+200</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-29</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income (loss) – net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-301</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-88 %</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NM</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-78</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-6 %</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2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-128</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-10 %</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r>
        <w:trPr>
          <w:trHeight w:val="23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 from Energy Transfer litigation judgment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-534</w:t>
            </w: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6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-39</w:t>
            </w:r>
          </w:p>
        </w:tc>
        <w:tc>
          <w:tcPr>
            <w:tcW w:w="122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+9</w:t>
            </w:r>
          </w:p>
        </w:tc>
        <w:tc>
          <w:tcPr>
            <w:tcW w:w="122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rPr>
              <w:t>+9 %</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Provision (benefit) for income taxes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6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-217</w:t>
            </w:r>
          </w:p>
        </w:tc>
        <w:tc>
          <w:tcPr>
            <w:tcW w:w="122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rPr>
              <w:t>-34 %</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+365</w:t>
            </w:r>
          </w:p>
        </w:tc>
        <w:tc>
          <w:tcPr>
            <w:tcW w:w="122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12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+100 %</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0" w:type="dxa"/>
            <w:vAlign w:val="bottom"/>
          </w:tcPr>
          <w:p>
            <w:pPr>
              <w:spacing w:after="0"/>
              <w:rPr>
                <w:sz w:val="1"/>
                <w:szCs w:val="1"/>
                <w:color w:val="auto"/>
              </w:rPr>
            </w:pPr>
          </w:p>
        </w:tc>
      </w:tr>
      <w:tr>
        <w:trPr>
          <w:trHeight w:val="162"/>
        </w:trPr>
        <w:tc>
          <w:tcPr>
            <w:tcW w:w="35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Less: Net income attributable to noncontrolling</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12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-24 %</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40" w:type="dxa"/>
            <w:vAlign w:val="bottom"/>
          </w:tcPr>
          <w:p>
            <w:pPr>
              <w:spacing w:after="0"/>
              <w:rPr>
                <w:sz w:val="14"/>
                <w:szCs w:val="14"/>
                <w:color w:val="auto"/>
              </w:rPr>
            </w:pPr>
          </w:p>
        </w:tc>
        <w:tc>
          <w:tcPr>
            <w:tcW w:w="100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+2 %</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interests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5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6"/>
                <w:szCs w:val="16"/>
                <w:color w:val="auto"/>
              </w:rPr>
              <w:t>Net income (loss) attributable to The Williams</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26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+393</w:t>
            </w:r>
          </w:p>
        </w:tc>
        <w:tc>
          <w:tcPr>
            <w:tcW w:w="12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+18 %</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2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-954</w:t>
            </w:r>
          </w:p>
        </w:tc>
        <w:tc>
          <w:tcPr>
            <w:tcW w:w="12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-30 %</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0" w:type="dxa"/>
            <w:vAlign w:val="bottom"/>
          </w:tcPr>
          <w:p>
            <w:pPr>
              <w:spacing w:after="0"/>
              <w:rPr>
                <w:sz w:val="1"/>
                <w:szCs w:val="1"/>
                <w:color w:val="auto"/>
              </w:rPr>
            </w:pPr>
          </w:p>
        </w:tc>
      </w:tr>
      <w:tr>
        <w:trPr>
          <w:trHeight w:val="209"/>
        </w:trPr>
        <w:tc>
          <w:tcPr>
            <w:tcW w:w="3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Companies, Inc.</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CCEEFF"/>
            </w:tcBorders>
            <w:vMerge w:val="continue"/>
            <w:shd w:val="clear" w:color="auto" w:fill="CCEEFF"/>
          </w:tcPr>
          <w:p>
            <w:pPr>
              <w:spacing w:after="0"/>
              <w:rPr>
                <w:sz w:val="18"/>
                <w:szCs w:val="18"/>
                <w:color w:val="auto"/>
              </w:rPr>
            </w:pPr>
          </w:p>
        </w:tc>
        <w:tc>
          <w:tcPr>
            <w:tcW w:w="122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122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260" w:hanging="252"/>
        <w:spacing w:after="0" w:line="260" w:lineRule="auto"/>
        <w:tabs>
          <w:tab w:leader="none" w:pos="3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Favorable change; - = Unfavorable change; NM = A percentage calculation is not meaningful due to a change in signs, a zero-value denominator, or a percentage change greater than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2025 vs. 2024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73"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revenues associated with expansion projects at the Transmission, Power &amp; Gulf and the West segments;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Transco transportation and storage rates and Gulf Coast Storage rates at the Transmission, Power &amp; Gulf segment;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volumes from the August 2024 Discovery Acquisition at the Transmission, Power &amp; Gulf segment, the June 2025 Saber Asset Purchase and the January 2025 Rimrock Asset Purchase at the West segment, and higher volumes from the Northeast JV at the Northeast G&amp;P segment;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associated with reimbursable expenses primarily in the Northeast G&amp;P segment, which is offset by similar changes in the charges reflected in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partially offset by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revenues in the Eagle Ford Shale region due to lower MVC revenue at the West segment.</w:t>
      </w:r>
    </w:p>
    <w:p>
      <w:pPr>
        <w:spacing w:after="0" w:line="16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net sum of </w:t>
      </w:r>
      <w:r>
        <w:rPr>
          <w:rFonts w:ascii="Times New Roman" w:cs="Times New Roman" w:eastAsia="Times New Roman" w:hAnsi="Times New Roman"/>
          <w:sz w:val="18"/>
          <w:szCs w:val="18"/>
          <w:i w:val="1"/>
          <w:iCs w:val="1"/>
          <w:color w:val="auto"/>
        </w:rPr>
        <w:t>Product sales and service revenues – commodity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costs and net processing commodity expenses,</w:t>
      </w:r>
      <w:r>
        <w:rPr>
          <w:rFonts w:ascii="Times New Roman" w:cs="Times New Roman" w:eastAsia="Times New Roman" w:hAnsi="Times New Roman"/>
          <w:sz w:val="18"/>
          <w:szCs w:val="18"/>
          <w:color w:val="auto"/>
        </w:rPr>
        <w:t xml:space="preserve"> and net realized gains and losses on commodity derivatives related to sales of product and shrink gas purchases for processing plants for the reportable segments comprise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Service revenues - commodity consideration </w:t>
      </w:r>
      <w:r>
        <w:rPr>
          <w:rFonts w:ascii="Times New Roman" w:cs="Times New Roman" w:eastAsia="Times New Roman" w:hAnsi="Times New Roman"/>
          <w:sz w:val="18"/>
          <w:szCs w:val="18"/>
          <w:color w:val="auto"/>
        </w:rPr>
        <w:t>represent payments received in the form of commodities for processing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provided. Most of these commodity volumes are sold during the month processed and are offset within </w:t>
      </w:r>
      <w:r>
        <w:rPr>
          <w:rFonts w:ascii="Times New Roman" w:cs="Times New Roman" w:eastAsia="Times New Roman" w:hAnsi="Times New Roman"/>
          <w:sz w:val="18"/>
          <w:szCs w:val="18"/>
          <w:i w:val="1"/>
          <w:iCs w:val="1"/>
          <w:color w:val="auto"/>
        </w:rPr>
        <w:t>Product costs and net processing commodity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sum of</w:t>
      </w:r>
      <w:r>
        <w:rPr>
          <w:rFonts w:ascii="Times New Roman" w:cs="Times New Roman" w:eastAsia="Times New Roman" w:hAnsi="Times New Roman"/>
          <w:sz w:val="18"/>
          <w:szCs w:val="18"/>
          <w:i w:val="1"/>
          <w:iCs w:val="1"/>
          <w:color w:val="auto"/>
        </w:rPr>
        <w:t xml:space="preserve"> Product sales </w:t>
      </w:r>
      <w:r>
        <w:rPr>
          <w:rFonts w:ascii="Times New Roman" w:cs="Times New Roman" w:eastAsia="Times New Roman" w:hAnsi="Times New Roman"/>
          <w:sz w:val="18"/>
          <w:szCs w:val="18"/>
          <w:color w:val="auto"/>
        </w:rPr>
        <w:t>and net realized gains and losses on commodity derivatives related to the upstream operations comprise</w:t>
      </w:r>
      <w:r>
        <w:rPr>
          <w:rFonts w:ascii="Times New Roman" w:cs="Times New Roman" w:eastAsia="Times New Roman" w:hAnsi="Times New Roman"/>
          <w:sz w:val="18"/>
          <w:szCs w:val="18"/>
          <w:i w:val="1"/>
          <w:iCs w:val="1"/>
          <w:color w:val="auto"/>
        </w:rPr>
        <w:t xml:space="preserve"> Net realized product sales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sales and service revenues – commodity consideration</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product sales from upstream operations primarily related to higher volumes, including the November 2024 Crowheart Acquisition (See Note 3 – Acquisitions and Divestitures), and natural gas prices at Other;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equity NGL sales and commodity consideration revenues associated with equity NGL production activity primarily due to the Discovery Acquisition at the Transmission, Power &amp; Gulf segment;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marketing sales activities primarily related to higher net gas marketing sales activities, partially offset by lower NGL marketing sales activities at the Gas &amp; NGL Marketing Services segment;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cash-out activity primarily at the Transmission, Power &amp; Gulf segment.</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Williams is acting as agent for natural gas marketing customers, its natural gas marketing product sales are presented net of the related costs of those activities within the Gas &amp; NGL Marketing Services segment.</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(loss) from commodity derivatives </w:t>
      </w:r>
      <w:r>
        <w:rPr>
          <w:rFonts w:ascii="Times New Roman" w:cs="Times New Roman" w:eastAsia="Times New Roman" w:hAnsi="Times New Roman"/>
          <w:sz w:val="18"/>
          <w:szCs w:val="18"/>
          <w:color w:val="auto"/>
        </w:rPr>
        <w:t>includes realized and unrealized gains and losses from derivative instruments reflected within</w:t>
      </w:r>
      <w:r>
        <w:rPr>
          <w:rFonts w:ascii="Times New Roman" w:cs="Times New Roman" w:eastAsia="Times New Roman" w:hAnsi="Times New Roman"/>
          <w:sz w:val="18"/>
          <w:szCs w:val="18"/>
          <w:i w:val="1"/>
          <w:iCs w:val="1"/>
          <w:color w:val="auto"/>
        </w:rPr>
        <w:t xml:space="preserve"> Total revenues </w:t>
      </w:r>
      <w:r>
        <w:rPr>
          <w:rFonts w:ascii="Times New Roman" w:cs="Times New Roman" w:eastAsia="Times New Roman" w:hAnsi="Times New Roman"/>
          <w:sz w:val="18"/>
          <w:szCs w:val="18"/>
          <w:color w:val="auto"/>
        </w:rPr>
        <w:t>primarily in the Gas &amp; NGL Marketing Services segment, as well as upstream operations at Other (see Note 17 – Commodity Derivatives).</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experiences significant earnings volatility from the fair value accounting required for the derivatives used to hedge a portion of the economic value of the underlying transportation and storage capacity portfolios as well as upstream-related production. However, the unrealized fair value measurement gains and losses on the derivatives are generally offset by valuation changes in the economic value of the underlying production or transportation and storage capacity contracts, which are not recognized until the underlying transaction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costs and net processing commodity expenses</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shrink natural gas purchases and commodity consideration costs associated with Williams’ equity NGL production activities primarily due to the Discovery Acquisition at the Transmission, Power &amp; Gulf segment;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cash-out activity primarily at the Transmission, Power &amp; Gulf segment; partially offset by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marketing activities primarily related to NGL’s at the Gas &amp; NGL Marketing Services segment.</w:t>
      </w:r>
    </w:p>
    <w:p>
      <w:pPr>
        <w:spacing w:after="0" w:line="169"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increased primarily due to operating costs of the assets acquired at the Transmission, Power &amp; Gulf and West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segments, as well as upstream operations at Other, and higher electricity and fuel primarily in the Northeast G&amp;P segment (substantially offset by higher </w:t>
      </w: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discussed above), partially offset by the absence of the impact of a 2024 change in practice related to payroll timing.</w:t>
      </w:r>
    </w:p>
    <w:p>
      <w:pPr>
        <w:spacing w:after="0" w:line="1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and amortization expenses </w:t>
      </w:r>
      <w:r>
        <w:rPr>
          <w:rFonts w:ascii="Times New Roman" w:cs="Times New Roman" w:eastAsia="Times New Roman" w:hAnsi="Times New Roman"/>
          <w:sz w:val="18"/>
          <w:szCs w:val="18"/>
          <w:color w:val="auto"/>
        </w:rPr>
        <w:t>increased primarily related to assets acquired and expansion projects placed in-service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Power &amp; Gulf and West segments, as well as upstream operations at Other and an increase in Transco depreciation rates associated with the rate case at the Transmission, Power &amp; Gulf segment, partially offset by lower ARO-related depreciation at the Transmission, Power &amp; Gulf segment.</w:t>
      </w:r>
    </w:p>
    <w:p>
      <w:pPr>
        <w:spacing w:after="0" w:line="14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increased due to higher employee-related costs, partially offset by lower acquisition and transition costs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Transmission, Power &amp; Gulf segment and the absence of the impact of a 2024 change in a practice related to payroll timing.</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or write-off of certain assets </w:t>
      </w:r>
      <w:r>
        <w:rPr>
          <w:rFonts w:ascii="Times New Roman" w:cs="Times New Roman" w:eastAsia="Times New Roman" w:hAnsi="Times New Roman"/>
          <w:sz w:val="18"/>
          <w:szCs w:val="18"/>
          <w:color w:val="auto"/>
        </w:rPr>
        <w:t>includes an impairment to certain assets held for sale in the Mid-Continent region and the write-off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DJ Basin region assets in the West segment in 2025.</w:t>
      </w:r>
    </w:p>
    <w:p>
      <w:pPr>
        <w:spacing w:after="0" w:line="11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unfavorable change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 xml:space="preserve"> includes net unfavorable changes to charges and credits associated with amortization of regulatory assets and liabilities related to the Transco rate case and deferral of ARO-related depreciation at the Transmission, Power &amp; Gulf segment.</w:t>
      </w:r>
    </w:p>
    <w:p>
      <w:pPr>
        <w:spacing w:after="0" w:line="146"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earnings (losses) </w:t>
      </w:r>
      <w:r>
        <w:rPr>
          <w:rFonts w:ascii="Times New Roman" w:cs="Times New Roman" w:eastAsia="Times New Roman" w:hAnsi="Times New Roman"/>
          <w:sz w:val="18"/>
          <w:szCs w:val="18"/>
          <w:color w:val="auto"/>
        </w:rPr>
        <w:t>changed favorably primarily due to the impact of $153 million from our investment Cogentrix in 2025 (see Note 8 –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and increases at Blue Racer and Appalachia Midstream Investments.</w:t>
      </w:r>
    </w:p>
    <w:p>
      <w:pPr>
        <w:spacing w:after="0" w:line="11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unfavorable change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includes the absence of a $149 million gain on the sale of our interests in Aux Sable in 2024 (see Note 8 – Investing Activities), a $127 million gain on remeasurement of our existing equity-method investment associated with the purchase of the remaining interest in Discovery in 2024, and lower interest income earned on lower cash and cash equivalent balances.</w:t>
      </w:r>
    </w:p>
    <w:p>
      <w:pPr>
        <w:spacing w:after="0" w:line="1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was primarily impacted by 2024 and 2025 debt issuances, partially offset by 2024 and 2025 debt retirements and the absence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imputed interest on deferred consideration obligations related to previous acquisitions (see Note 13 – Debt and Banking Arrangements).</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unfavorable change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 xml:space="preserve"> includes a decrease in equity AFUDC primarily as a result of the timing of capital projects within the regulated businesses.</w:t>
      </w:r>
    </w:p>
    <w:p>
      <w:pPr>
        <w:spacing w:after="0" w:line="10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changed unfavorably primarily due to higher pre-tax income and the absence of a benefit associated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the estimate of the state deferred income tax rate in 2024. See Note 6 – Provision (Benefit) for Income Taxes for a discussion of the effective tax rate compared to the federal statutory rate for both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73" w:lineRule="exact"/>
        <w:rPr>
          <w:sz w:val="20"/>
          <w:szCs w:val="20"/>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volumes from the November 2023 DJ Basin Acquisitions at the West segment and the January 2024 Gulf Coast Storage, August 2024 Discovery, and February 2023 MountainWest Acquisitions at the Transmission, Power &amp; Gulf segment; partially offset by lower volumes from the September 2023 sale of certain liquids pipelines at the Transmission, Power &amp; Gulf segment (see Note 3 – Acquisitions and Divestitures),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revenues associated with expansion projects at the Transmission, Power &amp; Gulf segment, partially offset by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gathering volumes at the West and Northeast G&amp;P segments.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sales and service revenues – commodity consideration</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jc w:val="both"/>
        <w:ind w:left="660" w:hanging="328"/>
        <w:spacing w:after="0" w:line="261"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marketing sales activities primarily at the West segment primarily related to the DJ Basin Acquisitions and Transmission, Power &amp; Gulf segment primarily related to the Discovery Acquisition; partially offset by lower marketing sales activities related to NGLs at the Gas &amp; NGL Marketing Services segment, primarily related to activity associated with the sale certain liquids pipelines. Net natural gas marketing sales were impacted by higher storage costs; partially offset by</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system management gas sales primarily at the Transmission, Power &amp; Gulf segment;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sales from upstream operations; partially offset by higher volumes from the November 2024 Crowheart Acquisition at Other;</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equity NGL sales and commodity consideration revenues associated with NGL production activity primarily at the West segment; partially offset by higher activity in the Transmission, Power &amp; Gulf segment primarily due to the Discovery Acquisition.</w:t>
      </w:r>
    </w:p>
    <w:p>
      <w:pPr>
        <w:spacing w:after="0" w:line="106"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(loss) from commodity derivatives </w:t>
      </w:r>
      <w:r>
        <w:rPr>
          <w:rFonts w:ascii="Times New Roman" w:cs="Times New Roman" w:eastAsia="Times New Roman" w:hAnsi="Times New Roman"/>
          <w:sz w:val="18"/>
          <w:szCs w:val="18"/>
          <w:color w:val="auto"/>
        </w:rPr>
        <w:t>includes realized and unrealized gains and losses from derivative instruments reflected within</w:t>
      </w:r>
      <w:r>
        <w:rPr>
          <w:rFonts w:ascii="Times New Roman" w:cs="Times New Roman" w:eastAsia="Times New Roman" w:hAnsi="Times New Roman"/>
          <w:sz w:val="18"/>
          <w:szCs w:val="18"/>
          <w:i w:val="1"/>
          <w:iCs w:val="1"/>
          <w:color w:val="auto"/>
        </w:rPr>
        <w:t xml:space="preserve"> Total revenues </w:t>
      </w:r>
      <w:r>
        <w:rPr>
          <w:rFonts w:ascii="Times New Roman" w:cs="Times New Roman" w:eastAsia="Times New Roman" w:hAnsi="Times New Roman"/>
          <w:sz w:val="18"/>
          <w:szCs w:val="18"/>
          <w:color w:val="auto"/>
        </w:rPr>
        <w:t>primarily in the Gas &amp; NGL Marketing Services and West segments, and upstream operations at Other.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costs and net processing commodity expenses</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jc w:val="both"/>
        <w:ind w:left="660" w:right="2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marketing activities primarily at the West segment primarily related to the DJ Basin Acquisitions and Transmission, Power &amp; Gulf segment primarily related to the Discovery Acquisition; partially offset by lower marketing activities primarily related to NGLs at the Gas &amp; NGL Marketing Services segment; partially offset by</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shrink natural gas purchases and commodity consideration costs associated with Williams’ equity NGL production activities primarily at the West segment.</w:t>
      </w:r>
    </w:p>
    <w:p>
      <w:pPr>
        <w:spacing w:after="0" w:line="10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increased primarily due to operating costs of the assets acquired at the West and Transmission, Power &amp; Gulf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as well as unfavorable changes in employee-related costs, including the impact of a change in a practice related to payroll timing; and the net imbalance liability due to changes in pricing.</w:t>
      </w:r>
    </w:p>
    <w:p>
      <w:pPr>
        <w:spacing w:after="0" w:line="14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and amortization expenses </w:t>
      </w:r>
      <w:r>
        <w:rPr>
          <w:rFonts w:ascii="Times New Roman" w:cs="Times New Roman" w:eastAsia="Times New Roman" w:hAnsi="Times New Roman"/>
          <w:sz w:val="18"/>
          <w:szCs w:val="18"/>
          <w:color w:val="auto"/>
        </w:rPr>
        <w:t>increased primarily related to the assets acquired at the Transmission, Power &amp; Gulf and West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and an increase at Transco related to additional assets placed in service. The increase is partially offset by lower amortization of intangibles related to the acquisition of Sequent Energy Management, L.P. and Sequent Energy Canada, Corp. (Sequent)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increased primarily due to employee-related costs, including the impact of a change in a practice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payroll timing, partially offset by lower acquisition and transition-related costs associated with the MountainWest Acquisition (see Note 3 – Acquisitions and Divestitures).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Gain on sale of business </w:t>
      </w:r>
      <w:r>
        <w:rPr>
          <w:rFonts w:ascii="Times New Roman" w:cs="Times New Roman" w:eastAsia="Times New Roman" w:hAnsi="Times New Roman"/>
          <w:sz w:val="18"/>
          <w:szCs w:val="18"/>
          <w:color w:val="auto"/>
        </w:rPr>
        <w:t>reflects a gain from the sale of certain liquids pipelines in the Transmission, Power &amp; Gulf segment in 2023.</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 net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Operating income (loss) </w:t>
      </w:r>
      <w:r>
        <w:rPr>
          <w:rFonts w:ascii="Times New Roman" w:cs="Times New Roman" w:eastAsia="Times New Roman" w:hAnsi="Times New Roman"/>
          <w:sz w:val="18"/>
          <w:szCs w:val="18"/>
          <w:color w:val="auto"/>
        </w:rPr>
        <w:t>includes lower project feasibility costs at our Transmission, Power &amp; Gulf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the absence of a 2023 gain related to a contract settlement.</w:t>
      </w:r>
    </w:p>
    <w:p>
      <w:pPr>
        <w:spacing w:after="0" w:line="11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earnings (losses) </w:t>
      </w:r>
      <w:r>
        <w:rPr>
          <w:rFonts w:ascii="Times New Roman" w:cs="Times New Roman" w:eastAsia="Times New Roman" w:hAnsi="Times New Roman"/>
          <w:sz w:val="18"/>
          <w:szCs w:val="18"/>
          <w:color w:val="auto"/>
        </w:rPr>
        <w:t>changed unfavorably primarily due to the impacts of the consolidation of RMM and Discovery, and the sale of the interests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Aux Sable (see Note 8 – Investing Activities), partially offset by the absence of the share of a loss contingency accrual in 2023 at Aux Sable and favorable results at OPPL.</w:t>
      </w:r>
    </w:p>
    <w:p>
      <w:pPr>
        <w:spacing w:after="0" w:line="14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investing income (loss) – net </w:t>
      </w:r>
      <w:r>
        <w:rPr>
          <w:rFonts w:ascii="Times New Roman" w:cs="Times New Roman" w:eastAsia="Times New Roman" w:hAnsi="Times New Roman"/>
          <w:sz w:val="18"/>
          <w:szCs w:val="18"/>
          <w:color w:val="auto"/>
        </w:rPr>
        <w:t>includes gains on the sale of the interests in Aux Sable and the gain on remeasuring the existing equity-method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Discovery to fair value with the acquisition of the remaining 40 percent ownership, partially offset by the absence the 2023 gain on remeasuring the existing equity-method investment in RMM to fair value with the acquisition of the remaining 50 percent ownership (see Note 8 – Investing Activities).</w:t>
      </w:r>
    </w:p>
    <w:p>
      <w:pPr>
        <w:spacing w:after="0" w:line="13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was primarily due to Williams’ 2023 and 2024 debt issuances, and imputed interest on deferred consideration obligations related to the DJ Basin and Gulf Coast Storage Acquisitions, partially offset by 2023 and 2024 debt retirements.</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from Energy Transfer litigation judgment </w:t>
      </w:r>
      <w:r>
        <w:rPr>
          <w:rFonts w:ascii="Times New Roman" w:cs="Times New Roman" w:eastAsia="Times New Roman" w:hAnsi="Times New Roman"/>
          <w:sz w:val="18"/>
          <w:szCs w:val="18"/>
          <w:color w:val="auto"/>
        </w:rPr>
        <w:t>resulted from a favorable ruling on the final order and judgment of Williams’ complaint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Transfer in 2023 (see Note 1 – Description of Business, Basis of Presentation, and Summary of Significant Accounting Policies).</w:t>
      </w:r>
    </w:p>
    <w:p>
      <w:pPr>
        <w:spacing w:after="0" w:line="104"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changed favorably primarily due to lower pre-tax income and a higher benefit associated with decreases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of the state deferred income tax rate in both periods.</w:t>
      </w:r>
    </w:p>
    <w:p>
      <w:pPr>
        <w:spacing w:after="0" w:line="13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(loss) from discontinued operations </w:t>
      </w:r>
      <w:r>
        <w:rPr>
          <w:rFonts w:ascii="Times New Roman" w:cs="Times New Roman" w:eastAsia="Times New Roman" w:hAnsi="Times New Roman"/>
          <w:sz w:val="18"/>
          <w:szCs w:val="18"/>
          <w:color w:val="auto"/>
        </w:rPr>
        <w:t>in 2023 includes a pre-tax charge of $125 million to increase the accrued liability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Alaska refinery contamination litigation, partially offset by the related income tax effect (see Note 1 – Description of Business, Basis of Presentation,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 Operating Results – Williams’ Segments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Williams’ CODM evaluates segment operating performance based upon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Note 19 – Segment Disclosures includes a reconciliation of this non-GAAP measure to </w:t>
      </w:r>
      <w:r>
        <w:rPr>
          <w:rFonts w:ascii="Times New Roman" w:cs="Times New Roman" w:eastAsia="Times New Roman" w:hAnsi="Times New Roman"/>
          <w:sz w:val="18"/>
          <w:szCs w:val="18"/>
          <w:i w:val="1"/>
          <w:iCs w:val="1"/>
          <w:color w:val="auto"/>
        </w:rPr>
        <w:t>Income (loss) before income taxes</w:t>
      </w:r>
      <w:r>
        <w:rPr>
          <w:rFonts w:ascii="Times New Roman" w:cs="Times New Roman" w:eastAsia="Times New Roman" w:hAnsi="Times New Roman"/>
          <w:sz w:val="18"/>
          <w:szCs w:val="18"/>
          <w:color w:val="auto"/>
        </w:rPr>
        <w:t xml:space="preserve">. Management uses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because it is an accepted financial indicator used by investors to compare company performance. In addition, management believes that this measure provides investors an enhanced perspective of the operating performance of Williams’ assets.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should not be considered in isolation or as a substitute for a measure of performance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Power &amp; Gulf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and service revenues – commodity consideration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 (loss) from commodity derivatives (1)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Segment revenues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w:t>
            </w:r>
          </w:p>
        </w:tc>
      </w:tr>
      <w:tr>
        <w:trPr>
          <w:trHeight w:val="256"/>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costs and net processing commodity expenses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costs and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Proportional Modified EBITDA of equity-method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Transmission, Power &amp; Gulf Modified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margins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5"/>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2"/>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2025 vs. 2024</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5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Transmission, Power &amp; Gulf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partially offset by higher</w:t>
      </w:r>
      <w:r>
        <w:rPr>
          <w:rFonts w:ascii="Times New Roman" w:cs="Times New Roman" w:eastAsia="Times New Roman" w:hAnsi="Times New Roman"/>
          <w:sz w:val="18"/>
          <w:szCs w:val="18"/>
          <w:i w:val="1"/>
          <w:iCs w:val="1"/>
          <w:color w:val="auto"/>
        </w:rPr>
        <w:t xml:space="preserve"> Other segment costs and expenses.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$291 million increase in Transco’s revenues primarily associated with expansion projects placed in service, notably Regional Energy Access in August 2024, Southside Reliability Enhancement in November 2024, Texas Louisiana Energy Pathway in April 2025, and Southeast Energy Connector in April 2025; and transportation and storage rate increases;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$96 million increase in the Western Gulf Coast region primarily due to higher natural gas gathering and crude oil transportation volumes from the Whale expansion project that went in-service in January 2025;</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$78 million increase primarily in natural gas gathering revenues due to the Discovery Acquisition and volumes from the Shenandoah expansion project that went in-service in July 2025 (see Note 3 – Acquisitions and Divestitures);</w:t>
      </w:r>
    </w:p>
    <w:p>
      <w:pPr>
        <w:spacing w:after="0" w:line="121"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 million increase in the Eastern Gulf Coast region primarily due to higher production handling, crude oil transportation and natural gas gathering volumes from new wells at Gulfstar One in the Pickerel field and at Blind Faith in the Ballymore field and the absence of shut-ins due to weather-related events, partially offset by shut-ins for maintenance activities at Devils Tower impacting the Taggart and Kodiak fields;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increase in Gulf Coast Storage’s revenues primarily associated with higher storage rates;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NWP’s revenues primarily due to transportation rate increases.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primarily due to the Discovery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w:t>
      </w:r>
    </w:p>
    <w:p>
      <w:pPr>
        <w:spacing w:after="0" w:line="200"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Unfavorable change in equity AFUDC primarily as a result of the timing of capital projects within the regulated businesses;</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Net unfavorable changes in charges and credits associated with regulatory assets and liabilities related to the rate case at Transco;</w:t>
      </w:r>
    </w:p>
    <w:p>
      <w:pPr>
        <w:spacing w:after="0" w:line="184"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operating expenses and administrative costs including increased operating costs resulting from the Discovery Acquisition, corporate allocations, and property taxes, as well as higher employee-related costs, partially offset by the absence of acquisition and transition costs related to the Gulf Coast Storage Acquisition in January 2024 (see Note 3 – Acquisitions and Divestitures) and a 2024 change in a practice related to payroll timing;</w:t>
      </w:r>
    </w:p>
    <w:p>
      <w:pPr>
        <w:spacing w:after="0" w:line="1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 in the deferral of ARO-related depreciation at Transco; partially offset by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net favorable change related to certain asset retirements in the Western Gulf Coast region in 2025.</w:t>
      </w:r>
    </w:p>
    <w:p>
      <w:pPr>
        <w:spacing w:after="0" w:line="169"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decreased primarily due to lower proportional results as Discovery was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its August 2024 acquisition.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85"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Transmission, Power &amp; Gulf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partially offset by the absence of a</w:t>
      </w:r>
      <w:r>
        <w:rPr>
          <w:rFonts w:ascii="Times New Roman" w:cs="Times New Roman" w:eastAsia="Times New Roman" w:hAnsi="Times New Roman"/>
          <w:sz w:val="18"/>
          <w:szCs w:val="18"/>
          <w:i w:val="1"/>
          <w:iCs w:val="1"/>
          <w:color w:val="auto"/>
        </w:rPr>
        <w:t xml:space="preserve"> Gain on sale of business, </w:t>
      </w:r>
      <w:r>
        <w:rPr>
          <w:rFonts w:ascii="Times New Roman" w:cs="Times New Roman" w:eastAsia="Times New Roman" w:hAnsi="Times New Roman"/>
          <w:sz w:val="18"/>
          <w:szCs w:val="18"/>
          <w:color w:val="auto"/>
        </w:rPr>
        <w:t>higher</w:t>
      </w:r>
      <w:r>
        <w:rPr>
          <w:rFonts w:ascii="Times New Roman" w:cs="Times New Roman" w:eastAsia="Times New Roman" w:hAnsi="Times New Roman"/>
          <w:sz w:val="18"/>
          <w:szCs w:val="18"/>
          <w:i w:val="1"/>
          <w:iCs w:val="1"/>
          <w:color w:val="auto"/>
        </w:rPr>
        <w:t xml:space="preserve"> Other segment costs and expenses, </w:t>
      </w:r>
      <w:r>
        <w:rPr>
          <w:rFonts w:ascii="Times New Roman" w:cs="Times New Roman" w:eastAsia="Times New Roman" w:hAnsi="Times New Roman"/>
          <w:sz w:val="18"/>
          <w:szCs w:val="18"/>
          <w:color w:val="auto"/>
        </w:rPr>
        <w:t>and lower</w:t>
      </w:r>
      <w:r>
        <w:rPr>
          <w:rFonts w:ascii="Times New Roman" w:cs="Times New Roman" w:eastAsia="Times New Roman" w:hAnsi="Times New Roman"/>
          <w:sz w:val="18"/>
          <w:szCs w:val="18"/>
          <w:i w:val="1"/>
          <w:iCs w:val="1"/>
          <w:color w:val="auto"/>
        </w:rPr>
        <w:t xml:space="preserve"> Proportional Modified EBITDA of equity-method investments.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$220 million increase primarily in storage revenues due to the Gulf Coast Storage Acquisition in January 2024 (see Note 3 – Acquisitions and Divestitures);</w:t>
      </w:r>
    </w:p>
    <w:p>
      <w:pPr>
        <w:spacing w:after="0" w:line="12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$121 million increase in Transco’s revenues primarily associated with expansion projects and higher park and loan services;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$41 million increase primarily in gathering revenues due to the Discovery Acquisition in August 2024;</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 million increase in primarily transportation and storage revenues due to the MountainWest Acquisition in February 2023 (see Note 3 – Acquisitions and Divestitures);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 million increase in NorTex’s revenues primarily associated with higher storage rates; partially offset by</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$39 million decrease primarily in transportation revenues due to the sale of certain liquids pipelines in the Gulf Coast region in September 2023 (see Note 3 – Acquisitions and Divestitures);</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$34 million decrease in the Eastern Gulf region primarily due to shut-ins for producer operational issues at Gulfstar One in the Gunflint and Tubular Bells fields and weather-related events, partially offset by higher primarily production handling volumes from a new well at Gulfstar One in the Pickerel field.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w:t>
      </w:r>
    </w:p>
    <w:p>
      <w:pPr>
        <w:spacing w:after="0" w:line="200" w:lineRule="exact"/>
        <w:rPr>
          <w:sz w:val="20"/>
          <w:szCs w:val="20"/>
          <w:color w:val="auto"/>
        </w:rPr>
      </w:pPr>
    </w:p>
    <w:p>
      <w:pPr>
        <w:jc w:val="both"/>
        <w:ind w:left="660" w:hanging="328"/>
        <w:spacing w:after="0" w:line="266" w:lineRule="auto"/>
        <w:tabs>
          <w:tab w:leader="none" w:pos="65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Higher operating expenses and administrative costs including higher operating, acquisition and transition costs related to Williams’ Gulf Coast Storage and Discovery Acquisitions, and employee-related costs, including the impact of a change in a practice related to payroll timing; partially offset by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lower acquisition and transition costs related to Williams’ MountainWest Acquisition, contract services at Transco, and operating costs related to the sale of certain liquids pipelines in the Gulf Coast region;</w:t>
      </w:r>
    </w:p>
    <w:p>
      <w:pPr>
        <w:spacing w:after="0" w:line="13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 in the amortization of regulatory pension liabilities at Transco; partially offset by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project feasibility costs;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favorable change in equity AFUDC primarily as a result of increased capital expenditures at Williams’ regulated businesses.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primarily due to a $19 million increase from Williams’ equity NGLs primarily due to the Discovery Acquisition.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Gain on sale of business </w:t>
      </w:r>
      <w:r>
        <w:rPr>
          <w:rFonts w:ascii="Times New Roman" w:cs="Times New Roman" w:eastAsia="Times New Roman" w:hAnsi="Times New Roman"/>
          <w:sz w:val="18"/>
          <w:szCs w:val="18"/>
          <w:color w:val="auto"/>
        </w:rPr>
        <w:t>reflects a gain recognized on the sale of certain liquids pipelines in the Gulf Coast region in September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decreased primarily due to lower proportional results as Discovery was consolidated.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Northeast G&amp;P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12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12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12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30"/>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Product sales and service revenues – commodity consideration (1)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7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Segment revenues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r>
        <w:trPr>
          <w:trHeight w:val="257"/>
        </w:trPr>
        <w:tc>
          <w:tcPr>
            <w:tcW w:w="12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9"/>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 and net processing commodity expenses (1)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 costs and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Proportional Modified EBITDA of equity-method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Northeast G&amp;P Modified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6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Commodity margins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8"/>
        </w:trPr>
        <w:tc>
          <w:tcPr>
            <w:tcW w:w="1280" w:type="dxa"/>
            <w:vAlign w:val="bottom"/>
            <w:tcBorders>
              <w:bottom w:val="single" w:sz="8" w:color="auto"/>
            </w:tcBorders>
          </w:tcPr>
          <w:p>
            <w:pPr>
              <w:spacing w:after="0"/>
              <w:rPr>
                <w:sz w:val="20"/>
                <w:szCs w:val="20"/>
                <w:color w:val="auto"/>
              </w:rPr>
            </w:pPr>
          </w:p>
        </w:tc>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91"/>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2025 vs. 2024</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42"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Northeast G&amp;P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and higher</w:t>
      </w:r>
      <w:r>
        <w:rPr>
          <w:rFonts w:ascii="Times New Roman" w:cs="Times New Roman" w:eastAsia="Times New Roman" w:hAnsi="Times New Roman"/>
          <w:sz w:val="18"/>
          <w:szCs w:val="18"/>
          <w:i w:val="1"/>
          <w:iCs w:val="1"/>
          <w:color w:val="auto"/>
        </w:rPr>
        <w:t xml:space="preserve"> Proportional Modified EBITDA of equity-method investments</w:t>
      </w:r>
      <w:r>
        <w:rPr>
          <w:rFonts w:ascii="Times New Roman" w:cs="Times New Roman" w:eastAsia="Times New Roman" w:hAnsi="Times New Roman"/>
          <w:sz w:val="18"/>
          <w:szCs w:val="18"/>
          <w:color w:val="auto"/>
        </w:rPr>
        <w:t>, partially offset by higher</w:t>
      </w:r>
      <w:r>
        <w:rPr>
          <w:rFonts w:ascii="Times New Roman" w:cs="Times New Roman" w:eastAsia="Times New Roman" w:hAnsi="Times New Roman"/>
          <w:sz w:val="18"/>
          <w:szCs w:val="18"/>
          <w:i w:val="1"/>
          <w:iCs w:val="1"/>
          <w:color w:val="auto"/>
        </w:rPr>
        <w:t xml:space="preserve"> Other segment costs and expenses.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$40 million increase in revenues at the Northeast JV primarily related to higher transportation &amp; fractionation volumes, higher gathering volumes, and higher processing rates;</w:t>
      </w:r>
    </w:p>
    <w:p>
      <w:pPr>
        <w:spacing w:after="0" w:line="119"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$29 million increase in revenues associated with reimbursable expenses, which is offset by similar changes in the charges reflected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costs and expenses</w:t>
      </w:r>
      <w:r>
        <w:rPr>
          <w:rFonts w:ascii="Times New Roman" w:cs="Times New Roman" w:eastAsia="Times New Roman" w:hAnsi="Times New Roman"/>
          <w:sz w:val="18"/>
          <w:szCs w:val="18"/>
          <w:color w:val="auto"/>
        </w:rPr>
        <w:t>;</w:t>
      </w:r>
    </w:p>
    <w:p>
      <w:pPr>
        <w:spacing w:after="0" w:line="1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$11 million increase in gathering revenues in the Utica Shale region primarily related to higher volumes at Cardinal; partially offset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$6 million decrease in gathering revenues at Susquehanna Supply Hub primarily related to lower volumes partially offset by escalated rates.</w:t>
      </w:r>
    </w:p>
    <w:p>
      <w:pPr>
        <w:spacing w:after="0" w:line="19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 higher operating expenses, including higher electricity and fuel (substantially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higher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discussed above) and higher maintenance expenses. The increase was partially offset by lower employee-related costs related to the absence of the impact of a 2024 change in a practice related to payroll timing.</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increased at Appalachia Midstream Investments primarily driven by escalated gathering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and higher gathering volumes, at Blue Racer primarily due to higher volumes and annual rate escalations, and at Laurel Mountain primarily due to higher commodity-based gathering rates and higher volumes. The increase was partially offset by a decrease at Aux Sable Liquid Products LP due to the sale of Williams’ investment in the third quarter of 2024.</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7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Northeast G&amp;P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Proportional Modified EBITDA of equity-method investments</w:t>
      </w:r>
      <w:r>
        <w:rPr>
          <w:rFonts w:ascii="Times New Roman" w:cs="Times New Roman" w:eastAsia="Times New Roman" w:hAnsi="Times New Roman"/>
          <w:sz w:val="18"/>
          <w:szCs w:val="18"/>
          <w:color w:val="auto"/>
        </w:rPr>
        <w:t>, higher</w:t>
      </w:r>
      <w:r>
        <w:rPr>
          <w:rFonts w:ascii="Times New Roman" w:cs="Times New Roman" w:eastAsia="Times New Roman" w:hAnsi="Times New Roman"/>
          <w:sz w:val="18"/>
          <w:szCs w:val="18"/>
          <w:i w:val="1"/>
          <w:iCs w:val="1"/>
          <w:color w:val="auto"/>
        </w:rPr>
        <w:t xml:space="preserve"> Service revenues</w:t>
      </w:r>
      <w:r>
        <w:rPr>
          <w:rFonts w:ascii="Times New Roman" w:cs="Times New Roman" w:eastAsia="Times New Roman" w:hAnsi="Times New Roman"/>
          <w:sz w:val="18"/>
          <w:szCs w:val="18"/>
          <w:color w:val="auto"/>
        </w:rPr>
        <w:t>, and higher</w:t>
      </w:r>
      <w:r>
        <w:rPr>
          <w:rFonts w:ascii="Times New Roman" w:cs="Times New Roman" w:eastAsia="Times New Roman" w:hAnsi="Times New Roman"/>
          <w:sz w:val="18"/>
          <w:szCs w:val="18"/>
          <w:i w:val="1"/>
          <w:iCs w:val="1"/>
          <w:color w:val="auto"/>
        </w:rPr>
        <w:t xml:space="preserve"> Commodity margins</w:t>
      </w:r>
      <w:r>
        <w:rPr>
          <w:rFonts w:ascii="Times New Roman" w:cs="Times New Roman" w:eastAsia="Times New Roman" w:hAnsi="Times New Roman"/>
          <w:sz w:val="18"/>
          <w:szCs w:val="18"/>
          <w:color w:val="auto"/>
        </w:rPr>
        <w:t>, partially offset by higher</w:t>
      </w:r>
      <w:r>
        <w:rPr>
          <w:rFonts w:ascii="Times New Roman" w:cs="Times New Roman" w:eastAsia="Times New Roman" w:hAnsi="Times New Roman"/>
          <w:sz w:val="18"/>
          <w:szCs w:val="18"/>
          <w:i w:val="1"/>
          <w:iCs w:val="1"/>
          <w:color w:val="auto"/>
        </w:rPr>
        <w:t xml:space="preserve"> Other segment costs and expenses.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right="20" w:hanging="328"/>
        <w:spacing w:after="0" w:line="282" w:lineRule="auto"/>
        <w:tabs>
          <w:tab w:leader="none" w:pos="655"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$20 million increase in revenues at the Northeast JV primarily related to higher gathering volumes as well as higher transportation &amp; fractionation, gathering, and processing rates, partially offset by lower transportation &amp; fractionation and processing volumes;</w:t>
      </w:r>
    </w:p>
    <w:p>
      <w:pPr>
        <w:spacing w:after="0" w:line="12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$16 million increase in joint venture operating fees primarily related to assuming operatorship of Blue Racer effective January 1, 2024, (which is significantly offset by higher </w:t>
      </w:r>
      <w:r>
        <w:rPr>
          <w:rFonts w:ascii="Times New Roman" w:cs="Times New Roman" w:eastAsia="Times New Roman" w:hAnsi="Times New Roman"/>
          <w:sz w:val="18"/>
          <w:szCs w:val="18"/>
          <w:i w:val="1"/>
          <w:iCs w:val="1"/>
          <w:color w:val="auto"/>
        </w:rPr>
        <w:t>Other segment costs and expenses</w:t>
      </w:r>
      <w:r>
        <w:rPr>
          <w:rFonts w:ascii="Times New Roman" w:cs="Times New Roman" w:eastAsia="Times New Roman" w:hAnsi="Times New Roman"/>
          <w:sz w:val="18"/>
          <w:szCs w:val="18"/>
          <w:color w:val="auto"/>
        </w:rPr>
        <w:t xml:space="preserve"> discussed below);</w:t>
      </w:r>
    </w:p>
    <w:p>
      <w:pPr>
        <w:spacing w:after="0" w:line="132"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$11 million increase in revenues associated with reimbursable expenses, which is offset by similar changes in the charges reflected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costs and expenses</w:t>
      </w:r>
      <w:r>
        <w:rPr>
          <w:rFonts w:ascii="Times New Roman" w:cs="Times New Roman" w:eastAsia="Times New Roman" w:hAnsi="Times New Roman"/>
          <w:sz w:val="18"/>
          <w:szCs w:val="18"/>
          <w:color w:val="auto"/>
        </w:rPr>
        <w:t>; partially offset by</w:t>
      </w:r>
    </w:p>
    <w:p>
      <w:pPr>
        <w:spacing w:after="0" w:line="11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 million decrease in gathering revenues at Susquehanna Supply Hub primarily related to lower volumes partially offset by escalated rates;</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$16 million decrease in gathering revenues in the Utica Shale region primarily related to lower volumes at Flint and Cardinal partially offset by escalated rates.</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due to a restructured gas purchase deal in 2024 which allowed for margin gain on residue pricing and liquids from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recoveries. In addition, Williams was not significantly impacted by system constraints which impacted margins in 2023.</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 higher employee-related costs, including the impact of a change in a practice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payroll timing, as well as higher operating expenses, including higher electricity and fuel, and increased support costs related to assuming operatorship of Blue Racer effective January 1, 2024 (substantially offset by higher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discussed above). The increase was partially offset by lower maintenance expenses and the absence of the 2023 loss contingency accrual.</w:t>
      </w:r>
    </w:p>
    <w:p>
      <w:pPr>
        <w:spacing w:after="0" w:line="12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increased at Aux Sable Liquid Products LP primarily due to the absence of Williams’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million share of a loss contingency accrual related to its former ownership in 2023, as well as the terms of the new product marketing agreement, partially offset by the sale of Williams’ investment in Aux Sable Liquid Products LP in the third quarter of 2024. Additionally, Appalachia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780"/>
        <w:spacing w:after="0" w:line="418" w:lineRule="auto"/>
        <w:rPr>
          <w:sz w:val="20"/>
          <w:szCs w:val="20"/>
          <w:color w:val="auto"/>
        </w:rPr>
      </w:pPr>
      <w:r>
        <w:rPr>
          <w:rFonts w:ascii="Times New Roman" w:cs="Times New Roman" w:eastAsia="Times New Roman" w:hAnsi="Times New Roman"/>
          <w:sz w:val="18"/>
          <w:szCs w:val="18"/>
          <w:color w:val="auto"/>
        </w:rPr>
        <w:t xml:space="preserve">Midstream Investments increased primarily driven by higher gathering rates partially offset by lower volumes and higher expenses. </w:t>
      </w:r>
      <w:r>
        <w:rPr>
          <w:rFonts w:ascii="Times New Roman" w:cs="Times New Roman" w:eastAsia="Times New Roman" w:hAnsi="Times New Roman"/>
          <w:sz w:val="18"/>
          <w:szCs w:val="18"/>
          <w:b w:val="1"/>
          <w:bCs w:val="1"/>
          <w:i w:val="1"/>
          <w:iCs w:val="1"/>
          <w:color w:val="auto"/>
        </w:rPr>
        <w:t>West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sales and service revenues – commodity consideration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60"/>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realized gain (loss) from commodity derivatives relating to service revenues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gain (loss) from commodity derivatives relating to product sales (1)</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realized gain (loss) from commodity derivatives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60"/>
        </w:trPr>
        <w:tc>
          <w:tcPr>
            <w:tcW w:w="76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r>
      <w:tr>
        <w:trPr>
          <w:trHeight w:val="219"/>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Segment revenues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r>
      <w:tr>
        <w:trPr>
          <w:trHeight w:val="260"/>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costs and net processing commodity expenses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costs and expenses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or write-off of certain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Proportional Modified EBITDA of equity-method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27"/>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West Modified EBITDA</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7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Commodity margins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5"/>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ind w:left="400" w:hanging="392"/>
        <w:spacing w:after="0"/>
        <w:tabs>
          <w:tab w:leader="none" w:pos="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2025 vs. 2024</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West Modified EBITDA </w:t>
      </w:r>
      <w:r>
        <w:rPr>
          <w:rFonts w:ascii="Times New Roman" w:cs="Times New Roman" w:eastAsia="Times New Roman" w:hAnsi="Times New Roman"/>
          <w:sz w:val="18"/>
          <w:szCs w:val="18"/>
          <w:color w:val="auto"/>
        </w:rPr>
        <w:t>decreased primarily due to the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i w:val="1"/>
          <w:iCs w:val="1"/>
          <w:color w:val="auto"/>
        </w:rPr>
        <w:t>Impairment or write-off of certain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color w:val="auto"/>
        </w:rPr>
        <w:t>partially offset by higher</w:t>
      </w:r>
      <w:r>
        <w:rPr>
          <w:rFonts w:ascii="Times New Roman" w:cs="Times New Roman" w:eastAsia="Times New Roman" w:hAnsi="Times New Roman"/>
          <w:sz w:val="18"/>
          <w:szCs w:val="18"/>
          <w:i w:val="1"/>
          <w:iCs w:val="1"/>
          <w:color w:val="auto"/>
        </w:rPr>
        <w:t xml:space="preserve"> Service revenues.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33" w:lineRule="exact"/>
        <w:rPr>
          <w:sz w:val="20"/>
          <w:szCs w:val="20"/>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$121 million increase in the Haynesville Shale region primarily due to higher gathering volumes including those resulting from Louisiana Energy Gateway which was placed into service in third-quarter 2025 and the Saber Asset Purchase;</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 million increase in the DJ Basin region primarily due to higher gathering volumes associated with the Rimrock Asset Purchase;</w:t>
      </w:r>
    </w:p>
    <w:p>
      <w:pPr>
        <w:spacing w:after="0" w:line="13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increase in the Barnett Shale region primarily due to higher gathering rates driven by favorable commodity pricing; partially offset by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$77 million decrease in the Eagle Ford Shale region primarily due to lower MVC revenue.</w:t>
      </w:r>
    </w:p>
    <w:p>
      <w:pPr>
        <w:spacing w:after="0" w:line="19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$21 million primarily due to $12 million higher margins from equity NGLs associated with higher net realized NGL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prices as well as higher volumes of equity NGL sold, and a $12 million increase in marketing margins primarily associated with the DJ Basin Acquisitions, as previously discussed.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 higher operating expenses associated with the Rimrock Asset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or write-off of certain assets </w:t>
      </w:r>
      <w:r>
        <w:rPr>
          <w:rFonts w:ascii="Times New Roman" w:cs="Times New Roman" w:eastAsia="Times New Roman" w:hAnsi="Times New Roman"/>
          <w:sz w:val="18"/>
          <w:szCs w:val="18"/>
          <w:color w:val="auto"/>
        </w:rPr>
        <w:t>reflects the $176 million impairment of Mid-Continent assets held for sale, and $36 million write-off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compression and processing assets in the DJ Basin region.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increased primarily due to higher rates and volumes at OPPL.</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West Modified EBITDA </w:t>
      </w:r>
      <w:r>
        <w:rPr>
          <w:rFonts w:ascii="Times New Roman" w:cs="Times New Roman" w:eastAsia="Times New Roman" w:hAnsi="Times New Roman"/>
          <w:sz w:val="18"/>
          <w:szCs w:val="18"/>
          <w:color w:val="auto"/>
        </w:rPr>
        <w:t>increased primarily due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Commodity margins, </w:t>
      </w:r>
      <w:r>
        <w:rPr>
          <w:rFonts w:ascii="Times New Roman" w:cs="Times New Roman" w:eastAsia="Times New Roman" w:hAnsi="Times New Roman"/>
          <w:sz w:val="18"/>
          <w:szCs w:val="18"/>
          <w:color w:val="auto"/>
        </w:rPr>
        <w:t>partially offset by higher</w:t>
      </w:r>
      <w:r>
        <w:rPr>
          <w:rFonts w:ascii="Times New Roman" w:cs="Times New Roman" w:eastAsia="Times New Roman" w:hAnsi="Times New Roman"/>
          <w:sz w:val="18"/>
          <w:szCs w:val="18"/>
          <w:i w:val="1"/>
          <w:iCs w:val="1"/>
          <w:color w:val="auto"/>
        </w:rPr>
        <w:t xml:space="preserve"> Other segment costs and expenses, </w:t>
      </w:r>
      <w:r>
        <w:rPr>
          <w:rFonts w:ascii="Times New Roman" w:cs="Times New Roman" w:eastAsia="Times New Roman" w:hAnsi="Times New Roman"/>
          <w:sz w:val="18"/>
          <w:szCs w:val="18"/>
          <w:color w:val="auto"/>
        </w:rPr>
        <w:t>an unfavorable change in</w:t>
      </w:r>
      <w:r>
        <w:rPr>
          <w:rFonts w:ascii="Times New Roman" w:cs="Times New Roman" w:eastAsia="Times New Roman" w:hAnsi="Times New Roman"/>
          <w:sz w:val="18"/>
          <w:szCs w:val="18"/>
          <w:i w:val="1"/>
          <w:iCs w:val="1"/>
          <w:color w:val="auto"/>
        </w:rPr>
        <w:t xml:space="preserve"> Net realized gain (loss) from commodity derivatives relating to service revenues, </w:t>
      </w:r>
      <w:r>
        <w:rPr>
          <w:rFonts w:ascii="Times New Roman" w:cs="Times New Roman" w:eastAsia="Times New Roman" w:hAnsi="Times New Roman"/>
          <w:sz w:val="18"/>
          <w:szCs w:val="18"/>
          <w:color w:val="auto"/>
        </w:rPr>
        <w:t>and lower</w:t>
      </w:r>
      <w:r>
        <w:rPr>
          <w:rFonts w:ascii="Times New Roman" w:cs="Times New Roman" w:eastAsia="Times New Roman" w:hAnsi="Times New Roman"/>
          <w:sz w:val="18"/>
          <w:szCs w:val="18"/>
          <w:i w:val="1"/>
          <w:iCs w:val="1"/>
          <w:color w:val="auto"/>
        </w:rPr>
        <w:t xml:space="preserve"> Proportional Modified EBITDA of equity-method investments.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46" w:lineRule="exact"/>
        <w:rPr>
          <w:sz w:val="20"/>
          <w:szCs w:val="20"/>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$249 million increase in the DJ Basin region associated with the DJ Basin Acquisitions in November 2023 (see Note 3 – Acquisitions and Divestitures);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 million increase in other NGL operations associated with higher fractionation and transportation revenue due to higher volumes and higher storage fees primarily due to a new contract;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in the Wamsutter region primarily associated with higher gathering volumes from increased producer activity as well as higher volumes associated with the absence of weather-related events in first-quarter 2023;</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$12 million increase associated with reimbursable compressor power and fuel purchases primarily due to the DJ Basin Acquisitions as previously discussed, which are offset by similar changes in </w:t>
      </w:r>
      <w:r>
        <w:rPr>
          <w:rFonts w:ascii="Times New Roman" w:cs="Times New Roman" w:eastAsia="Times New Roman" w:hAnsi="Times New Roman"/>
          <w:sz w:val="18"/>
          <w:szCs w:val="18"/>
          <w:i w:val="1"/>
          <w:iCs w:val="1"/>
          <w:color w:val="auto"/>
        </w:rPr>
        <w:t>Other segment costs and expenses</w:t>
      </w:r>
      <w:r>
        <w:rPr>
          <w:rFonts w:ascii="Times New Roman" w:cs="Times New Roman" w:eastAsia="Times New Roman" w:hAnsi="Times New Roman"/>
          <w:sz w:val="17"/>
          <w:szCs w:val="17"/>
          <w:color w:val="auto"/>
        </w:rPr>
        <w:t>; partially offset by</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decrease in the Haynesville Shale region primarily due to lower gathering volumes from decreased producer activity, partially offset by higher gathering rates;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$31 million decrease in the Eagle Ford Shale region primarily due to lower MVC revenues;</w:t>
      </w:r>
    </w:p>
    <w:p>
      <w:pPr>
        <w:spacing w:after="0" w:line="14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 million decrease in the Barnett Shale region primarily due to lower gathering rates driven by unfavorable commodity pricing and lower gathering volumes.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realized gain (loss) from commodity derivatives relating to service revenues </w:t>
      </w:r>
      <w:r>
        <w:rPr>
          <w:rFonts w:ascii="Times New Roman" w:cs="Times New Roman" w:eastAsia="Times New Roman" w:hAnsi="Times New Roman"/>
          <w:sz w:val="18"/>
          <w:szCs w:val="18"/>
          <w:color w:val="auto"/>
        </w:rPr>
        <w:t>reflects an unfavorable change in settled commodity prices relative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Williams’ natural gas hedge positions.</w:t>
      </w:r>
    </w:p>
    <w:p>
      <w:pPr>
        <w:spacing w:after="0" w:line="1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$63 million primarily due to $39 million higher margins associated with the DJ Basin Acquisitions, as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Margins also increased $21 million from Williams’ equity NGLs primarily due to lower net realized prices for natural gas purchases and lower volumes of natural gas purchased both associated with equity NGL production activities; partially offset by lower volumes of equity NGL sold and lower net realized NGL sales prices.</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 higher operating and employee-related expenses including those resulting from the DJ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Basin Acquisitions, as previously discussed, the absence of favorable contract settlements in first-quarter 2023, an unfavorable change in Williams’ net imbalance liability due to changes in pricing, higher reimbursable compressor power and fuel purchases which are offset in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and the impact of a change in a practice related to payroll timing; partially offset by higher system gains and the absence of a fourth quarter 2023 write-down of assets held for sale.</w:t>
      </w:r>
    </w:p>
    <w:p>
      <w:pPr>
        <w:spacing w:after="0" w:line="14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decreased primarily due to lower proportional results as RMM was consolidated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DJ Basin Acquisitions, as previously discussed, partially offset by higher volumes and higher commodity prices at OPPL.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&amp; NGL Marketing Services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sales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w:t>
            </w:r>
          </w:p>
        </w:tc>
      </w:tr>
      <w:tr>
        <w:trPr>
          <w:trHeight w:val="220"/>
        </w:trPr>
        <w:tc>
          <w:tcPr>
            <w:tcW w:w="7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realized gain (loss) from commodity derivative instruments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unrealized gain (loss) from commodity derivative instruments</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19"/>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gain (loss) from commodity derivatives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r>
      <w:tr>
        <w:trPr>
          <w:trHeight w:val="220"/>
        </w:trPr>
        <w:tc>
          <w:tcPr>
            <w:tcW w:w="7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r>
      <w:tr>
        <w:trPr>
          <w:trHeight w:val="219"/>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Segment revenues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2,878</w:t>
            </w:r>
          </w:p>
        </w:tc>
      </w:tr>
      <w:tr>
        <w:trPr>
          <w:trHeight w:val="220"/>
        </w:trPr>
        <w:tc>
          <w:tcPr>
            <w:tcW w:w="7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costs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w:t>
            </w:r>
          </w:p>
        </w:tc>
      </w:tr>
      <w:tr>
        <w:trPr>
          <w:trHeight w:val="23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Net unrealized gain (loss) from commodity derivative instruments within </w:t>
            </w:r>
            <w:r>
              <w:rPr>
                <w:rFonts w:ascii="Times New Roman" w:cs="Times New Roman" w:eastAsia="Times New Roman" w:hAnsi="Times New Roman"/>
                <w:sz w:val="17"/>
                <w:szCs w:val="17"/>
                <w:i w:val="1"/>
                <w:iCs w:val="1"/>
                <w:color w:val="auto"/>
              </w:rPr>
              <w:t>Net processing commodity expenses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segment costs and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Proportional Modified EBITDA of equity-method investments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76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Gas &amp; NGL Marketing Services Modified EBITDA</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2"/>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Commodity margins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03"/>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05"/>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2025 vs. 2024</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4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Gas &amp; NGL Marketing Services Modified EBITDA </w:t>
      </w:r>
      <w:r>
        <w:rPr>
          <w:rFonts w:ascii="Times New Roman" w:cs="Times New Roman" w:eastAsia="Times New Roman" w:hAnsi="Times New Roman"/>
          <w:sz w:val="18"/>
          <w:szCs w:val="18"/>
          <w:color w:val="auto"/>
        </w:rPr>
        <w:t>increased primarily due to a favorable change in</w:t>
      </w:r>
      <w:r>
        <w:rPr>
          <w:rFonts w:ascii="Times New Roman" w:cs="Times New Roman" w:eastAsia="Times New Roman" w:hAnsi="Times New Roman"/>
          <w:sz w:val="18"/>
          <w:szCs w:val="18"/>
          <w:i w:val="1"/>
          <w:iCs w:val="1"/>
          <w:color w:val="auto"/>
        </w:rPr>
        <w:t xml:space="preserve"> Net unrealized gain (loss) from commodity derivative instruments </w:t>
      </w:r>
      <w:r>
        <w:rPr>
          <w:rFonts w:ascii="Times New Roman" w:cs="Times New Roman" w:eastAsia="Times New Roman" w:hAnsi="Times New Roman"/>
          <w:sz w:val="18"/>
          <w:szCs w:val="18"/>
          <w:color w:val="auto"/>
        </w:rPr>
        <w:t>and higher</w:t>
      </w:r>
      <w:r>
        <w:rPr>
          <w:rFonts w:ascii="Times New Roman" w:cs="Times New Roman" w:eastAsia="Times New Roman" w:hAnsi="Times New Roman"/>
          <w:sz w:val="18"/>
          <w:szCs w:val="18"/>
          <w:i w:val="1"/>
          <w:iCs w:val="1"/>
          <w:color w:val="auto"/>
        </w:rPr>
        <w:t xml:space="preserve"> Proportional Modified EBITDA of equity-method investments</w:t>
      </w:r>
      <w:r>
        <w:rPr>
          <w:rFonts w:ascii="Times New Roman" w:cs="Times New Roman" w:eastAsia="Times New Roman" w:hAnsi="Times New Roman"/>
          <w:sz w:val="18"/>
          <w:szCs w:val="18"/>
          <w:color w:val="auto"/>
        </w:rPr>
        <w:t>, partially offset by lower</w:t>
      </w:r>
      <w:r>
        <w:rPr>
          <w:rFonts w:ascii="Times New Roman" w:cs="Times New Roman" w:eastAsia="Times New Roman" w:hAnsi="Times New Roman"/>
          <w:sz w:val="18"/>
          <w:szCs w:val="18"/>
          <w:i w:val="1"/>
          <w:iCs w:val="1"/>
          <w:color w:val="auto"/>
        </w:rPr>
        <w:t xml:space="preserve"> Commodity margins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decreased $99 million primarily due to:</w:t>
      </w:r>
    </w:p>
    <w:p>
      <w:pPr>
        <w:spacing w:after="0" w:line="173" w:lineRule="exact"/>
        <w:rPr>
          <w:sz w:val="20"/>
          <w:szCs w:val="20"/>
          <w:color w:val="auto"/>
        </w:rPr>
      </w:pPr>
    </w:p>
    <w:p>
      <w:pPr>
        <w:jc w:val="both"/>
        <w:ind w:left="660" w:hanging="328"/>
        <w:spacing w:after="0" w:line="26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$83 million decrease in natural gas marketing margins, including $105 million of lower natural gas transportation capacity marketing margins due to unfavorable net realized pricing spreads. The decrease in natural gas marketing margins was partially offset by $22 million of higher natural gas storage marketing margins primarily driven by higher withdrawals in 2025 compared to 2024, partially offset by less favorable realized derivative gains;</w:t>
      </w:r>
    </w:p>
    <w:p>
      <w:pPr>
        <w:spacing w:after="0" w:line="13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$16 million decrease in NGL marketing margins including an unfavorable change in net realized gains and losses on sale of inventory in 2025 compared to 2024 driven by an unfavorable change in NGL prices.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unrealized gain (loss) from commodity derivative instruments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Segment revenues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Net processing commodity expenses </w:t>
      </w:r>
      <w:r>
        <w:rPr>
          <w:rFonts w:ascii="Times New Roman" w:cs="Times New Roman" w:eastAsia="Times New Roman" w:hAnsi="Times New Roman"/>
          <w:sz w:val="18"/>
          <w:szCs w:val="18"/>
          <w:color w:val="auto"/>
        </w:rPr>
        <w:t>relates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contracts that are not designated as hedges for accounting purposes. The change from 2024 is primarily due to a change in forward commodity prices relative to hedge positions in 2025 compared to 2024.</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7"/>
          <w:szCs w:val="17"/>
          <w:color w:val="auto"/>
        </w:rPr>
        <w:t>de</w:t>
      </w:r>
      <w:r>
        <w:rPr>
          <w:rFonts w:ascii="Times New Roman" w:cs="Times New Roman" w:eastAsia="Times New Roman" w:hAnsi="Times New Roman"/>
          <w:sz w:val="18"/>
          <w:szCs w:val="18"/>
          <w:color w:val="auto"/>
        </w:rPr>
        <w:t>creased primarily due to lower employee-related costs.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increased due to the March 2025 investment in Cogentrix.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71"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Gas &amp; NGL Marketing Services Modified EBITDA </w:t>
      </w:r>
      <w:r>
        <w:rPr>
          <w:rFonts w:ascii="Times New Roman" w:cs="Times New Roman" w:eastAsia="Times New Roman" w:hAnsi="Times New Roman"/>
          <w:sz w:val="18"/>
          <w:szCs w:val="18"/>
          <w:color w:val="auto"/>
        </w:rPr>
        <w:t>decreased primarily due to an unfavorable change in</w:t>
      </w:r>
      <w:r>
        <w:rPr>
          <w:rFonts w:ascii="Times New Roman" w:cs="Times New Roman" w:eastAsia="Times New Roman" w:hAnsi="Times New Roman"/>
          <w:sz w:val="18"/>
          <w:szCs w:val="18"/>
          <w:i w:val="1"/>
          <w:iCs w:val="1"/>
          <w:color w:val="auto"/>
        </w:rPr>
        <w:t xml:space="preserve"> Net unrealized gain (loss) from commodity derivative instruments </w:t>
      </w:r>
      <w:r>
        <w:rPr>
          <w:rFonts w:ascii="Times New Roman" w:cs="Times New Roman" w:eastAsia="Times New Roman" w:hAnsi="Times New Roman"/>
          <w:sz w:val="18"/>
          <w:szCs w:val="18"/>
          <w:color w:val="auto"/>
        </w:rPr>
        <w:t>and lower</w:t>
      </w:r>
      <w:r>
        <w:rPr>
          <w:rFonts w:ascii="Times New Roman" w:cs="Times New Roman" w:eastAsia="Times New Roman" w:hAnsi="Times New Roman"/>
          <w:sz w:val="18"/>
          <w:szCs w:val="18"/>
          <w:i w:val="1"/>
          <w:iCs w:val="1"/>
          <w:color w:val="auto"/>
        </w:rPr>
        <w:t xml:space="preserve"> Commodity margins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decreased $64 million primarily due to:</w:t>
      </w:r>
    </w:p>
    <w:p>
      <w:pPr>
        <w:spacing w:after="0" w:line="200" w:lineRule="exact"/>
        <w:rPr>
          <w:sz w:val="20"/>
          <w:szCs w:val="20"/>
          <w:color w:val="auto"/>
        </w:rPr>
      </w:pPr>
    </w:p>
    <w:p>
      <w:pPr>
        <w:jc w:val="both"/>
        <w:ind w:left="660" w:hanging="328"/>
        <w:spacing w:after="0" w:line="261"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$44 million decrease in natural gas marketing margins including $35 million of lower natural gas transportation capacity marketing margins due to less favorable net realized pricing spreads. The decrease in natural gas marketing margins also includes $9 million of lower natural gas storage marketing margins primarily driven by higher storage fees and less favorable realized derivative gains, partially offset by a favorable change of $14 million in lower cost or net realizable value inventory adjustment;</w:t>
      </w:r>
    </w:p>
    <w:p>
      <w:pPr>
        <w:spacing w:after="0" w:line="13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$20 million decrease in NGL marketing margins including an unfavorable change in net realized gains and losses on sale of inventory in 2024 compared to 2023 driven by unfavorable changes in non-ethane prices.</w:t>
      </w:r>
    </w:p>
    <w:p>
      <w:pPr>
        <w:spacing w:after="0" w:line="119"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unrealized gain (loss) from commodity derivative instruments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Segment revenues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Net processing commodity expenses </w:t>
      </w:r>
      <w:r>
        <w:rPr>
          <w:rFonts w:ascii="Times New Roman" w:cs="Times New Roman" w:eastAsia="Times New Roman" w:hAnsi="Times New Roman"/>
          <w:sz w:val="18"/>
          <w:szCs w:val="18"/>
          <w:color w:val="auto"/>
        </w:rPr>
        <w:t>changed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due to a change in forward commodity prices relative to hedge positions in 2024 compared to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56"/>
        </w:trPr>
        <w:tc>
          <w:tcPr>
            <w:tcW w:w="7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 (loss) from derivative instruments (1)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(loss) from derivative instruments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gain (loss) from commodity derivatives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revenues from upstream operations, corporate, and other business activities.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57"/>
        </w:trPr>
        <w:tc>
          <w:tcPr>
            <w:tcW w:w="7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 and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from Energy Transfer litigation judgment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Proportional Modified EBITDA of equity-method investments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Modified EBITDA from upstream operations, corporate, and other business activities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7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product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04"/>
        </w:trPr>
        <w:tc>
          <w:tcPr>
            <w:tcW w:w="768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Net realized product sales</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2025 vs. 2024</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Modified EBITDA from upstream operations, corporate, and other business activities </w:t>
      </w:r>
      <w:r>
        <w:rPr>
          <w:rFonts w:ascii="Times New Roman" w:cs="Times New Roman" w:eastAsia="Times New Roman" w:hAnsi="Times New Roman"/>
          <w:sz w:val="18"/>
          <w:szCs w:val="18"/>
          <w:color w:val="auto"/>
        </w:rPr>
        <w:t>increased primarily due to:</w:t>
      </w:r>
    </w:p>
    <w:p>
      <w:pPr>
        <w:spacing w:after="0" w:line="198" w:lineRule="exact"/>
        <w:rPr>
          <w:sz w:val="20"/>
          <w:szCs w:val="20"/>
          <w:color w:val="auto"/>
        </w:rPr>
      </w:pPr>
    </w:p>
    <w:p>
      <w:pPr>
        <w:jc w:val="both"/>
        <w:ind w:left="660" w:hanging="328"/>
        <w:spacing w:after="0" w:line="258" w:lineRule="auto"/>
        <w:tabs>
          <w:tab w:leader="none" w:pos="655"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 $161 million increase in </w:t>
      </w:r>
      <w:r>
        <w:rPr>
          <w:rFonts w:ascii="Times New Roman" w:cs="Times New Roman" w:eastAsia="Times New Roman" w:hAnsi="Times New Roman"/>
          <w:sz w:val="18"/>
          <w:szCs w:val="18"/>
          <w:i w:val="1"/>
          <w:iCs w:val="1"/>
          <w:color w:val="auto"/>
        </w:rPr>
        <w:t>Net realized product sales</w:t>
      </w:r>
      <w:r>
        <w:rPr>
          <w:rFonts w:ascii="Times New Roman" w:cs="Times New Roman" w:eastAsia="Times New Roman" w:hAnsi="Times New Roman"/>
          <w:sz w:val="18"/>
          <w:szCs w:val="18"/>
          <w:color w:val="auto"/>
        </w:rPr>
        <w:t xml:space="preserve"> from upstream operations consisting of a $143 million increase at the Wamsutter region and an $18 million increase at the Haynesville Shale region. The Wamsutter region increased primarily due to higher production volumes, including from the November 2024 Crowheart Acquisition, and higher net realized natural gas prices, partially offset by lower net realized oil and NGL prices. The Haynesville region benefited from higher net realized natural gas prices, partially offset by lower production volumes, associated with South Mansfield production in the Haynesville Shale region;</w:t>
      </w:r>
    </w:p>
    <w:p>
      <w:pPr>
        <w:spacing w:after="0" w:line="142"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$36 million favorable change in </w:t>
      </w:r>
      <w:r>
        <w:rPr>
          <w:rFonts w:ascii="Times New Roman" w:cs="Times New Roman" w:eastAsia="Times New Roman" w:hAnsi="Times New Roman"/>
          <w:sz w:val="18"/>
          <w:szCs w:val="18"/>
          <w:i w:val="1"/>
          <w:iCs w:val="1"/>
          <w:color w:val="auto"/>
        </w:rPr>
        <w:t>Net unrealized gain (loss) from derivative instruments</w:t>
      </w:r>
      <w:r>
        <w:rPr>
          <w:rFonts w:ascii="Times New Roman" w:cs="Times New Roman" w:eastAsia="Times New Roman" w:hAnsi="Times New Roman"/>
          <w:sz w:val="18"/>
          <w:szCs w:val="18"/>
          <w:color w:val="auto"/>
        </w:rPr>
        <w:t xml:space="preserve"> due to a change in forward commodity prices relative to hedge positions; partially offset by</w:t>
      </w:r>
    </w:p>
    <w:p>
      <w:pPr>
        <w:spacing w:after="0" w:line="10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 million unfavorable change in other costs and expenses primarily related to upstream operations, including an increase from the Crowheart Acquisition in November 2024, and an unfavorable change associated with regulatory assets related to the effects of deferred taxes on equity funds used during construction.</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2024 vs. 2023</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Modified EBITDA from upstream operations, corporate, and other business activities </w:t>
      </w:r>
      <w:r>
        <w:rPr>
          <w:rFonts w:ascii="Times New Roman" w:cs="Times New Roman" w:eastAsia="Times New Roman" w:hAnsi="Times New Roman"/>
          <w:sz w:val="18"/>
          <w:szCs w:val="18"/>
          <w:color w:val="auto"/>
        </w:rPr>
        <w:t>decreased primarily due to:</w:t>
      </w:r>
    </w:p>
    <w:p>
      <w:pPr>
        <w:spacing w:after="0" w:line="185" w:lineRule="exact"/>
        <w:rPr>
          <w:sz w:val="20"/>
          <w:szCs w:val="20"/>
          <w:color w:val="auto"/>
        </w:rPr>
      </w:pPr>
    </w:p>
    <w:p>
      <w:pPr>
        <w:jc w:val="both"/>
        <w:ind w:left="660" w:hanging="328"/>
        <w:spacing w:after="0" w:line="261" w:lineRule="auto"/>
        <w:tabs>
          <w:tab w:leader="none" w:pos="655"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 $34 million decrease in </w:t>
      </w:r>
      <w:r>
        <w:rPr>
          <w:rFonts w:ascii="Times New Roman" w:cs="Times New Roman" w:eastAsia="Times New Roman" w:hAnsi="Times New Roman"/>
          <w:sz w:val="18"/>
          <w:szCs w:val="18"/>
          <w:i w:val="1"/>
          <w:iCs w:val="1"/>
          <w:color w:val="auto"/>
        </w:rPr>
        <w:t>Net realized product sales</w:t>
      </w:r>
      <w:r>
        <w:rPr>
          <w:rFonts w:ascii="Times New Roman" w:cs="Times New Roman" w:eastAsia="Times New Roman" w:hAnsi="Times New Roman"/>
          <w:sz w:val="18"/>
          <w:szCs w:val="18"/>
          <w:color w:val="auto"/>
        </w:rPr>
        <w:t xml:space="preserve"> from upstream operations primarily due to lower volumes and lower net realized commodity prices associated with Williams’ South Mansfield production in the Haynesville Shale region, and lower net realized commodity prices associated with Williams’ Wamsutter region. These decreases were partially offset by higher production volumes associated with Williams’ Wamsutter region production, including from the Crowheart Acquisition in the fourth quarter of 2024.</w:t>
      </w:r>
    </w:p>
    <w:p>
      <w:pPr>
        <w:spacing w:after="0" w:line="152"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 $27 million unfavorable change in </w:t>
      </w:r>
      <w:r>
        <w:rPr>
          <w:rFonts w:ascii="Times New Roman" w:cs="Times New Roman" w:eastAsia="Times New Roman" w:hAnsi="Times New Roman"/>
          <w:sz w:val="18"/>
          <w:szCs w:val="18"/>
          <w:i w:val="1"/>
          <w:iCs w:val="1"/>
          <w:color w:val="auto"/>
        </w:rPr>
        <w:t>Net unrealized gain (loss) from derivative instruments</w:t>
      </w:r>
      <w:r>
        <w:rPr>
          <w:rFonts w:ascii="Times New Roman" w:cs="Times New Roman" w:eastAsia="Times New Roman" w:hAnsi="Times New Roman"/>
          <w:sz w:val="18"/>
          <w:szCs w:val="18"/>
          <w:color w:val="auto"/>
        </w:rPr>
        <w:t xml:space="preserve"> due to a change in forward commodity prices relative to hedge positions in 2024 compared to 2023;</w:t>
      </w:r>
    </w:p>
    <w:p>
      <w:pPr>
        <w:spacing w:after="0" w:line="11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unfavorable change in other costs and expenses primarily related to upstream operations;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absence of a 2023 gain related to a favorable ruling on the final order and judgment of Williams’ complaint against Energy Transfer reflected in </w:t>
      </w:r>
      <w:r>
        <w:rPr>
          <w:rFonts w:ascii="Times New Roman" w:cs="Times New Roman" w:eastAsia="Times New Roman" w:hAnsi="Times New Roman"/>
          <w:sz w:val="18"/>
          <w:szCs w:val="18"/>
          <w:i w:val="1"/>
          <w:iCs w:val="1"/>
          <w:color w:val="auto"/>
        </w:rPr>
        <w:t>Net gain from Energy Transfer litigation judgment</w:t>
      </w:r>
      <w:r>
        <w:rPr>
          <w:rFonts w:ascii="Times New Roman" w:cs="Times New Roman" w:eastAsia="Times New Roman" w:hAnsi="Times New Roman"/>
          <w:sz w:val="18"/>
          <w:szCs w:val="18"/>
          <w:color w:val="auto"/>
        </w:rPr>
        <w:t xml:space="preserve"> (see Note 1 – Description of Business,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 - Results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960" w:type="dxa"/>
            <w:vAlign w:val="bottom"/>
            <w:gridSpan w:val="2"/>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center"/>
              <w:ind w:right="373"/>
              <w:spacing w:after="0" w:line="13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1800" w:type="dxa"/>
            <w:vAlign w:val="bottom"/>
          </w:tcPr>
          <w:p>
            <w:pPr>
              <w:jc w:val="center"/>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160" w:type="dxa"/>
            <w:vAlign w:val="bottom"/>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300" w:type="dxa"/>
            <w:vAlign w:val="bottom"/>
          </w:tcPr>
          <w:p>
            <w:pPr>
              <w:spacing w:after="0"/>
              <w:rPr>
                <w:sz w:val="12"/>
                <w:szCs w:val="12"/>
                <w:color w:val="auto"/>
              </w:rPr>
            </w:pPr>
          </w:p>
        </w:tc>
        <w:tc>
          <w:tcPr>
            <w:tcW w:w="9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bottom w:val="single" w:sz="8" w:color="auto"/>
            </w:tcBorders>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2,874</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+255</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+28</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product sales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service revenues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+30 %</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3,263</w:t>
            </w:r>
          </w:p>
        </w:tc>
        <w:tc>
          <w:tcPr>
            <w:tcW w:w="18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50"/>
        </w:trPr>
        <w:tc>
          <w:tcPr>
            <w:tcW w:w="57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product costs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0" w:type="dxa"/>
            <w:vAlign w:val="bottom"/>
            <w:tcBorders>
              <w:bottom w:val="single" w:sz="8" w:color="CCEEFF"/>
            </w:tcBorders>
          </w:tcPr>
          <w:p>
            <w:pPr>
              <w:jc w:val="right"/>
              <w:ind w:right="434"/>
              <w:spacing w:after="0"/>
              <w:rPr>
                <w:sz w:val="20"/>
                <w:szCs w:val="20"/>
                <w:color w:val="auto"/>
              </w:rPr>
            </w:pPr>
            <w:r>
              <w:rPr>
                <w:rFonts w:ascii="Times New Roman" w:cs="Times New Roman" w:eastAsia="Times New Roman" w:hAnsi="Times New Roman"/>
                <w:sz w:val="18"/>
                <w:szCs w:val="18"/>
                <w:color w:val="auto"/>
              </w:rPr>
              <w:t>-62</w:t>
            </w:r>
          </w:p>
        </w:tc>
        <w:tc>
          <w:tcPr>
            <w:tcW w:w="1160" w:type="dxa"/>
            <w:vAlign w:val="bottom"/>
            <w:tcBorders>
              <w:bottom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1,573</w:t>
            </w:r>
          </w:p>
        </w:tc>
        <w:tc>
          <w:tcPr>
            <w:tcW w:w="1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1,690</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+191</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-8</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-21</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Allowance for equity and borrowed funds used during construction</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(AFUDC)</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rPr>
              <w:t>-53</w:t>
            </w:r>
          </w:p>
        </w:tc>
        <w:tc>
          <w:tcPr>
            <w:tcW w:w="11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-60 %</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576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1,426</w:t>
            </w:r>
          </w:p>
        </w:tc>
        <w:tc>
          <w:tcPr>
            <w:tcW w:w="18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+113</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7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hanging="252"/>
        <w:spacing w:after="0" w:line="260" w:lineRule="auto"/>
        <w:tabs>
          <w:tab w:leader="none" w:pos="3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Favorable change; - = Unfavorable change; NM = A percentage calculation is not meaningful due to a change in signs, a zero-value denominator, or a percentage change greater than 200.</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2025 vs. 2024</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Variances due to the changes in natural gas prices and transportation volumes have little impact on revenues because, under our rate design methodology, the majority of overall cost of service is recovered through firm capacity reservation charges in Transco’s transportation rates.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has cash out sales, which settle gas imbalances with shippers. In the course of providing transportation services to customers, Transco may receive different quantities of gas from shippers than the quantities delivered on behalf of those shippers. Additionally, Transco transports gas on various pipeline systems, which may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different quantities of gas on Transco’s behalf than the quantities of gas received from Transco. These transactions result in gas transportation and exchange imbalance receivables and payables. Transco’s tariff includes a method whereby the majority of transportation imbalances are settled on a monthly basis through cash out sales or purchases. The cash out sales have no impact on Transco’s operating income.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increased primarily due to:</w:t>
      </w:r>
    </w:p>
    <w:p>
      <w:pPr>
        <w:spacing w:after="0" w:line="183"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primarily due to additional capacity from placing the following projects into service:</w:t>
      </w:r>
    </w:p>
    <w:p>
      <w:pPr>
        <w:spacing w:after="0" w:line="20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Regional Energy Access Expansion in August 2024;</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Southside Reliability Enhancement in November 2024;</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Texas Louisiana Energy Pathway in April 2025;</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Southeast Energy Connector in April 2025;</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Commonwealth Energy Connector in November 2025;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Alabama Georgia Connector in November 2025.</w:t>
      </w:r>
    </w:p>
    <w:p>
      <w:pPr>
        <w:spacing w:after="0" w:line="19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is also due to transportation rate increases effective March 1, 2025, and higher seasonal services, partially offset by one less billing day in 2025, a decrease in short-term firm transportation, and lower electric power costs in 2025. Electric power costs are recovered from Transco’s customers through transportation rates and are offset in </w:t>
      </w:r>
      <w:r>
        <w:rPr>
          <w:rFonts w:ascii="Times New Roman" w:cs="Times New Roman" w:eastAsia="Times New Roman" w:hAnsi="Times New Roman"/>
          <w:sz w:val="18"/>
          <w:szCs w:val="18"/>
          <w:i w:val="1"/>
          <w:iCs w:val="1"/>
          <w:color w:val="auto"/>
        </w:rPr>
        <w:t>Operating and maintenance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resulting in no net impact on Transco’s results of operations.</w:t>
      </w:r>
    </w:p>
    <w:p>
      <w:pPr>
        <w:spacing w:after="0" w:line="126"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Natural gas storage service revenues</w:t>
      </w:r>
      <w:r>
        <w:rPr>
          <w:rFonts w:ascii="Times New Roman" w:cs="Times New Roman" w:eastAsia="Times New Roman" w:hAnsi="Times New Roman"/>
          <w:sz w:val="18"/>
          <w:szCs w:val="18"/>
          <w:color w:val="auto"/>
        </w:rPr>
        <w:t xml:space="preserve"> primarily due to an increase in rates.</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Natural gas product sales</w:t>
      </w:r>
      <w:r>
        <w:rPr>
          <w:rFonts w:ascii="Times New Roman" w:cs="Times New Roman" w:eastAsia="Times New Roman" w:hAnsi="Times New Roman"/>
          <w:sz w:val="18"/>
          <w:szCs w:val="18"/>
          <w:color w:val="auto"/>
        </w:rPr>
        <w:t xml:space="preserve"> due to higher cash-out pricing, partially offset by lower volumes, which directly offsets in </w:t>
      </w: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 costs </w:t>
      </w:r>
      <w:r>
        <w:rPr>
          <w:rFonts w:ascii="Times New Roman" w:cs="Times New Roman" w:eastAsia="Times New Roman" w:hAnsi="Times New Roman"/>
          <w:sz w:val="18"/>
          <w:szCs w:val="18"/>
          <w:color w:val="auto"/>
        </w:rPr>
        <w:t>resulting in no net impact on our results of operations.</w:t>
      </w:r>
    </w:p>
    <w:p>
      <w:pPr>
        <w:spacing w:after="0" w:line="1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Other service revenues</w:t>
      </w:r>
      <w:r>
        <w:rPr>
          <w:rFonts w:ascii="Times New Roman" w:cs="Times New Roman" w:eastAsia="Times New Roman" w:hAnsi="Times New Roman"/>
          <w:sz w:val="18"/>
          <w:szCs w:val="18"/>
          <w:color w:val="auto"/>
        </w:rPr>
        <w:t xml:space="preserve"> due to higher park and loan services.</w:t>
      </w:r>
    </w:p>
    <w:p>
      <w:pPr>
        <w:spacing w:after="0" w:line="18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Natural gas product costs </w:t>
      </w:r>
      <w:r>
        <w:rPr>
          <w:rFonts w:ascii="Times New Roman" w:cs="Times New Roman" w:eastAsia="Times New Roman" w:hAnsi="Times New Roman"/>
          <w:sz w:val="18"/>
          <w:szCs w:val="18"/>
          <w:color w:val="auto"/>
        </w:rPr>
        <w:t>changed unfavorably, directly offsetting</w:t>
      </w:r>
      <w:r>
        <w:rPr>
          <w:rFonts w:ascii="Times New Roman" w:cs="Times New Roman" w:eastAsia="Times New Roman" w:hAnsi="Times New Roman"/>
          <w:sz w:val="18"/>
          <w:szCs w:val="18"/>
          <w:i w:val="1"/>
          <w:iCs w:val="1"/>
          <w:color w:val="auto"/>
        </w:rPr>
        <w:t xml:space="preserve"> Natural gas product sales </w:t>
      </w:r>
      <w:r>
        <w:rPr>
          <w:rFonts w:ascii="Times New Roman" w:cs="Times New Roman" w:eastAsia="Times New Roman" w:hAnsi="Times New Roman"/>
          <w:sz w:val="18"/>
          <w:szCs w:val="18"/>
          <w:color w:val="auto"/>
        </w:rPr>
        <w:t>and resulting in no net impact on our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w:t>
      </w:r>
    </w:p>
    <w:p>
      <w:pPr>
        <w:spacing w:after="0" w:line="11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remained consistent year over year primarily due to an increase in employee-related costs offset by the absence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 2024 change in payroll policy and lower electric power costs. Electric power costs are recovered from customers through transportation rates and are offset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resulting in no net impact on results of operations.</w:t>
      </w:r>
    </w:p>
    <w:p>
      <w:pPr>
        <w:spacing w:after="0" w:line="14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increased due to rate increases effective March 1, 2025, as well as assets added from projects placed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 partially offset by a decrease in ARO related depreciation (offset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resulting in no net impact on Transco’s results of operations).</w:t>
      </w:r>
    </w:p>
    <w:p>
      <w:pPr>
        <w:spacing w:after="0" w:line="1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increased due to higher corporate allocations and employee-related costs, partially offset by the absence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change in payroll policy.</w:t>
      </w:r>
    </w:p>
    <w:p>
      <w:pPr>
        <w:spacing w:after="0" w:line="104"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 net </w:t>
      </w:r>
      <w:r>
        <w:rPr>
          <w:rFonts w:ascii="Times New Roman" w:cs="Times New Roman" w:eastAsia="Times New Roman" w:hAnsi="Times New Roman"/>
          <w:sz w:val="18"/>
          <w:szCs w:val="18"/>
          <w:color w:val="auto"/>
        </w:rPr>
        <w:t>changed unfavorably primarily driven by changes in charges and credits associated with the rate case at Transco,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unfavorable change in the deferral of ARO-related depreciation (offset in </w:t>
      </w:r>
      <w:r>
        <w:rPr>
          <w:rFonts w:ascii="Times New Roman" w:cs="Times New Roman" w:eastAsia="Times New Roman" w:hAnsi="Times New Roman"/>
          <w:sz w:val="18"/>
          <w:szCs w:val="18"/>
          <w:i w:val="1"/>
          <w:iCs w:val="1"/>
          <w:color w:val="auto"/>
        </w:rPr>
        <w:t>Depreciation and amortization expenses</w:t>
      </w:r>
      <w:r>
        <w:rPr>
          <w:rFonts w:ascii="Times New Roman" w:cs="Times New Roman" w:eastAsia="Times New Roman" w:hAnsi="Times New Roman"/>
          <w:sz w:val="18"/>
          <w:szCs w:val="18"/>
          <w:color w:val="auto"/>
        </w:rPr>
        <w:t xml:space="preserve"> resulting in no net impact on Transco’s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decreased primarily due to a decrease in affiliated interest income associated with advances to Williams.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Allowance for equity and borrowed funds used during construction (AFUDC) </w:t>
      </w:r>
      <w:r>
        <w:rPr>
          <w:rFonts w:ascii="Times New Roman" w:cs="Times New Roman" w:eastAsia="Times New Roman" w:hAnsi="Times New Roman"/>
          <w:sz w:val="18"/>
          <w:szCs w:val="18"/>
          <w:color w:val="auto"/>
        </w:rPr>
        <w:t>decreased as a result of lower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 - Results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0" w:type="dxa"/>
            <w:vAlign w:val="bottom"/>
            <w:gridSpan w:val="2"/>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tcPr>
          <w:p>
            <w:pPr>
              <w:jc w:val="center"/>
              <w:ind w:right="381"/>
              <w:spacing w:after="0" w:line="12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7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jc w:val="right"/>
              <w:ind w:right="815"/>
              <w:spacing w:after="0" w:line="137" w:lineRule="exact"/>
              <w:rPr>
                <w:sz w:val="20"/>
                <w:szCs w:val="20"/>
                <w:color w:val="auto"/>
              </w:rPr>
            </w:pPr>
            <w:r>
              <w:rPr>
                <w:rFonts w:ascii="Times New Roman" w:cs="Times New Roman" w:eastAsia="Times New Roman" w:hAnsi="Times New Roman"/>
                <w:sz w:val="14"/>
                <w:szCs w:val="14"/>
                <w:b w:val="1"/>
                <w:bCs w:val="1"/>
                <w:color w:val="auto"/>
              </w:rPr>
              <w:t>from</w:t>
            </w:r>
          </w:p>
        </w:tc>
        <w:tc>
          <w:tcPr>
            <w:tcW w:w="1160" w:type="dxa"/>
            <w:vAlign w:val="bottom"/>
          </w:tcPr>
          <w:p>
            <w:pPr>
              <w:jc w:val="center"/>
              <w:ind w:right="381"/>
              <w:spacing w:after="0" w:line="137" w:lineRule="exact"/>
              <w:rPr>
                <w:sz w:val="20"/>
                <w:szCs w:val="20"/>
                <w:color w:val="auto"/>
              </w:rPr>
            </w:pPr>
            <w:r>
              <w:rPr>
                <w:rFonts w:ascii="Times New Roman" w:cs="Times New Roman" w:eastAsia="Times New Roman" w:hAnsi="Times New Roman"/>
                <w:sz w:val="14"/>
                <w:szCs w:val="14"/>
                <w:b w:val="1"/>
                <w:bCs w:val="1"/>
                <w:color w:val="auto"/>
              </w:rPr>
              <w:t>from</w:t>
            </w:r>
          </w:p>
        </w:tc>
        <w:tc>
          <w:tcPr>
            <w:tcW w:w="300" w:type="dxa"/>
            <w:vAlign w:val="bottom"/>
          </w:tcPr>
          <w:p>
            <w:pPr>
              <w:spacing w:after="0"/>
              <w:rPr>
                <w:sz w:val="11"/>
                <w:szCs w:val="11"/>
                <w:color w:val="auto"/>
              </w:rPr>
            </w:pPr>
          </w:p>
        </w:tc>
        <w:tc>
          <w:tcPr>
            <w:tcW w:w="9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54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service revenues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435"/>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rPr>
              <w:t>-31 %</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40" w:type="dxa"/>
            <w:vAlign w:val="bottom"/>
          </w:tcPr>
          <w:p>
            <w:pPr>
              <w:spacing w:after="0"/>
              <w:rPr>
                <w:sz w:val="19"/>
                <w:szCs w:val="19"/>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-6</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Pr>
          <w:p>
            <w:pPr>
              <w:spacing w:after="0"/>
              <w:rPr>
                <w:sz w:val="19"/>
                <w:szCs w:val="19"/>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435"/>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rPr>
              <w:t>-28 %</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+3</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+2 %</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5"/>
        </w:trPr>
        <w:tc>
          <w:tcPr>
            <w:tcW w:w="57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Allowance for equity and borrowed funds used during construction</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(AFUDC)</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Pr>
          <w:p>
            <w:pPr>
              <w:spacing w:after="0"/>
              <w:rPr>
                <w:sz w:val="21"/>
                <w:szCs w:val="21"/>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-10 %</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54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hanging="252"/>
        <w:spacing w:after="0" w:line="260" w:lineRule="auto"/>
        <w:tabs>
          <w:tab w:leader="none" w:pos="31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Favorable change; - = Unfavorable change; NM = A percentage calculation is not meaningful due to a change in signs, a zero-value denominator, or a percentage change greater than 200.</w:t>
      </w:r>
    </w:p>
    <w:p>
      <w:pPr>
        <w:spacing w:after="0" w:line="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2025 vs. 2024</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Variances due to changes in natural gas prices and transportation volumes have little impact on revenues because, under our rate design methodology, the majority of overall cost of service is recovered through firm capacity reservation charges in NWP’s transportation rates.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increased primarily due to:</w:t>
      </w:r>
    </w:p>
    <w:p>
      <w:pPr>
        <w:spacing w:after="0" w:line="169" w:lineRule="exact"/>
        <w:rPr>
          <w:sz w:val="20"/>
          <w:szCs w:val="20"/>
          <w:color w:val="auto"/>
        </w:rPr>
      </w:pPr>
    </w:p>
    <w:p>
      <w:pPr>
        <w:ind w:left="660" w:hanging="328"/>
        <w:spacing w:after="0" w:line="284"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primarily due to rate increases effective April 1, 2025, and an increase in long-term firm transportation, partially offset by one less billing day in 2025 and a decrease in short-term firm transportation;</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Partially offset by a decrease in </w:t>
      </w:r>
      <w:r>
        <w:rPr>
          <w:rFonts w:ascii="Times New Roman" w:cs="Times New Roman" w:eastAsia="Times New Roman" w:hAnsi="Times New Roman"/>
          <w:sz w:val="18"/>
          <w:szCs w:val="18"/>
          <w:i w:val="1"/>
          <w:iCs w:val="1"/>
          <w:color w:val="auto"/>
        </w:rPr>
        <w:t>Other service revenues</w:t>
      </w:r>
      <w:r>
        <w:rPr>
          <w:rFonts w:ascii="Times New Roman" w:cs="Times New Roman" w:eastAsia="Times New Roman" w:hAnsi="Times New Roman"/>
          <w:sz w:val="18"/>
          <w:szCs w:val="18"/>
          <w:color w:val="auto"/>
        </w:rPr>
        <w:t xml:space="preserve"> from lower park and loan services.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increased due to additional assets placed in service.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decreased primarily due to the absence of lease termination expense incurred in the prior year.</w:t>
      </w:r>
    </w:p>
    <w:p>
      <w:pPr>
        <w:spacing w:after="0" w:line="23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Other (income) expense - net </w:t>
      </w:r>
      <w:r>
        <w:rPr>
          <w:rFonts w:ascii="Times New Roman" w:cs="Times New Roman" w:eastAsia="Times New Roman" w:hAnsi="Times New Roman"/>
          <w:sz w:val="18"/>
          <w:szCs w:val="18"/>
          <w:color w:val="auto"/>
        </w:rPr>
        <w:t>decreased primarily due to the recognition of a regulatory liability to be returned to rate payers for excess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Allowance for equity and borrowed funds used during construction (AFUDC) </w:t>
      </w:r>
      <w:r>
        <w:rPr>
          <w:rFonts w:ascii="Times New Roman" w:cs="Times New Roman" w:eastAsia="Times New Roman" w:hAnsi="Times New Roman"/>
          <w:sz w:val="18"/>
          <w:szCs w:val="18"/>
          <w:color w:val="auto"/>
        </w:rPr>
        <w:t>decreased as a result of lower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5340"/>
        <w:spacing w:after="0" w:line="462"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and Liquidity </w:t>
      </w:r>
      <w:r>
        <w:rPr>
          <w:rFonts w:ascii="Times New Roman" w:cs="Times New Roman" w:eastAsia="Times New Roman" w:hAnsi="Times New Roman"/>
          <w:sz w:val="18"/>
          <w:szCs w:val="18"/>
          <w:b w:val="1"/>
          <w:bCs w:val="1"/>
          <w:i w:val="1"/>
          <w:iCs w:val="1"/>
          <w:color w:val="auto"/>
        </w:rPr>
        <w:t>Overview</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Williams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During 2025, investing and financing expenditures included $4.9 billion of capital expenditures, including the Rimrock, Saber, and Driftwood Pipeline asset purchases as well as Power Innovation projects; $2.4 billion of dividends paid to common shareholders; and $0.5 billion of investments in unconsolidated affiliates, including Cogentrix and Louisiana LNG. These expenditures were funded primarily by $5.9 billion of cash provided by operating activities and $2.4 billion of net borrowing activity in 2025. Williams ended the year with $63 million of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See also the following section titled </w:t>
      </w:r>
      <w:r>
        <w:rPr>
          <w:rFonts w:ascii="Times New Roman" w:cs="Times New Roman" w:eastAsia="Times New Roman" w:hAnsi="Times New Roman"/>
          <w:sz w:val="18"/>
          <w:szCs w:val="18"/>
          <w:i w:val="1"/>
          <w:iCs w:val="1"/>
          <w:color w:val="auto"/>
        </w:rPr>
        <w:t>Sources (Uses) of Cash</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June 2025 Saber Asset Purchase included the retention of $113 million of Saber’s debt, which was separately repaid in full within the same month. On January 3, 2025, Williams paid the remaining $100 million of the Gulf Coast Storage Acquisition purchase price obligation (see Note 3 – Acquisitions and Divestitures).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Williams’ growth capital and investment expenditures in 2026 are expected to range from $6.1 billion to $6.7 billion, as previously discussed in Company Outlook.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8, 2026, Williams issued $2.8 billion of long-term debt (see Note 13 – Debt and Banking Arrangements).</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Williams, including consolidated subsidiaries, had $1.3 billion of long-term debt due within one year. Williams’ potential sources of liquidity available to address these maturities include cash on hand, proceeds from refinancing, the credit facility, or the commercial paper program, as well as proceeds from asset monetizations.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expects to have sufficient liquidity to manage its businesses in 2026 based on forecasted levels of cash flow from operations and other sources of liquidity. Williams’ potential material internal and external sources and uses of liquidity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Cash and cash equivalents on hand</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Cash generated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Distributions from equity-method investees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Utilization of the credit facility and/or commercial paper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Cash proceeds from issuance of debt and/or equity securities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Proceeds from asset monetizations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Working capital requirements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Capital and investment expenditures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Product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Gas &amp; NGL Marketing Services payments for transportation and storage capacity and gas supply</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Other operating costs including human capital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Quarterly dividends to shareholders</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Repayments of borrowings under the credit facility and/or commercial paper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Debt service payments, including payments of long-term debt</w:t>
      </w:r>
    </w:p>
    <w:p>
      <w:pPr>
        <w:spacing w:after="0" w:line="3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Share repurchase program</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Williams had $27.3 billion of long-term debt due after one year. Potential sources of liquidity available to address these maturities include cash generated from operations, proceeds from refinancing, the credit facility, the commercial paper program, and proceeds from asset monetizations.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 risks associated with Williams’ planned levels of liquidity discussed above include those previously discussed in Company Outlook</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Williams had a working capital deficit of $2.9 billion, including cash and cash equivalents and long-term debt due within one year. As discussed above, Williams issued $2.8 billion of long-term debt in January 2026. Williams’ available liquidity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9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9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5"/>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Capacity available under Williams’ $3,750 million credit facility, less amounts outstanding under Williams’ $3,500 million</w:t>
            </w: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61"/>
        </w:trPr>
        <w:tc>
          <w:tcPr>
            <w:tcW w:w="9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commercial paper program (1)</w:t>
            </w: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r>
      <w:tr>
        <w:trPr>
          <w:trHeight w:val="248"/>
        </w:trPr>
        <w:tc>
          <w:tcPr>
            <w:tcW w:w="9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40" w:hanging="332"/>
        <w:spacing w:after="0" w:line="253" w:lineRule="auto"/>
        <w:tabs>
          <w:tab w:leader="none" w:pos="3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managing its available liquidity, Williams does not expect a maximum outstanding amount in excess of the capacity of its credit facility inclusive of any outstanding amounts under its commercial paper program. Williams had $700 million of </w:t>
      </w:r>
      <w:r>
        <w:rPr>
          <w:rFonts w:ascii="Times New Roman" w:cs="Times New Roman" w:eastAsia="Times New Roman" w:hAnsi="Times New Roman"/>
          <w:sz w:val="18"/>
          <w:szCs w:val="18"/>
          <w:i w:val="1"/>
          <w:iCs w:val="1"/>
          <w:color w:val="auto"/>
        </w:rPr>
        <w:t>Commercial paper</w:t>
      </w:r>
      <w:r>
        <w:rPr>
          <w:rFonts w:ascii="Times New Roman" w:cs="Times New Roman" w:eastAsia="Times New Roman" w:hAnsi="Times New Roman"/>
          <w:sz w:val="18"/>
          <w:szCs w:val="18"/>
          <w:color w:val="auto"/>
        </w:rPr>
        <w:t xml:space="preserve"> outstanding at December 31, 2025. Through December 31, 2025, the highest amount outstanding under the commercial paper program and credit facility during 2025 was $898 million. Williams expects to be in compliance with the financial covenants associated with the credit facility for the December 31, 2025, reporting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increased the regular quarterly cash dividend to common stockholders by approximately 5 percent from $0.475 per share paid in each quarter of 2024, to $0.500 per share paid in each quarter of 2025. On January 27, 2026, Williams’ board of directors approved a regular quarterly dividend of $0.525 per share payable on March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February 2024, Williams filed a shelf registration statement as a well-known seasoned issuer.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from Equity-Method Investees</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organizational documents of entities in which Williams has an equity-method investment generally require periodic distributions of their available cash to their members. In each case, available cash is reduced, in part, by reserves appropriate for operating their respective businesses. See Note 8 – Investing Activities for our more significant equity-method investees.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interest rates at which Williams is able to borrow money are impacted by its credit ratings, which are currently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3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Outlook</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Unsecured</w:t>
            </w:r>
          </w:p>
        </w:tc>
        <w:tc>
          <w:tcPr>
            <w:tcW w:w="0" w:type="dxa"/>
            <w:vAlign w:val="bottom"/>
          </w:tcPr>
          <w:p>
            <w:pPr>
              <w:spacing w:after="0"/>
              <w:rPr>
                <w:sz w:val="1"/>
                <w:szCs w:val="1"/>
                <w:color w:val="auto"/>
              </w:rPr>
            </w:pPr>
          </w:p>
        </w:tc>
      </w:tr>
      <w:tr>
        <w:trPr>
          <w:trHeight w:val="243"/>
        </w:trPr>
        <w:tc>
          <w:tcPr>
            <w:tcW w:w="4320" w:type="dxa"/>
            <w:vAlign w:val="bottom"/>
            <w:gridSpan w:val="2"/>
            <w:vMerge w:val="continue"/>
          </w:tcPr>
          <w:p>
            <w:pPr>
              <w:spacing w:after="0"/>
              <w:rPr>
                <w:sz w:val="21"/>
                <w:szCs w:val="21"/>
                <w:color w:val="auto"/>
              </w:rPr>
            </w:pPr>
          </w:p>
        </w:tc>
        <w:tc>
          <w:tcPr>
            <w:tcW w:w="3500" w:type="dxa"/>
            <w:vAlign w:val="bottom"/>
            <w:gridSpan w:val="2"/>
            <w:vMerge w:val="continue"/>
          </w:tcPr>
          <w:p>
            <w:pPr>
              <w:spacing w:after="0"/>
              <w:rPr>
                <w:sz w:val="21"/>
                <w:szCs w:val="2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Debt Rating</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Global Ratings</w:t>
            </w:r>
          </w:p>
        </w:tc>
        <w:tc>
          <w:tcPr>
            <w:tcW w:w="12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12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Positive</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Baa2</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Fitch Ratings</w:t>
            </w:r>
          </w:p>
        </w:tc>
        <w:tc>
          <w:tcPr>
            <w:tcW w:w="3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Positive</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credit ratings are included for informational purposes and are not recommendations to buy, sell, or hold Williams securities, and each rating should be evaluated independently of any other rating. No assurance can be given that the credit rating agencies will continue to assign Williams investment-grade ratings even if it meets or exceeds their current criteria for investment-grade ratios. A downgrade of its credit ratings might increase Williams’ future cost of borrowing and, if ratings were to fall below investment-grade, could require it to provide additional collateral to third parties, negatively impacting Williams’ available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(Uses) of Cash</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sources (uses) of cash and cash equivalents for each of the periods presented in Williams’ Consolidated Statement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40" w:type="dxa"/>
            <w:vAlign w:val="bottom"/>
          </w:tcPr>
          <w:p>
            <w:pPr>
              <w:spacing w:after="0"/>
              <w:rPr>
                <w:sz w:val="16"/>
                <w:szCs w:val="16"/>
                <w:color w:val="auto"/>
              </w:rPr>
            </w:pPr>
          </w:p>
        </w:tc>
        <w:tc>
          <w:tcPr>
            <w:tcW w:w="2420" w:type="dxa"/>
            <w:vAlign w:val="bottom"/>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Sources of cash and cash equivalents: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Net cash provided (used) by operating activities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Operating</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4,974</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5,938</w:t>
            </w: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Proceeds from long-term debt (Note 13)</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0" w:type="dxa"/>
            <w:vAlign w:val="bottom"/>
          </w:tcPr>
          <w:p>
            <w:pPr>
              <w:spacing w:after="0"/>
              <w:rPr>
                <w:sz w:val="1"/>
                <w:szCs w:val="1"/>
                <w:color w:val="auto"/>
              </w:rPr>
            </w:pPr>
          </w:p>
        </w:tc>
      </w:tr>
      <w:tr>
        <w:trPr>
          <w:trHeight w:val="228"/>
        </w:trPr>
        <w:tc>
          <w:tcPr>
            <w:tcW w:w="64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Proceeds from commercial paper – net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Proceeds from dispositions of equity-method investments (Note 8)</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4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 xml:space="preserve">Proceeds from sale of business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Note 3</w:t>
            </w:r>
            <w:r>
              <w:rPr>
                <w:rFonts w:ascii="Times New Roman" w:cs="Times New Roman" w:eastAsia="Times New Roman" w:hAnsi="Times New Roman"/>
                <w:sz w:val="17"/>
                <w:szCs w:val="17"/>
                <w:color w:val="auto"/>
              </w:rPr>
              <w: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0" w:type="dxa"/>
            <w:vAlign w:val="bottom"/>
          </w:tcPr>
          <w:p>
            <w:pPr>
              <w:spacing w:after="0"/>
              <w:rPr>
                <w:sz w:val="1"/>
                <w:szCs w:val="1"/>
                <w:color w:val="auto"/>
              </w:rPr>
            </w:pPr>
          </w:p>
        </w:tc>
      </w:tr>
      <w:tr>
        <w:trPr>
          <w:trHeight w:val="258"/>
        </w:trPr>
        <w:tc>
          <w:tcPr>
            <w:tcW w:w="6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Uses of cash and cash equivalents: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Capital expenditures</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w:t>
            </w:r>
          </w:p>
        </w:tc>
        <w:tc>
          <w:tcPr>
            <w:tcW w:w="0" w:type="dxa"/>
            <w:vAlign w:val="bottom"/>
          </w:tcPr>
          <w:p>
            <w:pPr>
              <w:spacing w:after="0"/>
              <w:rPr>
                <w:sz w:val="1"/>
                <w:szCs w:val="1"/>
                <w:color w:val="auto"/>
              </w:rPr>
            </w:pPr>
          </w:p>
        </w:tc>
      </w:tr>
      <w:tr>
        <w:trPr>
          <w:trHeight w:val="228"/>
        </w:trPr>
        <w:tc>
          <w:tcPr>
            <w:tcW w:w="64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Common dividends paid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Payments of long-term debt</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28"/>
        </w:trPr>
        <w:tc>
          <w:tcPr>
            <w:tcW w:w="64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Purchases of and contributions to equity-method investments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Dividends and distributions paid to noncontrolling interests</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28"/>
        </w:trPr>
        <w:tc>
          <w:tcPr>
            <w:tcW w:w="64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 xml:space="preserve">Purchases of businesses, net of cash acquired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Note 3</w:t>
            </w:r>
            <w:r>
              <w:rPr>
                <w:rFonts w:ascii="Times New Roman" w:cs="Times New Roman" w:eastAsia="Times New Roman" w:hAnsi="Times New Roman"/>
                <w:sz w:val="17"/>
                <w:szCs w:val="17"/>
                <w:color w:val="auto"/>
              </w:rPr>
              <w: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Payments of commercial paper – net</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40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Purchases of treasury stock</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2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0" w:type="dxa"/>
            <w:vAlign w:val="bottom"/>
          </w:tcPr>
          <w:p>
            <w:pPr>
              <w:spacing w:after="0"/>
              <w:rPr>
                <w:sz w:val="1"/>
                <w:szCs w:val="1"/>
                <w:color w:val="auto"/>
              </w:rPr>
            </w:pPr>
          </w:p>
        </w:tc>
      </w:tr>
      <w:tr>
        <w:trPr>
          <w:trHeight w:val="258"/>
        </w:trPr>
        <w:tc>
          <w:tcPr>
            <w:tcW w:w="6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Other sources / (uses) – net</w:t>
            </w:r>
          </w:p>
        </w:tc>
        <w:tc>
          <w:tcPr>
            <w:tcW w:w="1360" w:type="dxa"/>
            <w:vAlign w:val="bottom"/>
            <w:gridSpan w:val="2"/>
          </w:tcPr>
          <w:p>
            <w:pPr>
              <w:jc w:val="center"/>
              <w:ind w:right="140"/>
              <w:spacing w:after="0" w:line="167" w:lineRule="exact"/>
              <w:rPr>
                <w:sz w:val="20"/>
                <w:szCs w:val="20"/>
                <w:color w:val="auto"/>
              </w:rPr>
            </w:pPr>
            <w:r>
              <w:rPr>
                <w:rFonts w:ascii="Times New Roman" w:cs="Times New Roman" w:eastAsia="Times New Roman" w:hAnsi="Times New Roman"/>
                <w:sz w:val="17"/>
                <w:szCs w:val="17"/>
                <w:color w:val="auto"/>
              </w:rPr>
              <w:t>Financing and</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3"/>
        </w:trPr>
        <w:tc>
          <w:tcPr>
            <w:tcW w:w="6400" w:type="dxa"/>
            <w:vAlign w:val="bottom"/>
            <w:tcBorders>
              <w:bottom w:val="single" w:sz="8" w:color="CCEEFF"/>
            </w:tcBorders>
            <w:vMerge w:val="continue"/>
          </w:tcPr>
          <w:p>
            <w:pPr>
              <w:spacing w:after="0"/>
              <w:rPr>
                <w:sz w:val="19"/>
                <w:szCs w:val="19"/>
                <w:color w:val="auto"/>
              </w:rPr>
            </w:pPr>
          </w:p>
        </w:tc>
        <w:tc>
          <w:tcPr>
            <w:tcW w:w="136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Increase (decrease) in cash and cash equivalents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factors that determine Williams’ operating activities are largely the same as those that affect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with the exception of noncash items such as </w:t>
      </w:r>
      <w:r>
        <w:rPr>
          <w:rFonts w:ascii="Times New Roman" w:cs="Times New Roman" w:eastAsia="Times New Roman" w:hAnsi="Times New Roman"/>
          <w:sz w:val="18"/>
          <w:szCs w:val="18"/>
          <w:i w:val="1"/>
          <w:iCs w:val="1"/>
          <w:color w:val="auto"/>
        </w:rPr>
        <w:t>Depreciation, depletion, and amortization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 (benefit) for deferred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(earnings)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unrealized (gain)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commodity derivative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Gain on sale of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Impairment or write-off of certain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Gain on disposition of equity-method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Gain on remeasurement of equity-method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Inventory write-downs,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Amortization of stock-based awards.</w:t>
      </w:r>
    </w:p>
    <w:p>
      <w:pPr>
        <w:spacing w:after="0" w:line="12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8"/>
          <w:szCs w:val="18"/>
          <w:i w:val="1"/>
          <w:iCs w:val="1"/>
          <w:color w:val="auto"/>
        </w:rPr>
        <w:t>Net cash provided (used) by operating activities</w:t>
      </w:r>
      <w:r>
        <w:rPr>
          <w:rFonts w:ascii="Times New Roman" w:cs="Times New Roman" w:eastAsia="Times New Roman" w:hAnsi="Times New Roman"/>
          <w:sz w:val="18"/>
          <w:szCs w:val="18"/>
          <w:color w:val="auto"/>
        </w:rPr>
        <w:t xml:space="preserve"> in 2025 increased from 2024 primarily due to higher operating income (excluding noncash items previously discussed), along with favorable changes in margin requirements.</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8"/>
          <w:szCs w:val="18"/>
          <w:i w:val="1"/>
          <w:iCs w:val="1"/>
          <w:color w:val="auto"/>
        </w:rPr>
        <w:t>Net cash provided (used) by operating activities</w:t>
      </w:r>
      <w:r>
        <w:rPr>
          <w:rFonts w:ascii="Times New Roman" w:cs="Times New Roman" w:eastAsia="Times New Roman" w:hAnsi="Times New Roman"/>
          <w:sz w:val="18"/>
          <w:szCs w:val="18"/>
          <w:color w:val="auto"/>
        </w:rPr>
        <w:t xml:space="preserve"> in 2024 decreased from 2023 primarily due to unfavorable changes in margin requirements, lower operating income (excluding noncash items previously discussed), and unfavorable changes in net operating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current interest rate risk exposure, inclusive of subsidiaries, is related primarily to its debt portfolio. The debt portfolio is primarily comprised of fixed rate debt, which mitigates the impact of fluctuations in interest rates. Any borrowings under the credit facility and any issuances under Williams’ commercial paper program could be at a variable interest rate and could expose it to the risk of increasing interest rates. The maturity of Williams’ long-term debt portfolio is partially influenced by the expected lives of its operating assets. Williams may utilize interest rate derivative instruments to hedge interest rate risk associated with future debt issuances (see Note 13 – Debt and Banking Arrangements).</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tables below provide information by maturity date about the interest rate risk-sensitive instruments as of December 31, 2025 and 2024. The tables exclude unamortized debt issuance costs and net unamortized debt premium (discount) as disclosed in Note 13 – Debt and Banking Arrangements. See Note 16 – Fair Value Measurements, Guarantees, and Concentration of Credit Risk for the methods used in determining the fair value of Williams’ long-term debt.</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060" w:type="dxa"/>
            <w:vAlign w:val="bottom"/>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Long-term debt, including current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portion: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2,504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19,817</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28,706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28,379</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Variable rate (1)</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paper (2)</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351"/>
        </w:trPr>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7"/>
        </w:trPr>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060" w:type="dxa"/>
            <w:vAlign w:val="bottom"/>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Long-term debt, including current</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portion: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Fixed rate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2,345</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1,994</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17,618</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25,830</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Commercial paper (2)</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400" w:hanging="392"/>
        <w:spacing w:after="0"/>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interest rate for the $250 million NWP term loan as of December 31, 2025 was approximately 4.69 percent.</w:t>
      </w:r>
    </w:p>
    <w:p>
      <w:pPr>
        <w:spacing w:after="0" w:line="15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interest rate for commercial paper as of December 31, 2025 and 2024 was 3.85 percent and 4.6 percent,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2025 and 2024, Transco’s debt portfolio included only fixed rate debt, which mitigates the impact of fluctuations in interest rates. Any borrowings under the credit facility would be at a variable interest rate and would expose it to the risk of increasing interest rates. The following tables provide Transco’s information by maturity date about the interest rate risk-sensitive instruments, as of December 31, 2025 and 2024. The tables exclude unamortized debt issuance costs and net unamortized debt premium (discount) as disclosed in Note 13 – Debt and Banking Arrangements. See Note 16 – Fair Value Measurements, Guarantees, and Concentration of Credit Risk for the methods used in determining the fair value of Transco’s long-term debt.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excluding other</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financing obligation:</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3,575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financing obligations,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including current portion:</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825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excluding other</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financing obligation:</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1,208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2,575</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Other financing obligations,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including current portion:</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878</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2025 and 2024, NWP’s debt portfolio included fixed rate debt and 2025 also included a variable-rate term loan. Any borrowings under the credit facility would be at a variable interest rate and would further expose it to the risk of increasing interest rates. The following tables provide NWP’s information by maturity date about the interest rate risk-sensitive instruments, as of December 31, 2025 and 2024. The tables exclude unamortized debt issuance costs and net unamortized debt premium (discount) as disclosed in Note 13 – Debt and Banking Arrangements. See Note 16 – Fair Value Measurements, Guarantees, and Concentration of Credit Risk for the methods used in determining the fair value of NWP’s long-term debt.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Long-term debt, including current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portion: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Variable rate (1)</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rate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10"/>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interest rate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weighted-average interest rate for the $250 million NWP term loan as of December 31, 2025 was approximately 4.69 percent.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is exposed to commodity price risk through its natural gas and NGL marketing activities, including contracts to purchase, sell, transport, and store product. Williams routinely manages this risk with a variety of exchange-traded and OTC energy contracts such as forward contracts, futures contracts, and basis swaps, as well as physical transactions. Although many of the contracts used to manage commodity exposure are derivative instruments, these economic hedges are not designated or do not qualify for hedge accounting treatment.</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is also exposed to commodity prices through the upstream business and certain gathering and processing contracts. Williams uses derivative instruments to lock in forward sales prices on a portion of expected future production and to lock in NGL margin on a portion of commodity-exposed gathering and processing volumes. These economic hedges are not designated for hedge accounting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measurements and maturities of Williams’ commodity derivative assets (liabilities) at December 31, 2025 and 2024, were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5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vMerge w:val="restart"/>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Fair Value Measurements Level (1)</w:t>
            </w:r>
          </w:p>
        </w:tc>
        <w:tc>
          <w:tcPr>
            <w:tcW w:w="1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2027 - 2028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2029 - 2030+</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 (2)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Fair value of contracts outstanding at December 31, 2025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1"/>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vMerge w:val="restart"/>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Fair</w:t>
            </w: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Fair Value Measurements Level (1)</w:t>
            </w:r>
          </w:p>
        </w:tc>
        <w:tc>
          <w:tcPr>
            <w:tcW w:w="1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2026 - 2027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2028 - 2029+</w:t>
            </w: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 (3)</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Fair value of contracts outstanding at December 31, 2024</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44" w:lineRule="exact"/>
        <w:rPr>
          <w:sz w:val="20"/>
          <w:szCs w:val="20"/>
          <w:color w:val="auto"/>
        </w:rPr>
      </w:pPr>
    </w:p>
    <w:p>
      <w:pPr>
        <w:jc w:val="both"/>
        <w:ind w:left="340" w:hanging="332"/>
        <w:spacing w:after="0" w:line="266" w:lineRule="auto"/>
        <w:tabs>
          <w:tab w:leader="none" w:pos="33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16 – Fair Value Measurements, Guarantees, and Concentration of Credit Risk for discussion of valuation techniques by level within the fair value hierarchy. See Note 17 – Commodity Derivatives for the amount of change in fair value recognized in Williams’ Consolidated Statement of Income.</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derivative assets and liabilities exclude $189 million of net cash collateral in Level 1.</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derivative assets and liabilities exclude $288 million of net cash collateral in Level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at Risk (VaR)</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VaR is the maximum predicted loss in portfolio value over a specified time period that is not expected to be exceeded within a given degree of probability. Williams’ VaR may not be comparable to that of other companies due to differences in the factors used to calculate VaR. Williams’ VaR is determined using parametric models with 95 percent confidence intervals and one-day holding periods, which means that 95 percent of the time, the risk of loss in a day from a portfolio of positions is expected to be less than or equal to the amount of VaR calculated. Williams’ open exposure is managed in accordance with established policies that limit market risk and require daily reporting of predicted financial loss to management. Because Williams generally manages physical gas assets and economically protects its positions by hedging in the futures markets, its open exposure is generally mitigated. Williams employs daily risk testing, using both VaR and stress testing, to evaluate the risk of its positions.</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actively monitors open commodity marketing positions and the resulting VaR and maintains a relatively small risk exposure as total buy volume is close to sell volume, with minimal open natural gas price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VaR associated with Williams’ integrated natural gas trading operations was $11 million at December 31, 2025 and $4 million at December 31, 2024. Williams had the following VaRs for the period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50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6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6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spacing w:after="0"/>
              <w:rPr>
                <w:sz w:val="17"/>
                <w:szCs w:val="17"/>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w:t>
            </w:r>
          </w:p>
        </w:tc>
        <w:tc>
          <w:tcPr>
            <w:tcW w:w="1500" w:type="dxa"/>
            <w:vAlign w:val="bottom"/>
            <w:shd w:val="clear" w:color="auto" w:fill="CCEEFF"/>
          </w:tcPr>
          <w:p>
            <w:pPr>
              <w:jc w:val="right"/>
              <w:ind w:right="130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w:t>
            </w:r>
          </w:p>
        </w:tc>
        <w:tc>
          <w:tcPr>
            <w:tcW w:w="5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w:t>
            </w:r>
          </w:p>
        </w:tc>
        <w:tc>
          <w:tcPr>
            <w:tcW w:w="1500" w:type="dxa"/>
            <w:vAlign w:val="bottom"/>
          </w:tcPr>
          <w:p>
            <w:pPr>
              <w:spacing w:after="0"/>
              <w:rPr>
                <w:sz w:val="19"/>
                <w:szCs w:val="19"/>
                <w:color w:val="auto"/>
              </w:rPr>
            </w:pPr>
          </w:p>
        </w:tc>
        <w:tc>
          <w:tcPr>
            <w:tcW w:w="3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18</w:t>
            </w:r>
          </w:p>
        </w:tc>
        <w:tc>
          <w:tcPr>
            <w:tcW w:w="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Low</w:t>
            </w: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w:t>
            </w:r>
          </w:p>
        </w:tc>
        <w:tc>
          <w:tcPr>
            <w:tcW w:w="5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non-trading portfolio primarily consists of commodity derivatives that hedge Williams’ upstream business and certain gathering and processing contracts. The VaR associated with these commodity derivatives was $2 million at December 31, 2025 and $8 million at December 31, 2024. Williams had the following VaRs for the period shown: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50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3"/>
                <w:szCs w:val="13"/>
                <w:color w:val="auto"/>
              </w:rPr>
            </w:pPr>
          </w:p>
        </w:tc>
        <w:tc>
          <w:tcPr>
            <w:tcW w:w="186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7580" w:type="dxa"/>
            <w:vAlign w:val="bottom"/>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7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spacing w:after="0"/>
              <w:rPr>
                <w:sz w:val="16"/>
                <w:szCs w:val="16"/>
                <w:color w:val="auto"/>
              </w:rPr>
            </w:pPr>
          </w:p>
        </w:tc>
      </w:tr>
      <w:tr>
        <w:trPr>
          <w:trHeight w:val="23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w:t>
            </w:r>
          </w:p>
        </w:tc>
        <w:tc>
          <w:tcPr>
            <w:tcW w:w="1500" w:type="dxa"/>
            <w:vAlign w:val="bottom"/>
            <w:shd w:val="clear" w:color="auto" w:fill="CCEEFF"/>
          </w:tcPr>
          <w:p>
            <w:pPr>
              <w:jc w:val="right"/>
              <w:ind w:right="1324"/>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5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6"/>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w:t>
            </w:r>
          </w:p>
        </w:tc>
        <w:tc>
          <w:tcPr>
            <w:tcW w:w="15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5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Low</w:t>
            </w: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Williams:</w:t>
            </w:r>
          </w:p>
        </w:tc>
        <w:tc>
          <w:tcPr>
            <w:tcW w:w="9820" w:type="dxa"/>
            <w:vAlign w:val="bottom"/>
            <w:gridSpan w:val="13"/>
            <w:vMerge w:val="restart"/>
          </w:tcPr>
          <w:p>
            <w:pPr>
              <w:spacing w:after="0"/>
              <w:rPr>
                <w:sz w:val="24"/>
                <w:szCs w:val="24"/>
                <w:color w:val="auto"/>
              </w:rPr>
            </w:pPr>
          </w:p>
        </w:tc>
        <w:tc>
          <w:tcPr>
            <w:tcW w:w="6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9820" w:type="dxa"/>
            <w:vAlign w:val="bottom"/>
            <w:gridSpan w:val="13"/>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2025, 2024, and 2023</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95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2025, 2024, and 2023</w:t>
            </w:r>
          </w:p>
        </w:tc>
        <w:tc>
          <w:tcPr>
            <w:tcW w:w="2200" w:type="dxa"/>
            <w:vAlign w:val="bottom"/>
          </w:tcPr>
          <w:p>
            <w:pPr>
              <w:spacing w:after="0"/>
              <w:rPr>
                <w:sz w:val="19"/>
                <w:szCs w:val="19"/>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96</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at December 31, 2025 and 2024</w:t>
            </w:r>
          </w:p>
        </w:tc>
        <w:tc>
          <w:tcPr>
            <w:tcW w:w="614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9"/>
              </w:rPr>
              <w:t>97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 for the Years Ended December 31, 2025, 2024, and 2023</w:t>
            </w:r>
          </w:p>
        </w:tc>
        <w:tc>
          <w:tcPr>
            <w:tcW w:w="3080" w:type="dxa"/>
            <w:vAlign w:val="bottom"/>
            <w:gridSpan w:val="2"/>
          </w:tcPr>
          <w:p>
            <w:pPr>
              <w:spacing w:after="0"/>
              <w:rPr>
                <w:sz w:val="19"/>
                <w:szCs w:val="19"/>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98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4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FF"/>
                <w:w w:val="99"/>
              </w:rPr>
              <w:t>99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Transco:</w:t>
            </w:r>
          </w:p>
        </w:tc>
        <w:tc>
          <w:tcPr>
            <w:tcW w:w="358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Statements of Net Income for the Years Ended December 31, 2025, 2024, and 2023</w:t>
            </w:r>
          </w:p>
        </w:tc>
        <w:tc>
          <w:tcPr>
            <w:tcW w:w="4560" w:type="dxa"/>
            <w:vAlign w:val="bottom"/>
            <w:gridSpan w:val="7"/>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88"/>
              </w:rPr>
              <w:t>102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Balance Sheets at December 31, 2025 and 2024</w:t>
            </w: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Statements of Changes in Member’s Equity for the Years Ended December 31, 2025, 2024, and 2023</w:t>
            </w:r>
          </w:p>
        </w:tc>
        <w:tc>
          <w:tcPr>
            <w:tcW w:w="3300" w:type="dxa"/>
            <w:vAlign w:val="bottom"/>
            <w:gridSpan w:val="3"/>
          </w:tcPr>
          <w:p>
            <w:pPr>
              <w:spacing w:after="0"/>
              <w:rPr>
                <w:sz w:val="19"/>
                <w:szCs w:val="19"/>
                <w:color w:val="auto"/>
              </w:rPr>
            </w:pP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 for the Years Ended December 31, 2025, 2024, and 2023</w:t>
            </w:r>
          </w:p>
        </w:tc>
        <w:tc>
          <w:tcPr>
            <w:tcW w:w="45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0000FF"/>
            </w:tcBorders>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0000FF"/>
                <w:w w:val="88"/>
              </w:rPr>
              <w:t>105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NWP:</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Statements of Net Income for the Years Ended December 31, 2025, 2024, and 2023</w:t>
            </w:r>
          </w:p>
        </w:tc>
        <w:tc>
          <w:tcPr>
            <w:tcW w:w="4560" w:type="dxa"/>
            <w:vAlign w:val="bottom"/>
            <w:gridSpan w:val="7"/>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88"/>
              </w:rPr>
              <w:t>108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Balance Sheets at December 31, 2025 and 2024</w:t>
            </w: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Statements of Changes in Member’s Equity for the Years Ended December 31, 2025, 2024, and 2023</w:t>
            </w:r>
          </w:p>
        </w:tc>
        <w:tc>
          <w:tcPr>
            <w:tcW w:w="3300" w:type="dxa"/>
            <w:vAlign w:val="bottom"/>
            <w:gridSpan w:val="3"/>
          </w:tcPr>
          <w:p>
            <w:pPr>
              <w:spacing w:after="0"/>
              <w:rPr>
                <w:sz w:val="19"/>
                <w:szCs w:val="19"/>
                <w:color w:val="auto"/>
              </w:rPr>
            </w:pPr>
          </w:p>
        </w:tc>
        <w:tc>
          <w:tcPr>
            <w:tcW w:w="4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0000FF"/>
                <w:w w:val="96"/>
              </w:rPr>
              <w:t>110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 for the Years Ended December 31, 2025, 2024, and 2023</w:t>
            </w:r>
          </w:p>
        </w:tc>
        <w:tc>
          <w:tcPr>
            <w:tcW w:w="4540" w:type="dxa"/>
            <w:vAlign w:val="bottom"/>
            <w:gridSpan w:val="6"/>
          </w:tcPr>
          <w:p>
            <w:pPr>
              <w:spacing w:after="0"/>
              <w:rPr>
                <w:sz w:val="17"/>
                <w:szCs w:val="17"/>
                <w:color w:val="auto"/>
              </w:rPr>
            </w:pPr>
          </w:p>
        </w:tc>
        <w:tc>
          <w:tcPr>
            <w:tcW w:w="440" w:type="dxa"/>
            <w:vAlign w:val="bottom"/>
            <w:gridSpan w:val="3"/>
          </w:tcPr>
          <w:p>
            <w:pPr>
              <w:jc w:val="center"/>
              <w:ind w:left="90"/>
              <w:spacing w:after="0" w:line="196" w:lineRule="exact"/>
              <w:rPr>
                <w:sz w:val="20"/>
                <w:szCs w:val="20"/>
                <w:color w:val="auto"/>
              </w:rPr>
            </w:pPr>
            <w:r>
              <w:rPr>
                <w:rFonts w:ascii="Times New Roman" w:cs="Times New Roman" w:eastAsia="Times New Roman" w:hAnsi="Times New Roman"/>
                <w:sz w:val="18"/>
                <w:szCs w:val="18"/>
                <w:color w:val="0000FF"/>
                <w:w w:val="96"/>
              </w:rPr>
              <w:t>111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45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Combined Notes to Financial Statements</w:t>
            </w:r>
          </w:p>
        </w:tc>
        <w:tc>
          <w:tcPr>
            <w:tcW w:w="3080" w:type="dxa"/>
            <w:vAlign w:val="bottom"/>
            <w:gridSpan w:val="6"/>
          </w:tcPr>
          <w:p>
            <w:pPr>
              <w:spacing w:after="0"/>
              <w:rPr>
                <w:sz w:val="24"/>
                <w:szCs w:val="24"/>
                <w:color w:val="auto"/>
              </w:rPr>
            </w:pPr>
          </w:p>
        </w:tc>
        <w:tc>
          <w:tcPr>
            <w:tcW w:w="4540" w:type="dxa"/>
            <w:vAlign w:val="bottom"/>
            <w:gridSpan w:val="6"/>
          </w:tcPr>
          <w:p>
            <w:pPr>
              <w:spacing w:after="0"/>
              <w:rPr>
                <w:sz w:val="24"/>
                <w:szCs w:val="24"/>
                <w:color w:val="auto"/>
              </w:rPr>
            </w:pPr>
          </w:p>
        </w:tc>
        <w:tc>
          <w:tcPr>
            <w:tcW w:w="4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0000FF"/>
                <w:w w:val="96"/>
              </w:rPr>
              <w:t>112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Williams Companies,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The Williams Companies, Inc. (the Company) as of December 31, 2025 and 2024, the related consolidated statements of income, comprehensive income (loss), changes in equity and cash flows for each of the three years in the period ended December 31,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40" w:lineRule="exact"/>
        <w:rPr>
          <w:sz w:val="20"/>
          <w:szCs w:val="20"/>
          <w:color w:val="auto"/>
        </w:rPr>
      </w:pPr>
    </w:p>
    <w:p>
      <w:pPr>
        <w:jc w:val="both"/>
        <w:ind w:left="20" w:right="20"/>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283" w:right="339" w:bottom="1440" w:gutter="0" w:footer="0" w:header="0"/>
        </w:sectPr>
      </w:pPr>
    </w:p>
    <w:p>
      <w:pPr>
        <w:spacing w:after="0" w:line="274" w:lineRule="exact"/>
        <w:rPr>
          <w:sz w:val="20"/>
          <w:szCs w:val="20"/>
          <w:color w:val="auto"/>
        </w:rPr>
      </w:pPr>
    </w:p>
    <w:p>
      <w:pPr>
        <w:ind w:left="20" w:right="100"/>
        <w:spacing w:after="0" w:line="23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Accounting</w:t>
      </w:r>
    </w:p>
    <w:p>
      <w:pPr>
        <w:spacing w:after="0" w:line="5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 xml:space="preserve">As discussed in Note 1 to the consolidated financial statements, certain of the Company’s consolidated subsidiaries are regulated by the Federal Energy Regulatory Commission (“FERC”) and apply accounting principles outlined in Accounting Standards Codification (“ASC”) Topic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As such, certain incurred costs that would otherwise be charged to expense are deferred as regulatory assets, based on the expected recovery from customers in future rates. Likewise, certain actual or anticipated credits that would otherwise reduce expense are deferred as regulatory liabilities, based on the expected return to customers in future rates. The Company records items as regulatory assets or liabilities if, based on regulatory orders or other available evidence, it is probable that the costs or obligations will be included in amounts allowable for recovery or refunded in future rates.</w:t>
      </w:r>
    </w:p>
    <w:p>
      <w:pPr>
        <w:spacing w:after="0" w:line="22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Auditing the effects of regulatory matters for certain consolidated subsidiaries is complex as it requires specialized knowledge of rate-regulated activities and assessments as to matters that could affect the recording or updating of regulatory assets and liabilities.</w:t>
      </w:r>
    </w:p>
    <w:p>
      <w:pPr>
        <w:spacing w:after="0" w:line="17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 controls over the Company’s accounting for regulatory assets and liabilities, including, among others, management’s assessment of filings with the FERC, and factors that may affect the recoverability or refundability of such regulatory assets or liabilities.</w:t>
      </w:r>
    </w:p>
    <w:p>
      <w:pPr>
        <w:spacing w:after="0" w:line="19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performed audit procedures that included, among others, examining evidence of correspondence with the FERC to test whether the Company appropriately evaluated information obtained from regulatory rulings. For example, we assessed the recoverability and completeness of various regulatory assets and liabilities, considering information obtained from regulatory rulings.</w:t>
      </w:r>
    </w:p>
    <w:p>
      <w:pPr>
        <w:spacing w:after="0" w:line="200" w:lineRule="exact"/>
        <w:rPr>
          <w:sz w:val="20"/>
          <w:szCs w:val="20"/>
          <w:color w:val="auto"/>
        </w:rPr>
      </w:pPr>
    </w:p>
    <w:p>
      <w:pPr>
        <w:sectPr>
          <w:pgSz w:w="11900" w:h="16838" w:orient="portrait"/>
          <w:cols w:equalWidth="0" w:num="2">
            <w:col w:w="1420" w:space="420"/>
            <w:col w:w="9400"/>
          </w:cols>
          <w:pgMar w:left="320" w:top="283"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19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6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(Millions, except per-share amounts)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revenues</w:t>
            </w:r>
          </w:p>
        </w:tc>
        <w:tc>
          <w:tcPr>
            <w:tcW w:w="88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7,628</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revenues – commodity consideration</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sales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(loss) from commodity derivatives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0" w:type="dxa"/>
            <w:vAlign w:val="bottom"/>
          </w:tcPr>
          <w:p>
            <w:pPr>
              <w:spacing w:after="0"/>
              <w:rPr>
                <w:sz w:val="1"/>
                <w:szCs w:val="1"/>
                <w:color w:val="auto"/>
              </w:rPr>
            </w:pPr>
          </w:p>
        </w:tc>
      </w:tr>
      <w:tr>
        <w:trPr>
          <w:trHeight w:val="207"/>
        </w:trPr>
        <w:tc>
          <w:tcPr>
            <w:tcW w:w="6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11,950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10,907</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processing commodity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 expenses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depletion, and amortization expenses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or write-off of certain assets (Note 16)</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business (Note 3)</w:t>
            </w:r>
          </w:p>
        </w:tc>
        <w:tc>
          <w:tcPr>
            <w:tcW w:w="8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7"/>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6,596</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earnings (losses)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income (loss) – net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gain from Energy Transfer litigation judgment (Note 1)</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Provision (benefit) for income taxes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(Note 1)</w:t>
            </w:r>
          </w:p>
        </w:tc>
        <w:tc>
          <w:tcPr>
            <w:tcW w:w="8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2"/>
        </w:trPr>
        <w:tc>
          <w:tcPr>
            <w:tcW w:w="6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2"/>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The Williams Companies, Inc.</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0" w:type="dxa"/>
            <w:vAlign w:val="bottom"/>
          </w:tcPr>
          <w:p>
            <w:pPr>
              <w:spacing w:after="0"/>
              <w:rPr>
                <w:sz w:val="1"/>
                <w:szCs w:val="1"/>
                <w:color w:val="auto"/>
              </w:rPr>
            </w:pPr>
          </w:p>
        </w:tc>
      </w:tr>
      <w:tr>
        <w:trPr>
          <w:trHeight w:val="213"/>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Amounts attributable to The Williams Companies, Inc. available to common stockholders: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0" w:type="dxa"/>
            <w:vAlign w:val="bottom"/>
          </w:tcPr>
          <w:p>
            <w:pPr>
              <w:spacing w:after="0"/>
              <w:rPr>
                <w:sz w:val="1"/>
                <w:szCs w:val="1"/>
                <w:color w:val="auto"/>
              </w:rPr>
            </w:pPr>
          </w:p>
        </w:tc>
      </w:tr>
      <w:tr>
        <w:trPr>
          <w:trHeight w:val="213"/>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from discontinued operations (Note 1)</w:t>
            </w:r>
          </w:p>
        </w:tc>
        <w:tc>
          <w:tcPr>
            <w:tcW w:w="8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7"/>
        </w:trPr>
        <w:tc>
          <w:tcPr>
            <w:tcW w:w="6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Basic earnings (loss) per common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3"/>
        </w:trPr>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8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7"/>
        </w:trPr>
        <w:tc>
          <w:tcPr>
            <w:tcW w:w="66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6"/>
                <w:szCs w:val="16"/>
                <w:color w:val="auto"/>
              </w:rPr>
              <w:t>Weighted-average shares (millions)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8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(loss) per common share: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88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2"/>
        </w:trPr>
        <w:tc>
          <w:tcPr>
            <w:tcW w:w="66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Weighted-average shares (millions)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spacing w:after="0" w:line="241"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33655</wp:posOffset>
            </wp:positionV>
            <wp:extent cx="21945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5" w:lineRule="exact"/>
        <w:rPr>
          <w:sz w:val="20"/>
          <w:szCs w:val="20"/>
          <w:color w:val="auto"/>
        </w:rPr>
      </w:pPr>
    </w:p>
    <w:p>
      <w:pPr>
        <w:ind w:left="8140"/>
        <w:spacing w:after="0"/>
        <w:tabs>
          <w:tab w:leader="none" w:pos="9320" w:val="left"/>
          <w:tab w:leader="none" w:pos="105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42"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-94615</wp:posOffset>
            </wp:positionV>
            <wp:extent cx="21945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Designated interest rate cash flow hedging activities: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175"/>
        </w:trPr>
        <w:tc>
          <w:tcPr>
            <w:tcW w:w="77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Net unrealized gain (loss) from derivative instruments, net of taxes of $(1), $(2), and $(8) in 2025,</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76"/>
        </w:trPr>
        <w:tc>
          <w:tcPr>
            <w:tcW w:w="77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Reclassifications into earnings of net derivative instruments (gain) loss, net of taxes of $1, $1, and</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7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 in 2025, 2024, and 2023, respectively</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5"/>
        </w:trPr>
        <w:tc>
          <w:tcPr>
            <w:tcW w:w="77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Net actuarial gain (loss) arising during the year, net of taxes of $(9), $(24), and $— in 2025, 2024,</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43"/>
        </w:trPr>
        <w:tc>
          <w:tcPr>
            <w:tcW w:w="7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and 2023, respectively</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75"/>
        </w:trPr>
        <w:tc>
          <w:tcPr>
            <w:tcW w:w="776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Amortization of actuarial (gain) loss and net actuarial loss from settlements included in net periodic</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3"/>
        </w:trPr>
        <w:tc>
          <w:tcPr>
            <w:tcW w:w="7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benefit cost (credit), net of taxes of $2, $1, and $— in 2025, 2024, and 2023, respectively</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r>
      <w:tr>
        <w:trPr>
          <w:trHeight w:val="229"/>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The Williams Companies, Inc.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w:t>
            </w:r>
          </w:p>
        </w:tc>
      </w:tr>
      <w:tr>
        <w:trPr>
          <w:trHeight w:val="21"/>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3"/>
        </w:trPr>
        <w:tc>
          <w:tcPr>
            <w:tcW w:w="8200" w:type="dxa"/>
            <w:vAlign w:val="bottom"/>
          </w:tcPr>
          <w:p>
            <w:pPr>
              <w:spacing w:after="0"/>
              <w:rPr>
                <w:sz w:val="15"/>
                <w:szCs w:val="15"/>
                <w:color w:val="auto"/>
              </w:rPr>
            </w:pPr>
          </w:p>
        </w:tc>
        <w:tc>
          <w:tcPr>
            <w:tcW w:w="3000" w:type="dxa"/>
            <w:vAlign w:val="bottom"/>
            <w:gridSpan w:val="5"/>
          </w:tcPr>
          <w:p>
            <w:pPr>
              <w:jc w:val="right"/>
              <w:ind w:right="359"/>
              <w:spacing w:after="0"/>
              <w:rPr>
                <w:sz w:val="20"/>
                <w:szCs w:val="20"/>
                <w:color w:val="auto"/>
              </w:rPr>
            </w:pPr>
            <w:r>
              <w:rPr>
                <w:rFonts w:ascii="Times New Roman" w:cs="Times New Roman" w:eastAsia="Times New Roman" w:hAnsi="Times New Roman"/>
                <w:sz w:val="13"/>
                <w:szCs w:val="13"/>
                <w:b w:val="1"/>
                <w:bCs w:val="1"/>
                <w:color w:val="auto"/>
              </w:rPr>
              <w:t>(Millions, except per-share amounts)</w:t>
            </w:r>
          </w:p>
        </w:tc>
        <w:tc>
          <w:tcPr>
            <w:tcW w:w="0" w:type="dxa"/>
            <w:vAlign w:val="bottom"/>
          </w:tcPr>
          <w:p>
            <w:pPr>
              <w:spacing w:after="0"/>
              <w:rPr>
                <w:sz w:val="1"/>
                <w:szCs w:val="1"/>
                <w:color w:val="auto"/>
              </w:rPr>
            </w:pPr>
          </w:p>
        </w:tc>
      </w:tr>
      <w:tr>
        <w:trPr>
          <w:trHeight w:val="22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accounts and other receivables (net of allowance of ($1) at December 31, 2025 and December 31, 2024)</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 held for sale (Note 3)</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assets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38,692</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 net</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assets, deferred charges, and other</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12"/>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54,532</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Liabilities held for sale (Note 3)</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liabilities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due within one year</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0" w:type="dxa"/>
            <w:vAlign w:val="bottom"/>
          </w:tcPr>
          <w:p>
            <w:pPr>
              <w:spacing w:after="0"/>
              <w:rPr>
                <w:sz w:val="1"/>
                <w:szCs w:val="1"/>
                <w:color w:val="auto"/>
              </w:rPr>
            </w:pPr>
          </w:p>
        </w:tc>
      </w:tr>
      <w:tr>
        <w:trPr>
          <w:trHeight w:val="207"/>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24,736</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liabilities, deferred income, and other</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liabilities and commitments (Note 18)</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Preferred stock ($1 par value; 30 million shares authorized at December 31, 2025 and December 31, 2024; 35 thousand</w:t>
            </w:r>
          </w:p>
        </w:tc>
        <w:tc>
          <w:tcPr>
            <w:tcW w:w="8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8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shares issued at December 31, 2025 and December 31, 2024)</w:t>
            </w:r>
          </w:p>
        </w:tc>
        <w:tc>
          <w:tcPr>
            <w:tcW w:w="8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($1 par value; 1,470 million shares authorized at December 31, 2025 and December 31, 2024; 1,261</w:t>
            </w:r>
          </w:p>
        </w:tc>
        <w:tc>
          <w:tcPr>
            <w:tcW w:w="8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million shares issued at December 31, 2025 and 1,258 million shares issued at December 31, 2024)</w:t>
            </w:r>
          </w:p>
        </w:tc>
        <w:tc>
          <w:tcPr>
            <w:tcW w:w="8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24,643</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deficit</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(12,237)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(12,396)</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at cost (39 million shares at December 31, 2025 and December 31, 2024 of common stock)</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7"/>
        </w:trPr>
        <w:tc>
          <w:tcPr>
            <w:tcW w:w="8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consolidated subsidiaries</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0" w:type="dxa"/>
            <w:vAlign w:val="bottom"/>
          </w:tcPr>
          <w:p>
            <w:pPr>
              <w:spacing w:after="0"/>
              <w:rPr>
                <w:sz w:val="1"/>
                <w:szCs w:val="1"/>
                <w:color w:val="auto"/>
              </w:rPr>
            </w:pPr>
          </w:p>
        </w:tc>
      </w:tr>
      <w:tr>
        <w:trPr>
          <w:trHeight w:val="207"/>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14,840</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20"/>
          </w:cols>
          <w:pgMar w:left="34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3" w:right="33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36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The Williams Companies, Inc. Stockholders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Excess of</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AOCI*</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Cash dividends – common stock ($1.79 per</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8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Cash dividends – common stock ($1.90 per</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(12,396)</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Cash dividends – common stock ($2.00 per</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Noncontrolling interest resulting from</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acquisition</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Changes in ownership of consolidated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subsidiaries, net (Note 2)</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Accumulated Other Comprehensive Income (Loss)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Table of Contents</w:t>
            </w:r>
          </w:p>
        </w:tc>
      </w:tr>
      <w:tr>
        <w:trPr>
          <w:trHeight w:val="646"/>
        </w:trPr>
        <w:tc>
          <w:tcPr>
            <w:tcW w:w="770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r>
      <w:tr>
        <w:trPr>
          <w:trHeight w:val="238"/>
        </w:trPr>
        <w:tc>
          <w:tcPr>
            <w:tcW w:w="770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7"/>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7"/>
                <w:szCs w:val="17"/>
                <w:color w:val="auto"/>
              </w:rPr>
            </w:pP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w:t>
            </w: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to net cash provided (used) by operating activities: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w:t>
            </w: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(benefit) for deferred income taxes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r>
      <w:tr>
        <w:trPr>
          <w:trHeight w:val="21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(earnings) losses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equity-method investees (Note 8)</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r>
      <w:tr>
        <w:trPr>
          <w:trHeight w:val="21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or write-off of certain assets (Note 16)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(gain) loss from commodity derivative instruments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0"/>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business (Note 3)</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22"/>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disposition of equity-method investments (Note 8)</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remeasurement of equity-method investments (Note 3)</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 write-downs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stock-based awards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77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219"/>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77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9"/>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3"/>
        </w:trPr>
        <w:tc>
          <w:tcPr>
            <w:tcW w:w="77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current and noncurrent commodity derivative assets and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7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12"/>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4,974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5,938</w:t>
            </w:r>
          </w:p>
        </w:tc>
      </w:tr>
      <w:tr>
        <w:trPr>
          <w:trHeight w:val="20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(payments of) commercial paper –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dividends paid</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and distributions paid to noncontrolling interests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2"/>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08"/>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7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 (1)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r>
      <w:tr>
        <w:trPr>
          <w:trHeight w:val="219"/>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Dispositions – net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business (Note 3)</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businesses, net of cash acquired (Note 3)</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r>
      <w:tr>
        <w:trPr>
          <w:trHeight w:val="213"/>
        </w:trPr>
        <w:tc>
          <w:tcPr>
            <w:tcW w:w="7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dispositions of equity-method investments (Note 8)</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and contributions to equity-method investments (Note 8)</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3"/>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 net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2"/>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(3,891)</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(2,090)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2,150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07"/>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_________</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13"/>
        </w:trPr>
        <w:tc>
          <w:tcPr>
            <w:tcW w:w="7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Increases to property, plant, and equipment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(2,581)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w:t>
            </w:r>
          </w:p>
        </w:tc>
      </w:tr>
      <w:tr>
        <w:trPr>
          <w:trHeight w:val="216"/>
        </w:trPr>
        <w:tc>
          <w:tcPr>
            <w:tcW w:w="7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7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(2,573)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 and the Management Committee of Transcontinental Gas Pipe Line Company, LLC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Transcontinental Gas Pipe Line Company, LLC (the Company) as of December 31, 2025 and 2024, the related statements of net income, changes in member’s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Regulatory Accounting</w:t>
      </w:r>
    </w:p>
    <w:p>
      <w:pPr>
        <w:sectPr>
          <w:pgSz w:w="11900" w:h="16838" w:orient="portrait"/>
          <w:cols w:equalWidth="0" w:num="1">
            <w:col w:w="11240"/>
          </w:cols>
          <w:pgMar w:left="320" w:top="121" w:right="339" w:bottom="1440" w:gutter="0" w:footer="0" w:header="0"/>
        </w:sectPr>
      </w:pPr>
    </w:p>
    <w:p>
      <w:pPr>
        <w:spacing w:after="0" w:line="281" w:lineRule="exact"/>
        <w:rPr>
          <w:sz w:val="20"/>
          <w:szCs w:val="20"/>
          <w:color w:val="auto"/>
        </w:rPr>
      </w:pPr>
    </w:p>
    <w:p>
      <w:pPr>
        <w:ind w:left="20" w:right="34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right="240"/>
        <w:spacing w:after="0" w:line="269"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 discussed in Note 1 to the financial statements, the Company is an interstate natural gas transmission company that is regulated by the Federal Energy Regulatory Commission (“FERC”) and applies accounting principles in Accounting Standards Codification (“ASC”) Topic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As such, certain incurred costs that would otherwise be charged to expense are deferred as regulatory assets, based on the expected recovery from customers in future rates. Likewise, certain actual or anticipated credits that would otherwise reduce expense are deferred as regulatory liabilities, based on the expected return to customers in future rates. The Company records items as regulatory assets or liabilities if, based on regulatory orders or other available evidence, it is probable that the costs or obligations will be included in amounts allowable for recovery or refunded in future rates.</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Auditing the effects of regulatory matters is complex as it requires specialized knowledge of rate-regulated activities and assessments as to matters that could affect the recording or updating of regulatory assets and liabilities.</w:t>
      </w:r>
    </w:p>
    <w:p>
      <w:pPr>
        <w:spacing w:after="0" w:line="3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performed audit procedures that included, among others, examining evidence of correspondence with the FERC to test whether the Company appropriately evaluated information obtained from regulatory rulings. For example, we assessed the recoverability and completeness of various regulatory assets and liabilities, considering information obtained from regulatory rulings.</w:t>
      </w:r>
    </w:p>
    <w:p>
      <w:pPr>
        <w:spacing w:after="0" w:line="831" w:lineRule="exact"/>
        <w:rPr>
          <w:sz w:val="20"/>
          <w:szCs w:val="20"/>
          <w:color w:val="auto"/>
        </w:rPr>
      </w:pPr>
    </w:p>
    <w:p>
      <w:pPr>
        <w:sectPr>
          <w:pgSz w:w="11900" w:h="16838" w:orient="portrait"/>
          <w:cols w:equalWidth="0" w:num="2">
            <w:col w:w="1660" w:space="140"/>
            <w:col w:w="9440"/>
          </w:cols>
          <w:pgMar w:left="320" w:top="121"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Net Income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6"/>
        </w:trPr>
        <w:tc>
          <w:tcPr>
            <w:tcW w:w="68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68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product sales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service revenues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16"/>
        </w:trPr>
        <w:tc>
          <w:tcPr>
            <w:tcW w:w="6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product costs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196"/>
        </w:trPr>
        <w:tc>
          <w:tcPr>
            <w:tcW w:w="6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16"/>
        </w:trPr>
        <w:tc>
          <w:tcPr>
            <w:tcW w:w="6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equity and borrowed funds used during construction (AFUDC)</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8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0"/>
        </w:trPr>
        <w:tc>
          <w:tcPr>
            <w:tcW w:w="6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and other receivables: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Advances to affiliate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30"/>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Affiliates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assets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and deferred charges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108"/>
        </w:trPr>
        <w:tc>
          <w:tcPr>
            <w:tcW w:w="80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14,608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48"/>
        </w:trPr>
        <w:tc>
          <w:tcPr>
            <w:tcW w:w="8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Affiliates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Regulatory liabilities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Reserve for rate refunds (Note 18)</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Accrual for litigation settlement (Note 18)</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and other</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liabilities and commitments (Note 18)</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49"/>
        </w:trPr>
        <w:tc>
          <w:tcPr>
            <w:tcW w:w="80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Member’s capital</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3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23"/>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member’s equity</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r>
      <w:tr>
        <w:trPr>
          <w:trHeight w:val="223"/>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16,864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15,931</w:t>
            </w:r>
          </w:p>
        </w:tc>
      </w:tr>
      <w:tr>
        <w:trPr>
          <w:trHeight w:val="20"/>
        </w:trPr>
        <w:tc>
          <w:tcPr>
            <w:tcW w:w="8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160"/>
          </w:cols>
          <w:pgMar w:left="4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of Changes in Member’s Equity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6"/>
        </w:trPr>
        <w:tc>
          <w:tcPr>
            <w:tcW w:w="66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66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6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Capital: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and end of period</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597"/>
              <w:spacing w:after="0"/>
              <w:rPr>
                <w:sz w:val="20"/>
                <w:szCs w:val="20"/>
                <w:color w:val="auto"/>
              </w:rPr>
            </w:pPr>
            <w:r>
              <w:rPr>
                <w:rFonts w:ascii="Times New Roman" w:cs="Times New Roman" w:eastAsia="Times New Roman" w:hAnsi="Times New Roman"/>
                <w:sz w:val="18"/>
                <w:szCs w:val="18"/>
                <w:color w:val="auto"/>
                <w:w w:val="98"/>
              </w:rPr>
              <w:t>5,088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5,088</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left="597"/>
              <w:spacing w:after="0"/>
              <w:rPr>
                <w:sz w:val="20"/>
                <w:szCs w:val="20"/>
                <w:color w:val="auto"/>
              </w:rPr>
            </w:pPr>
            <w:r>
              <w:rPr>
                <w:rFonts w:ascii="Times New Roman" w:cs="Times New Roman" w:eastAsia="Times New Roman" w:hAnsi="Times New Roman"/>
                <w:sz w:val="18"/>
                <w:szCs w:val="18"/>
                <w:color w:val="auto"/>
                <w:w w:val="98"/>
              </w:rPr>
              <w:t>3,049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3,022</w:t>
            </w:r>
          </w:p>
        </w:tc>
      </w:tr>
      <w:tr>
        <w:trPr>
          <w:trHeight w:val="22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w w:val="98"/>
              </w:rPr>
              <w:t>1,313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distributions to parent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557"/>
              <w:spacing w:after="0"/>
              <w:rPr>
                <w:sz w:val="20"/>
                <w:szCs w:val="20"/>
                <w:color w:val="auto"/>
              </w:rPr>
            </w:pPr>
            <w:r>
              <w:rPr>
                <w:rFonts w:ascii="Times New Roman" w:cs="Times New Roman" w:eastAsia="Times New Roman" w:hAnsi="Times New Roman"/>
                <w:sz w:val="18"/>
                <w:szCs w:val="18"/>
                <w:color w:val="auto"/>
                <w:w w:val="98"/>
              </w:rPr>
              <w:t>(1,145)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53"/>
              <w:spacing w:after="0"/>
              <w:rPr>
                <w:sz w:val="20"/>
                <w:szCs w:val="20"/>
                <w:color w:val="auto"/>
              </w:rPr>
            </w:pPr>
            <w:r>
              <w:rPr>
                <w:rFonts w:ascii="Times New Roman" w:cs="Times New Roman" w:eastAsia="Times New Roman" w:hAnsi="Times New Roman"/>
                <w:sz w:val="18"/>
                <w:szCs w:val="18"/>
                <w:color w:val="auto"/>
                <w:w w:val="98"/>
              </w:rPr>
              <w:t>(1,220)</w:t>
            </w:r>
          </w:p>
        </w:tc>
      </w:tr>
      <w:tr>
        <w:trPr>
          <w:trHeight w:val="223"/>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597"/>
              <w:spacing w:after="0"/>
              <w:rPr>
                <w:sz w:val="20"/>
                <w:szCs w:val="20"/>
                <w:color w:val="auto"/>
              </w:rPr>
            </w:pPr>
            <w:r>
              <w:rPr>
                <w:rFonts w:ascii="Times New Roman" w:cs="Times New Roman" w:eastAsia="Times New Roman" w:hAnsi="Times New Roman"/>
                <w:sz w:val="18"/>
                <w:szCs w:val="18"/>
                <w:color w:val="auto"/>
                <w:w w:val="98"/>
              </w:rPr>
              <w:t>3,217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3,049</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Member’s Equity</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8,391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597"/>
              <w:spacing w:after="0"/>
              <w:rPr>
                <w:sz w:val="20"/>
                <w:szCs w:val="20"/>
                <w:color w:val="auto"/>
              </w:rPr>
            </w:pPr>
            <w:r>
              <w:rPr>
                <w:rFonts w:ascii="Times New Roman" w:cs="Times New Roman" w:eastAsia="Times New Roman" w:hAnsi="Times New Roman"/>
                <w:sz w:val="18"/>
                <w:szCs w:val="18"/>
                <w:color w:val="auto"/>
                <w:w w:val="98"/>
              </w:rPr>
              <w:t>8,305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8"/>
                <w:szCs w:val="18"/>
                <w:color w:val="auto"/>
              </w:rPr>
              <w:t>8,137</w:t>
            </w:r>
          </w:p>
        </w:tc>
      </w:tr>
      <w:tr>
        <w:trPr>
          <w:trHeight w:val="20"/>
        </w:trPr>
        <w:tc>
          <w:tcPr>
            <w:tcW w:w="6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9"/>
              </w:rPr>
              <w:t>Table of Contents</w:t>
            </w:r>
          </w:p>
        </w:tc>
      </w:tr>
      <w:tr>
        <w:trPr>
          <w:trHeight w:val="889"/>
        </w:trPr>
        <w:tc>
          <w:tcPr>
            <w:tcW w:w="77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44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6"/>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7"/>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196"/>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3"/>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cash provided (used) by 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7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Allowance for equity funds used during construction (equity AFUDC)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9"/>
                <w:szCs w:val="19"/>
                <w:color w:val="auto"/>
              </w:rPr>
            </w:pPr>
          </w:p>
        </w:tc>
      </w:tr>
      <w:tr>
        <w:trPr>
          <w:trHeight w:val="213"/>
        </w:trPr>
        <w:tc>
          <w:tcPr>
            <w:tcW w:w="7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Affiliate receivables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r>
      <w:tr>
        <w:trPr>
          <w:trHeight w:val="213"/>
        </w:trPr>
        <w:tc>
          <w:tcPr>
            <w:tcW w:w="74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Trade and other accounts receivable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9"/>
                <w:szCs w:val="19"/>
                <w:color w:val="auto"/>
              </w:rPr>
            </w:pPr>
          </w:p>
        </w:tc>
      </w:tr>
      <w:tr>
        <w:trPr>
          <w:trHeight w:val="213"/>
        </w:trPr>
        <w:tc>
          <w:tcPr>
            <w:tcW w:w="74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Regulatory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9"/>
                <w:szCs w:val="19"/>
                <w:color w:val="auto"/>
              </w:rPr>
            </w:pPr>
          </w:p>
        </w:tc>
      </w:tr>
      <w:tr>
        <w:trPr>
          <w:trHeight w:val="213"/>
        </w:trPr>
        <w:tc>
          <w:tcPr>
            <w:tcW w:w="74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Trade accounts payable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Affiliate payables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r>
      <w:tr>
        <w:trPr>
          <w:trHeight w:val="213"/>
        </w:trPr>
        <w:tc>
          <w:tcPr>
            <w:tcW w:w="74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Reserve for rate refunds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tcPr>
          <w:p>
            <w:pPr>
              <w:spacing w:after="0"/>
              <w:rPr>
                <w:sz w:val="19"/>
                <w:szCs w:val="19"/>
                <w:color w:val="auto"/>
              </w:rPr>
            </w:pPr>
          </w:p>
        </w:tc>
      </w:tr>
      <w:tr>
        <w:trPr>
          <w:trHeight w:val="213"/>
        </w:trPr>
        <w:tc>
          <w:tcPr>
            <w:tcW w:w="74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0" w:type="dxa"/>
            <w:vAlign w:val="bottom"/>
          </w:tcPr>
          <w:p>
            <w:pPr>
              <w:spacing w:after="0"/>
              <w:rPr>
                <w:sz w:val="18"/>
                <w:szCs w:val="18"/>
                <w:color w:val="auto"/>
              </w:rPr>
            </w:pPr>
          </w:p>
        </w:tc>
      </w:tr>
      <w:tr>
        <w:trPr>
          <w:trHeight w:val="209"/>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20" w:type="dxa"/>
            <w:vAlign w:val="bottom"/>
          </w:tcPr>
          <w:p>
            <w:pPr>
              <w:spacing w:after="0"/>
              <w:rPr>
                <w:sz w:val="18"/>
                <w:szCs w:val="18"/>
                <w:color w:val="auto"/>
              </w:rPr>
            </w:pPr>
          </w:p>
        </w:tc>
      </w:tr>
      <w:tr>
        <w:trPr>
          <w:trHeight w:val="199"/>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other financing obligations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8"/>
                <w:szCs w:val="18"/>
                <w:color w:val="auto"/>
              </w:rPr>
            </w:pPr>
          </w:p>
        </w:tc>
      </w:tr>
      <w:tr>
        <w:trPr>
          <w:trHeight w:val="213"/>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on other financing obligations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9"/>
                <w:szCs w:val="19"/>
                <w:color w:val="auto"/>
              </w:rPr>
            </w:pPr>
          </w:p>
        </w:tc>
      </w:tr>
      <w:tr>
        <w:trPr>
          <w:trHeight w:val="213"/>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distributions to parent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0" w:type="dxa"/>
            <w:vAlign w:val="bottom"/>
          </w:tcPr>
          <w:p>
            <w:pPr>
              <w:spacing w:after="0"/>
              <w:rPr>
                <w:sz w:val="19"/>
                <w:szCs w:val="19"/>
                <w:color w:val="auto"/>
              </w:rPr>
            </w:pPr>
          </w:p>
        </w:tc>
      </w:tr>
      <w:tr>
        <w:trPr>
          <w:trHeight w:val="207"/>
        </w:trPr>
        <w:tc>
          <w:tcPr>
            <w:tcW w:w="74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20" w:type="dxa"/>
            <w:vAlign w:val="bottom"/>
          </w:tcPr>
          <w:p>
            <w:pPr>
              <w:spacing w:after="0"/>
              <w:rPr>
                <w:sz w:val="17"/>
                <w:szCs w:val="17"/>
                <w:color w:val="auto"/>
              </w:rPr>
            </w:pPr>
          </w:p>
        </w:tc>
      </w:tr>
      <w:tr>
        <w:trPr>
          <w:trHeight w:val="21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Capital expenditures (1)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0" w:type="dxa"/>
            <w:vAlign w:val="bottom"/>
          </w:tcPr>
          <w:p>
            <w:pPr>
              <w:spacing w:after="0"/>
              <w:rPr>
                <w:sz w:val="19"/>
                <w:szCs w:val="19"/>
                <w:color w:val="auto"/>
              </w:rPr>
            </w:pPr>
          </w:p>
        </w:tc>
      </w:tr>
      <w:tr>
        <w:trPr>
          <w:trHeight w:val="213"/>
        </w:trPr>
        <w:tc>
          <w:tcPr>
            <w:tcW w:w="74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Contributions and advances for construction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Dispositions -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0" w:type="dxa"/>
            <w:vAlign w:val="bottom"/>
          </w:tcPr>
          <w:p>
            <w:pPr>
              <w:spacing w:after="0"/>
              <w:rPr>
                <w:sz w:val="19"/>
                <w:szCs w:val="19"/>
                <w:color w:val="auto"/>
              </w:rPr>
            </w:pPr>
          </w:p>
        </w:tc>
      </w:tr>
      <w:tr>
        <w:trPr>
          <w:trHeight w:val="213"/>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Advances to affiliate -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 of asset retirement obligations trust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tcPr>
          <w:p>
            <w:pPr>
              <w:spacing w:after="0"/>
              <w:rPr>
                <w:sz w:val="19"/>
                <w:szCs w:val="19"/>
                <w:color w:val="auto"/>
              </w:rPr>
            </w:pPr>
          </w:p>
        </w:tc>
      </w:tr>
      <w:tr>
        <w:trPr>
          <w:trHeight w:val="213"/>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Proceeds from sale of asset retirement obligations trust investments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8"/>
                <w:szCs w:val="18"/>
                <w:color w:val="auto"/>
              </w:rPr>
            </w:pPr>
          </w:p>
        </w:tc>
      </w:tr>
      <w:tr>
        <w:trPr>
          <w:trHeight w:val="210"/>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20" w:type="dxa"/>
            <w:vAlign w:val="bottom"/>
          </w:tcPr>
          <w:p>
            <w:pPr>
              <w:spacing w:after="0"/>
              <w:rPr>
                <w:sz w:val="18"/>
                <w:szCs w:val="18"/>
                <w:color w:val="auto"/>
              </w:rPr>
            </w:pPr>
          </w:p>
        </w:tc>
      </w:tr>
      <w:tr>
        <w:trPr>
          <w:trHeight w:val="199"/>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2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____________________________</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Increase to property, plant, and equipment, exclusive of equity AFUDC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0" w:type="dxa"/>
            <w:vAlign w:val="bottom"/>
          </w:tcPr>
          <w:p>
            <w:pPr>
              <w:spacing w:after="0"/>
              <w:rPr>
                <w:sz w:val="18"/>
                <w:szCs w:val="18"/>
                <w:color w:val="auto"/>
              </w:rPr>
            </w:pPr>
          </w:p>
        </w:tc>
      </w:tr>
      <w:tr>
        <w:trPr>
          <w:trHeight w:val="21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 w:type="dxa"/>
            <w:vAlign w:val="bottom"/>
          </w:tcPr>
          <w:p>
            <w:pPr>
              <w:spacing w:after="0"/>
              <w:rPr>
                <w:sz w:val="19"/>
                <w:szCs w:val="19"/>
                <w:color w:val="auto"/>
              </w:rPr>
            </w:pPr>
          </w:p>
        </w:tc>
      </w:tr>
      <w:tr>
        <w:trPr>
          <w:trHeight w:val="207"/>
        </w:trPr>
        <w:tc>
          <w:tcPr>
            <w:tcW w:w="7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tcPr>
          <w:p>
            <w:pPr>
              <w:spacing w:after="0"/>
              <w:rPr>
                <w:sz w:val="17"/>
                <w:szCs w:val="17"/>
                <w:color w:val="auto"/>
              </w:rPr>
            </w:pPr>
          </w:p>
        </w:tc>
        <w:tc>
          <w:tcPr>
            <w:tcW w:w="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0" w:type="dxa"/>
            <w:vAlign w:val="bottom"/>
          </w:tcPr>
          <w:p>
            <w:pPr>
              <w:spacing w:after="0"/>
              <w:rPr>
                <w:sz w:val="17"/>
                <w:szCs w:val="17"/>
                <w:color w:val="auto"/>
              </w:rPr>
            </w:pPr>
          </w:p>
        </w:tc>
      </w:tr>
      <w:tr>
        <w:trPr>
          <w:trHeight w:val="2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360" w:firstLine="3364"/>
        <w:spacing w:after="0" w:line="43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Member and the Management Committee of Northwest Pipeline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Northwest Pipeline LLC (the Company) as of December 31, 2025 and 2024, the related statements of net income, changes in member’s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w:t>
      </w:r>
      <w:r>
        <w:rPr>
          <w:sz w:val="1"/>
          <w:szCs w:val="1"/>
          <w:color w:val="auto"/>
        </w:rPr>
        <w:drawing>
          <wp:inline distT="0" distB="0" distL="0" distR="0">
            <wp:extent cx="17145" cy="8572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financial statements, taken as a whole, and we are not, by communicating the critical audit matter below, providing a separate opinion on the critical audit matter or on the account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Regulatory Accounting</w:t>
      </w:r>
    </w:p>
    <w:p>
      <w:pPr>
        <w:sectPr>
          <w:pgSz w:w="11900" w:h="16838" w:orient="portrait"/>
          <w:cols w:equalWidth="0" w:num="1">
            <w:col w:w="11240"/>
          </w:cols>
          <w:pgMar w:left="320" w:top="607" w:right="339" w:bottom="1440" w:gutter="0" w:footer="0" w:header="0"/>
        </w:sectPr>
      </w:pPr>
    </w:p>
    <w:p>
      <w:pPr>
        <w:spacing w:after="0" w:line="362" w:lineRule="exact"/>
        <w:rPr>
          <w:sz w:val="20"/>
          <w:szCs w:val="20"/>
          <w:color w:val="auto"/>
        </w:rPr>
      </w:pPr>
    </w:p>
    <w:p>
      <w:pPr>
        <w:ind w:left="20" w:right="34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right="240"/>
        <w:spacing w:after="0" w:line="269"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 discussed in Note 1 to the financial statements, the Company is an interstate natural gas transmission company that is regulated by the Federal Energy Regulatory Commission (“FERC”) and applies accounting principles in Accounting Standards Codification (“ASC”) Topic 980, </w:t>
      </w:r>
      <w:r>
        <w:rPr>
          <w:rFonts w:ascii="Times New Roman" w:cs="Times New Roman" w:eastAsia="Times New Roman" w:hAnsi="Times New Roman"/>
          <w:sz w:val="18"/>
          <w:szCs w:val="18"/>
          <w:i w:val="1"/>
          <w:iCs w:val="1"/>
          <w:color w:val="auto"/>
        </w:rPr>
        <w:t>Regulated Operations</w:t>
      </w:r>
      <w:r>
        <w:rPr>
          <w:rFonts w:ascii="Times New Roman" w:cs="Times New Roman" w:eastAsia="Times New Roman" w:hAnsi="Times New Roman"/>
          <w:sz w:val="18"/>
          <w:szCs w:val="18"/>
          <w:color w:val="auto"/>
        </w:rPr>
        <w:t>. As such, certain incurred costs that would otherwise be charged to expense are deferred as regulatory assets, based on the expected recovery from customers in future rates. Likewise, certain actual or anticipated credits that would otherwise reduce expense are deferred as regulatory liabilities, based on the expected return to customers in future rates. The Company records items as regulatory assets or liabilities if, based on regulatory orders or other available evidence, it is probable that the costs or obligations will be included in amounts allowable for recovery or refunded in future rates.</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Auditing the effects of regulatory matters is complex as it requires specialized knowledge of rate-regulated activities and assessments as to matters that could affect the recording or updating of regulatory assets and liabilities.</w:t>
      </w:r>
    </w:p>
    <w:p>
      <w:pPr>
        <w:spacing w:after="0" w:line="3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performed audit procedures that included, among others, examining evidence of correspondence with the FERC to test whether the Company appropriately evaluated information obtained from regulatory rulings. For example, we assessed the recoverability and completeness of various regulatory assets and liabilities, considering information obtained from regulatory rulings.</w:t>
      </w:r>
    </w:p>
    <w:p>
      <w:pPr>
        <w:spacing w:after="0" w:line="831" w:lineRule="exact"/>
        <w:rPr>
          <w:sz w:val="20"/>
          <w:szCs w:val="20"/>
          <w:color w:val="auto"/>
        </w:rPr>
      </w:pPr>
    </w:p>
    <w:p>
      <w:pPr>
        <w:sectPr>
          <w:pgSz w:w="11900" w:h="16838" w:orient="portrait"/>
          <w:cols w:equalWidth="0" w:num="2">
            <w:col w:w="1660" w:space="140"/>
            <w:col w:w="9440"/>
          </w:cols>
          <w:pgMar w:left="320" w:top="607"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97"/>
              </w:rPr>
              <w:t>Table of Contents</w:t>
            </w:r>
          </w:p>
        </w:tc>
      </w:tr>
      <w:tr>
        <w:trPr>
          <w:trHeight w:val="808"/>
        </w:trPr>
        <w:tc>
          <w:tcPr>
            <w:tcW w:w="68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Northwest Pipeline LLC</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r>
      <w:tr>
        <w:trPr>
          <w:trHeight w:val="238"/>
        </w:trPr>
        <w:tc>
          <w:tcPr>
            <w:tcW w:w="68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Statement of Net Income</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50"/>
        </w:trPr>
        <w:tc>
          <w:tcPr>
            <w:tcW w:w="6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6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68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196"/>
        </w:trPr>
        <w:tc>
          <w:tcPr>
            <w:tcW w:w="6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9"/>
                <w:szCs w:val="19"/>
                <w:color w:val="auto"/>
              </w:rPr>
            </w:pPr>
          </w:p>
        </w:tc>
      </w:tr>
      <w:tr>
        <w:trPr>
          <w:trHeight w:val="22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r>
      <w:tr>
        <w:trPr>
          <w:trHeight w:val="229"/>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service revenues</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23"/>
        </w:trPr>
        <w:tc>
          <w:tcPr>
            <w:tcW w:w="6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Pr>
          <w:p>
            <w:pPr>
              <w:spacing w:after="0"/>
              <w:rPr>
                <w:sz w:val="19"/>
                <w:szCs w:val="19"/>
                <w:color w:val="auto"/>
              </w:rPr>
            </w:pPr>
          </w:p>
        </w:tc>
      </w:tr>
      <w:tr>
        <w:trPr>
          <w:trHeight w:val="270"/>
        </w:trPr>
        <w:tc>
          <w:tcPr>
            <w:tcW w:w="6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r>
      <w:tr>
        <w:trPr>
          <w:trHeight w:val="22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r>
      <w:tr>
        <w:trPr>
          <w:trHeight w:val="230"/>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r>
      <w:tr>
        <w:trPr>
          <w:trHeight w:val="229"/>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r>
      <w:tr>
        <w:trPr>
          <w:trHeight w:val="223"/>
        </w:trPr>
        <w:tc>
          <w:tcPr>
            <w:tcW w:w="6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r>
      <w:tr>
        <w:trPr>
          <w:trHeight w:val="250"/>
        </w:trPr>
        <w:tc>
          <w:tcPr>
            <w:tcW w:w="6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r>
      <w:tr>
        <w:trPr>
          <w:trHeight w:val="270"/>
        </w:trPr>
        <w:tc>
          <w:tcPr>
            <w:tcW w:w="6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equity and borrowed funds used during construction (AFUDC)</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30"/>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70"/>
        </w:trPr>
        <w:tc>
          <w:tcPr>
            <w:tcW w:w="68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spacing w:after="0"/>
              <w:rPr>
                <w:sz w:val="23"/>
                <w:szCs w:val="23"/>
                <w:color w:val="auto"/>
              </w:rPr>
            </w:pPr>
          </w:p>
        </w:tc>
        <w:tc>
          <w:tcPr>
            <w:tcW w:w="20" w:type="dxa"/>
            <w:vAlign w:val="bottom"/>
          </w:tcPr>
          <w:p>
            <w:pPr>
              <w:spacing w:after="0"/>
              <w:rPr>
                <w:sz w:val="23"/>
                <w:szCs w:val="23"/>
                <w:color w:val="auto"/>
              </w:rPr>
            </w:pP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21"/>
                <w:szCs w:val="2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94"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7"/>
              </w:rPr>
              <w:t>Table of Contents</w:t>
            </w:r>
          </w:p>
        </w:tc>
      </w:tr>
      <w:tr>
        <w:trPr>
          <w:trHeight w:val="808"/>
        </w:trPr>
        <w:tc>
          <w:tcPr>
            <w:tcW w:w="4100" w:type="dxa"/>
            <w:vAlign w:val="bottom"/>
          </w:tcPr>
          <w:p>
            <w:pPr>
              <w:spacing w:after="0"/>
              <w:rPr>
                <w:sz w:val="24"/>
                <w:szCs w:val="24"/>
                <w:color w:val="auto"/>
              </w:rPr>
            </w:pPr>
          </w:p>
        </w:tc>
        <w:tc>
          <w:tcPr>
            <w:tcW w:w="4900" w:type="dxa"/>
            <w:vAlign w:val="bottom"/>
            <w:gridSpan w:val="2"/>
          </w:tcPr>
          <w:p>
            <w:pPr>
              <w:jc w:val="right"/>
              <w:ind w:right="2436"/>
              <w:spacing w:after="0"/>
              <w:rPr>
                <w:sz w:val="20"/>
                <w:szCs w:val="20"/>
                <w:color w:val="auto"/>
              </w:rPr>
            </w:pPr>
            <w:r>
              <w:rPr>
                <w:rFonts w:ascii="Times New Roman" w:cs="Times New Roman" w:eastAsia="Times New Roman" w:hAnsi="Times New Roman"/>
                <w:sz w:val="18"/>
                <w:szCs w:val="18"/>
                <w:b w:val="1"/>
                <w:bCs w:val="1"/>
                <w:color w:val="auto"/>
              </w:rPr>
              <w:t>Northwest Pipeline LLC</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r>
      <w:tr>
        <w:trPr>
          <w:trHeight w:val="238"/>
        </w:trPr>
        <w:tc>
          <w:tcPr>
            <w:tcW w:w="4100" w:type="dxa"/>
            <w:vAlign w:val="bottom"/>
          </w:tcPr>
          <w:p>
            <w:pPr>
              <w:spacing w:after="0"/>
              <w:rPr>
                <w:sz w:val="20"/>
                <w:szCs w:val="20"/>
                <w:color w:val="auto"/>
              </w:rPr>
            </w:pPr>
          </w:p>
        </w:tc>
        <w:tc>
          <w:tcPr>
            <w:tcW w:w="4900" w:type="dxa"/>
            <w:vAlign w:val="bottom"/>
            <w:gridSpan w:val="2"/>
          </w:tcPr>
          <w:p>
            <w:pPr>
              <w:jc w:val="right"/>
              <w:ind w:right="2836"/>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43"/>
        </w:trPr>
        <w:tc>
          <w:tcPr>
            <w:tcW w:w="4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
        </w:trPr>
        <w:tc>
          <w:tcPr>
            <w:tcW w:w="4100" w:type="dxa"/>
            <w:vAlign w:val="bottom"/>
          </w:tcPr>
          <w:p>
            <w:pPr>
              <w:spacing w:after="0"/>
              <w:rPr>
                <w:sz w:val="2"/>
                <w:szCs w:val="2"/>
                <w:color w:val="auto"/>
              </w:rPr>
            </w:pPr>
          </w:p>
        </w:tc>
        <w:tc>
          <w:tcPr>
            <w:tcW w:w="49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r>
      <w:tr>
        <w:trPr>
          <w:trHeight w:val="196"/>
        </w:trPr>
        <w:tc>
          <w:tcPr>
            <w:tcW w:w="41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9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0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9"/>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accounts and other receivables: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Advances to affiliate</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9"/>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Trade</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r>
      <w:tr>
        <w:trPr>
          <w:trHeight w:val="23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assets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r>
      <w:tr>
        <w:trPr>
          <w:trHeight w:val="230"/>
        </w:trPr>
        <w:tc>
          <w:tcPr>
            <w:tcW w:w="4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 and deferred charges</w:t>
            </w:r>
          </w:p>
        </w:tc>
        <w:tc>
          <w:tcPr>
            <w:tcW w:w="39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r>
      <w:tr>
        <w:trPr>
          <w:trHeight w:val="223"/>
        </w:trPr>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tcPr>
          <w:p>
            <w:pPr>
              <w:spacing w:after="0"/>
              <w:rPr>
                <w:sz w:val="19"/>
                <w:szCs w:val="19"/>
                <w:color w:val="auto"/>
              </w:rPr>
            </w:pPr>
          </w:p>
        </w:tc>
      </w:tr>
      <w:tr>
        <w:trPr>
          <w:trHeight w:val="108"/>
        </w:trPr>
        <w:tc>
          <w:tcPr>
            <w:tcW w:w="4100" w:type="dxa"/>
            <w:vAlign w:val="bottom"/>
          </w:tcPr>
          <w:p>
            <w:pPr>
              <w:spacing w:after="0"/>
              <w:rPr>
                <w:sz w:val="9"/>
                <w:szCs w:val="9"/>
                <w:color w:val="auto"/>
              </w:rPr>
            </w:pPr>
          </w:p>
        </w:tc>
        <w:tc>
          <w:tcPr>
            <w:tcW w:w="3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60" w:type="dxa"/>
            <w:vAlign w:val="bottom"/>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w:t>
            </w:r>
          </w:p>
        </w:tc>
        <w:tc>
          <w:tcPr>
            <w:tcW w:w="39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r>
      <w:tr>
        <w:trPr>
          <w:trHeight w:val="223"/>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98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60" w:type="dxa"/>
            <w:vAlign w:val="bottom"/>
          </w:tcPr>
          <w:p>
            <w:pPr>
              <w:spacing w:after="0"/>
              <w:rPr>
                <w:sz w:val="19"/>
                <w:szCs w:val="19"/>
                <w:color w:val="auto"/>
              </w:rPr>
            </w:pPr>
          </w:p>
        </w:tc>
      </w:tr>
      <w:tr>
        <w:trPr>
          <w:trHeight w:val="21"/>
        </w:trPr>
        <w:tc>
          <w:tcPr>
            <w:tcW w:w="4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5"/>
        </w:trPr>
        <w:tc>
          <w:tcPr>
            <w:tcW w:w="41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Advances from affiliate</w:t>
            </w:r>
          </w:p>
        </w:tc>
        <w:tc>
          <w:tcPr>
            <w:tcW w:w="4900" w:type="dxa"/>
            <w:vAlign w:val="bottom"/>
            <w:gridSpan w:val="2"/>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Trade</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r>
      <w:tr>
        <w:trPr>
          <w:trHeight w:val="230"/>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Affiliates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liabilities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r>
      <w:tr>
        <w:trPr>
          <w:trHeight w:val="23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9"/>
                <w:szCs w:val="19"/>
                <w:color w:val="auto"/>
              </w:rPr>
            </w:pPr>
          </w:p>
        </w:tc>
      </w:tr>
      <w:tr>
        <w:trPr>
          <w:trHeight w:val="223"/>
        </w:trPr>
        <w:tc>
          <w:tcPr>
            <w:tcW w:w="4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9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60" w:type="dxa"/>
            <w:vAlign w:val="bottom"/>
          </w:tcPr>
          <w:p>
            <w:pPr>
              <w:spacing w:after="0"/>
              <w:rPr>
                <w:sz w:val="19"/>
                <w:szCs w:val="19"/>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19"/>
                <w:szCs w:val="19"/>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and other</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liabilities and commitments (Note 18)</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48"/>
        </w:trPr>
        <w:tc>
          <w:tcPr>
            <w:tcW w:w="41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39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Member’s capital</w:t>
            </w:r>
          </w:p>
        </w:tc>
        <w:tc>
          <w:tcPr>
            <w:tcW w:w="3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60" w:type="dxa"/>
            <w:vAlign w:val="bottom"/>
          </w:tcPr>
          <w:p>
            <w:pPr>
              <w:spacing w:after="0"/>
              <w:rPr>
                <w:sz w:val="19"/>
                <w:szCs w:val="19"/>
                <w:color w:val="auto"/>
              </w:rPr>
            </w:pPr>
          </w:p>
        </w:tc>
      </w:tr>
      <w:tr>
        <w:trPr>
          <w:trHeight w:val="229"/>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9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9"/>
                <w:szCs w:val="19"/>
                <w:color w:val="auto"/>
              </w:rPr>
            </w:pPr>
          </w:p>
        </w:tc>
      </w:tr>
      <w:tr>
        <w:trPr>
          <w:trHeight w:val="223"/>
        </w:trPr>
        <w:tc>
          <w:tcPr>
            <w:tcW w:w="41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member’s equity</w:t>
            </w:r>
          </w:p>
        </w:tc>
        <w:tc>
          <w:tcPr>
            <w:tcW w:w="39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60" w:type="dxa"/>
            <w:vAlign w:val="bottom"/>
          </w:tcPr>
          <w:p>
            <w:pPr>
              <w:spacing w:after="0"/>
              <w:rPr>
                <w:sz w:val="19"/>
                <w:szCs w:val="19"/>
                <w:color w:val="auto"/>
              </w:rPr>
            </w:pPr>
          </w:p>
        </w:tc>
      </w:tr>
      <w:tr>
        <w:trPr>
          <w:trHeight w:val="248"/>
        </w:trPr>
        <w:tc>
          <w:tcPr>
            <w:tcW w:w="4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39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60" w:type="dxa"/>
            <w:vAlign w:val="bottom"/>
          </w:tcPr>
          <w:p>
            <w:pPr>
              <w:spacing w:after="0"/>
              <w:rPr>
                <w:sz w:val="21"/>
                <w:szCs w:val="2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59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9"/>
              </w:rPr>
              <w:t>Table of Contents</w:t>
            </w:r>
          </w:p>
        </w:tc>
      </w:tr>
      <w:tr>
        <w:trPr>
          <w:trHeight w:val="808"/>
        </w:trPr>
        <w:tc>
          <w:tcPr>
            <w:tcW w:w="3320" w:type="dxa"/>
            <w:vAlign w:val="bottom"/>
          </w:tcPr>
          <w:p>
            <w:pPr>
              <w:spacing w:after="0"/>
              <w:rPr>
                <w:sz w:val="24"/>
                <w:szCs w:val="24"/>
                <w:color w:val="auto"/>
              </w:rPr>
            </w:pPr>
          </w:p>
        </w:tc>
        <w:tc>
          <w:tcPr>
            <w:tcW w:w="426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rPr>
              <w:t>Northwest Pipeline LLC</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r>
      <w:tr>
        <w:trPr>
          <w:trHeight w:val="238"/>
        </w:trPr>
        <w:tc>
          <w:tcPr>
            <w:tcW w:w="3320" w:type="dxa"/>
            <w:vAlign w:val="bottom"/>
          </w:tcPr>
          <w:p>
            <w:pPr>
              <w:spacing w:after="0"/>
              <w:rPr>
                <w:sz w:val="20"/>
                <w:szCs w:val="20"/>
                <w:color w:val="auto"/>
              </w:rPr>
            </w:pPr>
          </w:p>
        </w:tc>
        <w:tc>
          <w:tcPr>
            <w:tcW w:w="426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Statement of Changes in Member’s Equity</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99"/>
        </w:trPr>
        <w:tc>
          <w:tcPr>
            <w:tcW w:w="3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3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96"/>
        </w:trPr>
        <w:tc>
          <w:tcPr>
            <w:tcW w:w="3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3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2"/>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Capital:</w:t>
            </w:r>
          </w:p>
        </w:tc>
        <w:tc>
          <w:tcPr>
            <w:tcW w:w="3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6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9"/>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contributions from parent</w:t>
            </w:r>
          </w:p>
        </w:tc>
        <w:tc>
          <w:tcPr>
            <w:tcW w:w="3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3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9"/>
        </w:trPr>
        <w:tc>
          <w:tcPr>
            <w:tcW w:w="3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distributions to parent</w:t>
            </w:r>
          </w:p>
        </w:tc>
        <w:tc>
          <w:tcPr>
            <w:tcW w:w="33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3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Member’s Equity</w:t>
            </w:r>
          </w:p>
        </w:tc>
        <w:tc>
          <w:tcPr>
            <w:tcW w:w="3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0" w:type="dxa"/>
            <w:vAlign w:val="bottom"/>
          </w:tcPr>
          <w:p>
            <w:pPr>
              <w:spacing w:after="0"/>
              <w:rPr>
                <w:sz w:val="1"/>
                <w:szCs w:val="1"/>
                <w:color w:val="auto"/>
              </w:rPr>
            </w:pPr>
          </w:p>
        </w:tc>
      </w:tr>
      <w:tr>
        <w:trPr>
          <w:trHeight w:val="808"/>
        </w:trPr>
        <w:tc>
          <w:tcPr>
            <w:tcW w:w="760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Northwest Pipeline LLC</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60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7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cash provided (used) by operating activities: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Allowance for equity funds used during construction (equity AFUDC)</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Affiliate receivables</w:t>
            </w:r>
          </w:p>
        </w:tc>
        <w:tc>
          <w:tcPr>
            <w:tcW w:w="7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Trade and other accounts receivable</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Inventories</w:t>
            </w:r>
          </w:p>
        </w:tc>
        <w:tc>
          <w:tcPr>
            <w:tcW w:w="7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Trade accounts payable</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Affiliate payables</w:t>
            </w:r>
          </w:p>
        </w:tc>
        <w:tc>
          <w:tcPr>
            <w:tcW w:w="7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Regulatory liabilities</w:t>
            </w:r>
          </w:p>
        </w:tc>
        <w:tc>
          <w:tcPr>
            <w:tcW w:w="7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Regulatory assets</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Regulatory liabilities</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Other - net</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7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distributions to parent</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contributions from parent</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Advances from affiliate, net</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7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 expenditures (1)</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Contributions and advances for construction costs</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Dispositions - net</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Advances to affiliate - net</w:t>
            </w:r>
          </w:p>
        </w:tc>
        <w:tc>
          <w:tcPr>
            <w:tcW w:w="7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70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70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Increases to property, plant, and equipment, exclusive of equity AFUDC</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2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of Combined Notes to Financial Statements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Combined Notes to Financial Statements include information for multiple registrants, specifically The Williams Companies, Inc. (Williams), as well as Transcontinental Gas Pipe Line Company, LLC (Transco) and Northwest Pipeline LLC (NWP), both of which are wholly owned subsidiaries of Williams. References to subsidiaries by name, including equity-method investees, Transco, and NWP, refer exclusively to those businesses and operations.</w:t>
      </w:r>
    </w:p>
    <w:p>
      <w:pPr>
        <w:spacing w:after="0" w:line="1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list indicates the Registrants to which each of the combined notes apply. Specific disclosures within each combined note may apply to all Registrants unless indicated otherwise.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 w:type="dxa"/>
            <w:vAlign w:val="bottom"/>
          </w:tcPr>
          <w:p>
            <w:pPr>
              <w:spacing w:after="0"/>
              <w:rPr>
                <w:sz w:val="20"/>
                <w:szCs w:val="20"/>
                <w:color w:val="auto"/>
              </w:rPr>
            </w:pPr>
          </w:p>
        </w:tc>
        <w:tc>
          <w:tcPr>
            <w:tcW w:w="27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120" w:type="dxa"/>
            <w:vAlign w:val="bottom"/>
          </w:tcPr>
          <w:p>
            <w:pPr>
              <w:spacing w:after="0"/>
              <w:rPr>
                <w:sz w:val="20"/>
                <w:szCs w:val="2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80" w:type="dxa"/>
            <w:vAlign w:val="bottom"/>
          </w:tcPr>
          <w:p>
            <w:pPr>
              <w:spacing w:after="0"/>
              <w:rPr>
                <w:sz w:val="17"/>
                <w:szCs w:val="17"/>
                <w:color w:val="auto"/>
              </w:rPr>
            </w:pPr>
          </w:p>
        </w:tc>
        <w:tc>
          <w:tcPr>
            <w:tcW w:w="7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 1 – Description of Business, Basis of Presentation, and Summary of Significant Accounting</w:t>
            </w: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580" w:type="dxa"/>
            <w:vAlign w:val="bottom"/>
            <w:tcBorders>
              <w:top w:val="single" w:sz="8" w:color="0000FF"/>
              <w:bottom w:val="single" w:sz="8" w:color="0000FF"/>
            </w:tcBorders>
          </w:tcPr>
          <w:p>
            <w:pPr>
              <w:ind w:left="20"/>
              <w:spacing w:after="0" w:line="182" w:lineRule="exact"/>
              <w:rPr>
                <w:sz w:val="20"/>
                <w:szCs w:val="20"/>
                <w:color w:val="auto"/>
              </w:rPr>
            </w:pPr>
            <w:r>
              <w:rPr>
                <w:rFonts w:ascii="Times New Roman" w:cs="Times New Roman" w:eastAsia="Times New Roman" w:hAnsi="Times New Roman"/>
                <w:sz w:val="18"/>
                <w:szCs w:val="18"/>
                <w:color w:val="0000FF"/>
                <w:w w:val="94"/>
              </w:rPr>
              <w:t>Policies</w:t>
            </w:r>
          </w:p>
        </w:tc>
        <w:tc>
          <w:tcPr>
            <w:tcW w:w="520" w:type="dxa"/>
            <w:vAlign w:val="bottom"/>
            <w:tcBorders>
              <w:top w:val="single" w:sz="8" w:color="0000FF"/>
              <w:bottom w:val="single" w:sz="8" w:color="0000FF"/>
            </w:tcBorders>
          </w:tcPr>
          <w:p>
            <w:pPr>
              <w:spacing w:after="0"/>
              <w:rPr>
                <w:sz w:val="17"/>
                <w:szCs w:val="17"/>
                <w:color w:val="auto"/>
              </w:rPr>
            </w:pPr>
          </w:p>
        </w:tc>
        <w:tc>
          <w:tcPr>
            <w:tcW w:w="800" w:type="dxa"/>
            <w:vAlign w:val="bottom"/>
            <w:tcBorders>
              <w:top w:val="single" w:sz="8" w:color="0000FF"/>
              <w:bottom w:val="single" w:sz="8" w:color="0000FF"/>
            </w:tcBorders>
          </w:tcPr>
          <w:p>
            <w:pPr>
              <w:spacing w:after="0"/>
              <w:rPr>
                <w:sz w:val="17"/>
                <w:szCs w:val="17"/>
                <w:color w:val="auto"/>
              </w:rPr>
            </w:pPr>
          </w:p>
        </w:tc>
        <w:tc>
          <w:tcPr>
            <w:tcW w:w="16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100" w:type="dxa"/>
            <w:vAlign w:val="bottom"/>
            <w:tcBorders>
              <w:top w:val="single" w:sz="8" w:color="0000FF"/>
              <w:bottom w:val="single" w:sz="8" w:color="0000FF"/>
            </w:tcBorders>
          </w:tcPr>
          <w:p>
            <w:pPr>
              <w:spacing w:after="0"/>
              <w:rPr>
                <w:sz w:val="17"/>
                <w:szCs w:val="17"/>
                <w:color w:val="auto"/>
              </w:rPr>
            </w:pPr>
          </w:p>
        </w:tc>
        <w:tc>
          <w:tcPr>
            <w:tcW w:w="20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220" w:type="dxa"/>
            <w:vAlign w:val="bottom"/>
            <w:tcBorders>
              <w:top w:val="single" w:sz="8" w:color="0000FF"/>
              <w:bottom w:val="single" w:sz="8" w:color="0000FF"/>
            </w:tcBorders>
          </w:tcPr>
          <w:p>
            <w:pPr>
              <w:spacing w:after="0"/>
              <w:rPr>
                <w:sz w:val="17"/>
                <w:szCs w:val="17"/>
                <w:color w:val="auto"/>
              </w:rPr>
            </w:pPr>
          </w:p>
        </w:tc>
        <w:tc>
          <w:tcPr>
            <w:tcW w:w="22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2500" w:type="dxa"/>
            <w:vAlign w:val="bottom"/>
            <w:tcBorders>
              <w:top w:val="single" w:sz="8" w:color="0000FF"/>
              <w:bottom w:val="single" w:sz="8" w:color="0000FF"/>
            </w:tcBorders>
          </w:tcPr>
          <w:p>
            <w:pPr>
              <w:spacing w:after="0"/>
              <w:rPr>
                <w:sz w:val="17"/>
                <w:szCs w:val="17"/>
                <w:color w:val="auto"/>
              </w:rPr>
            </w:pPr>
          </w:p>
        </w:tc>
        <w:tc>
          <w:tcPr>
            <w:tcW w:w="1020" w:type="dxa"/>
            <w:vAlign w:val="bottom"/>
            <w:tcBorders>
              <w:top w:val="single" w:sz="8" w:color="0000FF"/>
              <w:bottom w:val="single" w:sz="8" w:color="0000FF"/>
            </w:tcBorders>
          </w:tcPr>
          <w:p>
            <w:pPr>
              <w:spacing w:after="0"/>
              <w:rPr>
                <w:sz w:val="17"/>
                <w:szCs w:val="17"/>
                <w:color w:val="auto"/>
              </w:rPr>
            </w:pPr>
          </w:p>
        </w:tc>
        <w:tc>
          <w:tcPr>
            <w:tcW w:w="340" w:type="dxa"/>
            <w:vAlign w:val="bottom"/>
            <w:gridSpan w:val="2"/>
          </w:tcPr>
          <w:p>
            <w:pPr>
              <w:spacing w:after="0"/>
              <w:rPr>
                <w:sz w:val="17"/>
                <w:szCs w:val="17"/>
                <w:color w:val="auto"/>
              </w:rPr>
            </w:pPr>
          </w:p>
        </w:tc>
        <w:tc>
          <w:tcPr>
            <w:tcW w:w="2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Williams, Transco, NWP</w:t>
            </w:r>
          </w:p>
        </w:tc>
        <w:tc>
          <w:tcPr>
            <w:tcW w:w="560" w:type="dxa"/>
            <w:vAlign w:val="bottom"/>
            <w:gridSpan w:val="2"/>
          </w:tcPr>
          <w:p>
            <w:pPr>
              <w:jc w:val="center"/>
              <w:ind w:left="210"/>
              <w:spacing w:after="0" w:line="196" w:lineRule="exact"/>
              <w:rPr>
                <w:sz w:val="20"/>
                <w:szCs w:val="20"/>
                <w:color w:val="auto"/>
              </w:rPr>
            </w:pPr>
            <w:r>
              <w:rPr>
                <w:rFonts w:ascii="Times New Roman" w:cs="Times New Roman" w:eastAsia="Times New Roman" w:hAnsi="Times New Roman"/>
                <w:sz w:val="18"/>
                <w:szCs w:val="18"/>
                <w:color w:val="0000FF"/>
                <w:w w:val="96"/>
              </w:rPr>
              <w:t>112</w:t>
            </w:r>
          </w:p>
        </w:tc>
        <w:tc>
          <w:tcPr>
            <w:tcW w:w="3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2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6"/>
              </w:rPr>
              <w:t>Note 2 – Variable Interest Entities</w:t>
            </w:r>
          </w:p>
        </w:tc>
        <w:tc>
          <w:tcPr>
            <w:tcW w:w="4920" w:type="dxa"/>
            <w:vAlign w:val="bottom"/>
            <w:gridSpan w:val="11"/>
          </w:tcPr>
          <w:p>
            <w:pPr>
              <w:spacing w:after="0"/>
              <w:rPr>
                <w:sz w:val="17"/>
                <w:szCs w:val="17"/>
                <w:color w:val="auto"/>
              </w:rPr>
            </w:pPr>
          </w:p>
        </w:tc>
        <w:tc>
          <w:tcPr>
            <w:tcW w:w="2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Williams</w:t>
            </w:r>
          </w:p>
        </w:tc>
        <w:tc>
          <w:tcPr>
            <w:tcW w:w="8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6"/>
              </w:rPr>
              <w:t>128</w:t>
            </w:r>
          </w:p>
        </w:tc>
      </w:tr>
      <w:tr>
        <w:trPr>
          <w:trHeight w:val="20"/>
        </w:trPr>
        <w:tc>
          <w:tcPr>
            <w:tcW w:w="18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3 – Acquisitions and Divestitures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130</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 4 – Related Party Transactions</w:t>
            </w:r>
          </w:p>
        </w:tc>
        <w:tc>
          <w:tcPr>
            <w:tcW w:w="4540" w:type="dxa"/>
            <w:vAlign w:val="bottom"/>
            <w:gridSpan w:val="8"/>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137</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 5 – Revenue Recognition</w:t>
            </w:r>
          </w:p>
        </w:tc>
        <w:tc>
          <w:tcPr>
            <w:tcW w:w="4740" w:type="dxa"/>
            <w:vAlign w:val="bottom"/>
            <w:gridSpan w:val="9"/>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140</w:t>
            </w:r>
          </w:p>
        </w:tc>
      </w:tr>
      <w:tr>
        <w:trPr>
          <w:trHeight w:val="20"/>
        </w:trPr>
        <w:tc>
          <w:tcPr>
            <w:tcW w:w="18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 6 – Provision (Benefit) for Income Taxes</w:t>
            </w:r>
          </w:p>
        </w:tc>
        <w:tc>
          <w:tcPr>
            <w:tcW w:w="3980" w:type="dxa"/>
            <w:vAlign w:val="bottom"/>
            <w:gridSpan w:val="5"/>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144</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Note 7 – Employee Benefit Plans</w:t>
            </w:r>
          </w:p>
        </w:tc>
        <w:tc>
          <w:tcPr>
            <w:tcW w:w="940" w:type="dxa"/>
            <w:vAlign w:val="bottom"/>
            <w:gridSpan w:val="6"/>
          </w:tcPr>
          <w:p>
            <w:pPr>
              <w:spacing w:after="0"/>
              <w:rPr>
                <w:sz w:val="18"/>
                <w:szCs w:val="18"/>
                <w:color w:val="auto"/>
              </w:rPr>
            </w:pPr>
          </w:p>
        </w:tc>
        <w:tc>
          <w:tcPr>
            <w:tcW w:w="3980" w:type="dxa"/>
            <w:vAlign w:val="bottom"/>
            <w:gridSpan w:val="5"/>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146</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 8 – Investing Activities</w:t>
            </w:r>
          </w:p>
        </w:tc>
        <w:tc>
          <w:tcPr>
            <w:tcW w:w="4920" w:type="dxa"/>
            <w:vAlign w:val="bottom"/>
            <w:gridSpan w:val="11"/>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151</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9 – Property, Plant, and Equipment</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154</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Note 10 – Regulatory Assets and Liabilities</w:t>
            </w:r>
          </w:p>
        </w:tc>
        <w:tc>
          <w:tcPr>
            <w:tcW w:w="4200" w:type="dxa"/>
            <w:vAlign w:val="bottom"/>
            <w:gridSpan w:val="6"/>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156</w:t>
            </w:r>
          </w:p>
        </w:tc>
      </w:tr>
      <w:tr>
        <w:trPr>
          <w:trHeight w:val="20"/>
        </w:trPr>
        <w:tc>
          <w:tcPr>
            <w:tcW w:w="18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11 – Goodwill and Other Intangible Assets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161</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4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 12 – Other Current Liabilities</w:t>
            </w:r>
          </w:p>
        </w:tc>
        <w:tc>
          <w:tcPr>
            <w:tcW w:w="3860" w:type="dxa"/>
            <w:vAlign w:val="bottom"/>
            <w:gridSpan w:val="4"/>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163</w:t>
            </w:r>
          </w:p>
        </w:tc>
      </w:tr>
      <w:tr>
        <w:trPr>
          <w:trHeight w:val="20"/>
        </w:trPr>
        <w:tc>
          <w:tcPr>
            <w:tcW w:w="18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3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Note 13 – Debt and Banking Arrangements</w:t>
            </w:r>
          </w:p>
        </w:tc>
        <w:tc>
          <w:tcPr>
            <w:tcW w:w="4200" w:type="dxa"/>
            <w:vAlign w:val="bottom"/>
            <w:gridSpan w:val="6"/>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164</w:t>
            </w:r>
          </w:p>
        </w:tc>
      </w:tr>
      <w:tr>
        <w:trPr>
          <w:trHeight w:val="20"/>
        </w:trPr>
        <w:tc>
          <w:tcPr>
            <w:tcW w:w="18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Note 14 – Leases</w:t>
            </w:r>
          </w:p>
        </w:tc>
        <w:tc>
          <w:tcPr>
            <w:tcW w:w="1880" w:type="dxa"/>
            <w:vAlign w:val="bottom"/>
            <w:gridSpan w:val="9"/>
          </w:tcPr>
          <w:p>
            <w:pPr>
              <w:spacing w:after="0"/>
              <w:rPr>
                <w:sz w:val="18"/>
                <w:szCs w:val="18"/>
                <w:color w:val="auto"/>
              </w:rPr>
            </w:pPr>
          </w:p>
        </w:tc>
        <w:tc>
          <w:tcPr>
            <w:tcW w:w="4200" w:type="dxa"/>
            <w:vAlign w:val="bottom"/>
            <w:gridSpan w:val="6"/>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171</w:t>
            </w:r>
          </w:p>
        </w:tc>
      </w:tr>
      <w:tr>
        <w:trPr>
          <w:trHeight w:val="20"/>
        </w:trPr>
        <w:tc>
          <w:tcPr>
            <w:tcW w:w="18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15 – Equity-Based Compensation</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173</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59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16 – Fair Value Measurements, Guarantees, and Concentration of Credit Risk</w:t>
            </w:r>
          </w:p>
        </w:tc>
        <w:tc>
          <w:tcPr>
            <w:tcW w:w="1360" w:type="dxa"/>
            <w:vAlign w:val="bottom"/>
            <w:gridSpan w:val="3"/>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175</w:t>
            </w:r>
          </w:p>
        </w:tc>
      </w:tr>
      <w:tr>
        <w:trPr>
          <w:trHeight w:val="20"/>
        </w:trPr>
        <w:tc>
          <w:tcPr>
            <w:tcW w:w="1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Note 17 – Commodity Derivatives</w:t>
            </w:r>
          </w:p>
        </w:tc>
        <w:tc>
          <w:tcPr>
            <w:tcW w:w="4840" w:type="dxa"/>
            <w:vAlign w:val="bottom"/>
            <w:gridSpan w:val="10"/>
          </w:tcPr>
          <w:p>
            <w:pPr>
              <w:spacing w:after="0"/>
              <w:rPr>
                <w:sz w:val="17"/>
                <w:szCs w:val="17"/>
                <w:color w:val="auto"/>
              </w:rPr>
            </w:pPr>
          </w:p>
        </w:tc>
        <w:tc>
          <w:tcPr>
            <w:tcW w:w="2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Williams</w:t>
            </w:r>
          </w:p>
        </w:tc>
        <w:tc>
          <w:tcPr>
            <w:tcW w:w="8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FF"/>
                <w:w w:val="96"/>
              </w:rPr>
              <w:t>179</w:t>
            </w:r>
          </w:p>
        </w:tc>
      </w:tr>
      <w:tr>
        <w:trPr>
          <w:trHeight w:val="20"/>
        </w:trPr>
        <w:tc>
          <w:tcPr>
            <w:tcW w:w="18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0" w:type="dxa"/>
            <w:vAlign w:val="bottom"/>
            <w:gridSpan w:val="6"/>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 18 – Contingencies and Commitments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181</w:t>
            </w:r>
          </w:p>
        </w:tc>
      </w:tr>
      <w:tr>
        <w:trPr>
          <w:trHeight w:val="20"/>
        </w:trPr>
        <w:tc>
          <w:tcPr>
            <w:tcW w:w="18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4200" w:type="dxa"/>
            <w:vAlign w:val="bottom"/>
            <w:tcBorders>
              <w:left w:val="single" w:sz="8" w:color="0000FF"/>
            </w:tcBorders>
            <w:gridSpan w:val="6"/>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22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Note 19 – Segment Disclosures</w:t>
            </w:r>
          </w:p>
        </w:tc>
        <w:tc>
          <w:tcPr>
            <w:tcW w:w="860" w:type="dxa"/>
            <w:vAlign w:val="bottom"/>
            <w:gridSpan w:val="6"/>
          </w:tcPr>
          <w:p>
            <w:pPr>
              <w:spacing w:after="0"/>
              <w:rPr>
                <w:sz w:val="18"/>
                <w:szCs w:val="18"/>
                <w:color w:val="auto"/>
              </w:rPr>
            </w:pPr>
          </w:p>
        </w:tc>
        <w:tc>
          <w:tcPr>
            <w:tcW w:w="4200" w:type="dxa"/>
            <w:vAlign w:val="bottom"/>
            <w:gridSpan w:val="6"/>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185</w:t>
            </w:r>
          </w:p>
        </w:tc>
      </w:tr>
      <w:tr>
        <w:trPr>
          <w:trHeight w:val="20"/>
        </w:trPr>
        <w:tc>
          <w:tcPr>
            <w:tcW w:w="18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5060" w:type="dxa"/>
            <w:vAlign w:val="bottom"/>
            <w:gridSpan w:val="1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Note 20 – Subsequent Event</w:t>
            </w:r>
          </w:p>
        </w:tc>
        <w:tc>
          <w:tcPr>
            <w:tcW w:w="220" w:type="dxa"/>
            <w:vAlign w:val="bottom"/>
            <w:gridSpan w:val="2"/>
          </w:tcPr>
          <w:p>
            <w:pPr>
              <w:spacing w:after="0"/>
              <w:rPr>
                <w:sz w:val="18"/>
                <w:szCs w:val="18"/>
                <w:color w:val="auto"/>
              </w:rPr>
            </w:pPr>
          </w:p>
        </w:tc>
        <w:tc>
          <w:tcPr>
            <w:tcW w:w="5060" w:type="dxa"/>
            <w:vAlign w:val="bottom"/>
            <w:gridSpan w:val="12"/>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190</w:t>
            </w:r>
          </w:p>
        </w:tc>
      </w:tr>
      <w:tr>
        <w:trPr>
          <w:trHeight w:val="20"/>
        </w:trPr>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383" w:lineRule="exact"/>
        <w:rPr>
          <w:sz w:val="20"/>
          <w:szCs w:val="20"/>
          <w:color w:val="auto"/>
        </w:rPr>
      </w:pPr>
    </w:p>
    <w:p>
      <w:pPr>
        <w:ind w:right="3260"/>
        <w:spacing w:after="0" w:line="461" w:lineRule="auto"/>
        <w:rPr>
          <w:sz w:val="20"/>
          <w:szCs w:val="20"/>
          <w:color w:val="auto"/>
        </w:rPr>
      </w:pPr>
      <w:r>
        <w:rPr>
          <w:rFonts w:ascii="Times New Roman" w:cs="Times New Roman" w:eastAsia="Times New Roman" w:hAnsi="Times New Roman"/>
          <w:sz w:val="18"/>
          <w:szCs w:val="18"/>
          <w:b w:val="1"/>
          <w:bCs w:val="1"/>
          <w:color w:val="auto"/>
        </w:rPr>
        <w:t>Note 1 – Description of Business, Basis of Presentation, and Summary of Significant Accounting Policies Description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is a Delaware corporation whose common stock is listed and traded on the New York Stock Exchange. Its operations are located in the United States and are presented within the following reportable segments: Transmission, Power &amp; Gulf; Northeast G&amp;P; West; and Gas &amp; NGL Marketing Services; consistent with the manner in which Williams’ Chief Executive Officer, the chief operating decision maker (CODM), evaluates performance and allocates resources. All remaining business activities, including upstream operations and corporate activities, are included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Transmission, Power &amp; Gulf is comprised of interstate natural gas pipelines and their related natural gas storage facilities including Transco, NWP, and MountainWest Pipelines Holding LLC (MountainWest) and a 50 percent equity-method investment in Gulfstream Natural Gas System, L.L.C. (Gulfstream); natural gas gathering and processing (G&amp;P) and crude oil production handling and transportation assets in the Gulf Coast region, including Discovery Producer Services, LLC (Discovery), a former 60 percent equity-method investment in which Williams acquired the remaining ownership interest in August 2024 (see Note 3 – Acquisitions and Divestitures); and natural gas storage facilities and pipelines providing services in north Texas, and also in Louisiana and Mississippi related to the January 2024 Gulf Coast Storage Acquisition (see Note 3 – Acquisitions and Divestitures). Transmission, Power &amp; Gulf also includes power innovation projects under development that will deliver speed-to-market solutions in power grid-constrained markets. This segment was formerly referred to as Transmission &amp; Gulf of America.</w:t>
      </w:r>
    </w:p>
    <w:p>
      <w:pPr>
        <w:spacing w:after="0" w:line="16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Northeast G&amp;P is comprised of Williams’ midstream gathering, processing, and fractionation businesses in the Marcellus Shale region primarily in Pennsylvania and New York, and the Utica Shale region of eastern Ohio, as well as a 65 percent interest in Ohio Valley Midstream LLC (Northeast JV) (a consolidated variable interest entity, or VIE) which operates in West Virginia, Ohio, and Pennsylvania, a 66 percent interest in Cardinal Gas Services, L.L.C. (Cardinal) (a consolidated VIE) which operates in Ohio, a 50 percent equity-method investment in Blue Racer Midstream LLC (Blue Racer), and Appalachia Midstream Services, LLC, a wholly owned subsidiary that owns equity-method investments with an approximate average 66 percent interest in multiple gas gathering systems in the Marcellus Shale region (Appalachia Midstream Investments).</w:t>
      </w:r>
    </w:p>
    <w:p>
      <w:pPr>
        <w:spacing w:after="0" w:line="14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West is comprised of Williams’ gas gathering, processing, and treating operations in the Denver-Julesberg Basin (DJ Basin) and Piceance regions of Colorado, the southwest and Wamsutter regions of Wyoming, the Barnett Shale region of north-central Texas, the Eagle Ford Shale region of south Texas, and the Haynesville Shale region of east Texas and northwest Louisiana. West also included assets in the Anadarko basin in the Mid-Continent region which were classified as held for sale (see Note 16 – Fair Value Measurements, Guarantees, and Concentration of Credit Risk). This segment also includes Williams’ natural gas liquid (NGL) storage facilities, an undivided 50 percent interest in a NGL fractionator near Conway, Kansas, and a 50 percent equity-method investment in Overland Pass Pipeline Company LLC (OPPL).</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Gas &amp; NGL Marketing Services is comprised of Williams’ NGL and natural gas marketing and trading operations, which include risk management and transactions related to the storage and transportation of natural gas and NGLs on strategically positioned assets, as well as an equity-method investment in Cogentrix Co-Investment Fund, LP (Cogentrix), representing an approximate 10 percent indirect interest in 11 natural gas power plants (see Note 8 – Investing Activities).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is an interstate natural gas transmission company that owns and operates an interstate natural gas pipeline system extending from Texas, Louisiana, Mississippi and the Gulf of America through Alabama, Georgia, South Carolina, North Carolina, Virginia, Maryland, Delaware, Pennsylvania, and New Jersey to the New York City metropolitan area. The system serves customers in Texas and the 12 southeast and Atlantic seaboard states mentioned above, including major metropolitan areas in Georgia, Washington D.C., Maryland, North Carolina, New York, New Jersey, and Pennsylvania. Transco is a single-member limited liability company, and as such, single-member losses are limited to the amount of its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NWP owns and operates an interstate pipeline system for the mainline transmission of natural gas. This system extends from the San Juan Basin in northwestern New Mexico and southwestern Colorado through Colorado, Utah, Wyoming, Idaho, Oregon, and Washington to a point on the Canadian border near Sumas, Washington. NWP is a single-member limited liability company, and as such, single-member losses are limited to the amount of its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During 2023, Williams recorded pre-tax charges of $125 million to </w:t>
      </w:r>
      <w:r>
        <w:rPr>
          <w:rFonts w:ascii="Times New Roman" w:cs="Times New Roman" w:eastAsia="Times New Roman" w:hAnsi="Times New Roman"/>
          <w:sz w:val="18"/>
          <w:szCs w:val="18"/>
          <w:i w:val="1"/>
          <w:iCs w:val="1"/>
          <w:color w:val="auto"/>
        </w:rPr>
        <w:t>Income (loss) from discontinued operations</w:t>
      </w:r>
      <w:r>
        <w:rPr>
          <w:rFonts w:ascii="Times New Roman" w:cs="Times New Roman" w:eastAsia="Times New Roman" w:hAnsi="Times New Roman"/>
          <w:sz w:val="18"/>
          <w:szCs w:val="18"/>
          <w:color w:val="auto"/>
        </w:rPr>
        <w:t xml:space="preserve"> in the Consolidated Statement of Income related to litigation associated with its former Alaska refinery. Payments were made in January 2024 and the claims against Williams are now resolved. Except for this item and unless indicated otherwise, the information in the Combined Notes to Financial Statements relates to continuing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gain from Energy Transfer Litigation Judgment</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Williams received a $627 million payment from Energy Transfer Equity, L.P. (Energy Transfer) for the final order and judgment in connection to a lawsuit for breach of the Agreement and Plan of Merger with Energy Transfer. On the same day, Williams paid attorney fees which had been incurred on a contingent fee basis. This resulted in a net gain of $534 million reported as </w:t>
      </w:r>
      <w:r>
        <w:rPr>
          <w:rFonts w:ascii="Times New Roman" w:cs="Times New Roman" w:eastAsia="Times New Roman" w:hAnsi="Times New Roman"/>
          <w:sz w:val="18"/>
          <w:szCs w:val="18"/>
          <w:i w:val="1"/>
          <w:iCs w:val="1"/>
          <w:color w:val="auto"/>
        </w:rPr>
        <w:t>Net gain from Energy Transfer litigation judgment</w:t>
      </w:r>
      <w:r>
        <w:rPr>
          <w:rFonts w:ascii="Times New Roman" w:cs="Times New Roman" w:eastAsia="Times New Roman" w:hAnsi="Times New Roman"/>
          <w:sz w:val="18"/>
          <w:szCs w:val="18"/>
          <w:color w:val="auto"/>
        </w:rPr>
        <w:t xml:space="preserve"> in the Consolidated Statement of Income for the year ended December 31,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consolidated financial statements include the accounts of all entities that Williams controls and its proportionate interest in the accounts of certain ventures in which it owns an undivided interest. Management’s judgment is required to evaluate whether it controls an entity. Key areas of that evaluation include:</w:t>
      </w:r>
    </w:p>
    <w:p>
      <w:pPr>
        <w:spacing w:after="0" w:line="122"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 entity is a VIE (see Note 2 – Variable Interest Entities);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Williams is the primary beneficiary of a VIE, including evaluating which activities of a VIE most significantly impact its economic performance and the degree of power that Williams and its related parties have over those activities through its variable interests;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events that require reconsideration of whether an entity is a VIE and continuously evaluating whether Williams is a VIE’s primary beneficiary;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other owners in entities that are not VIEs are able to effectively participate in significant decisions that would be expected to be made in the ordinary course of business such that Williams does not have the power to control such entities.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applies the equity method of accounting to investments over which it exercises significant influence but does not control. Distributions received from equity-method investees are presented in the Consolidated Statement of Cash Flows according to the nature of the distributions approach, which classifies distributions received from equity-method investees as either returns on investment (cash inflows from operating activities) or returns of investment (cash inflows from investing activities) based on the nature of the activities of the equity-method investee that generated the distribution.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combined notes. Actual results could differ from those estimates.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estimates and assumptions may include:</w:t>
      </w:r>
    </w:p>
    <w:p>
      <w:pPr>
        <w:spacing w:after="0" w:line="171"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assessments of investments, property, plant, and equipment, and intangible assets;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Litigation-related contingencies;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remediation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of long-lived assets, which are comprised of property, plant, and equipment, and intangible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and/or amortization of equity-method investment basis differences;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retirement obligations (AROs);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fair value of commodity derivatives;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postretirement valuation variables;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regulatory assets and liabilities;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deferred income tax assets and liabilities, including assumptions related to the realization of deferred income tax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including estimates utilized in recognition of deferred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accounting.</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estimates are discussed further throughout these combined notes.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Accounting</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Transco, NWP, and MountainWest are regulated by the Federal Energy Regulatory Commission (FERC), and these regulated entities’ rates may also be negotiated with customers pursuant to the terms of tariffs and FERC policy. Accounting Standards Codification (ASC) Topic 980, “Regulated Operations,” (ASC 980) provides that certain costs that would otherwise be charged to expense should be deferred as regulatory assets, based on the expected recovery from customers in future rates. Likewise, certain actual or anticipated credits that would otherwise reduce expense should be deferred as regulatory liabilities, based on the expected return to customers in future rates. Management’s expected recovery of deferred costs and return of deferred credits generally results from specific decisions by regulators granting such ratemaking treatment. Certain incurred costs and obligations are recorded as regulatory assets or liabilities if, based on regulatory orders or other available evidence, it is probable that the costs or obligations will be included in amounts allowable for recovery or refunded in future rates.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Accounting for operations that are regulated and apply the provisions of ASC 980 can differ from the accounting requirements for nonregulated operations. For example, for regulated operations, allowance for funds used during construction (AFUDC) represents the estimated cost of debt and equity funds applicable to utility plant in the process of construction and is capitalized as a cost of property, plant, and equipment because it constitutes an actual cost of construction under established regulatory practices; nonregulated operations are only allowed to capitalize the cost of debt funds related to construction activities, while a component for equity is prohibited. Management has determined that for its rate-regulated entities, it is appropriate to apply the accounting prescribed by ASC 980 and, accordingly, the accompanying financial statements include the effects of the types of transactions described above that result from regulatory accounting requirements (see Note 10 – Regulatory Assets and Liabilities).</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FERC has prescribed a formula to be used in computing separate allowances for borrowed and equity AFUDC. These allowances are recorded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Transco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right="1940"/>
        <w:spacing w:after="0" w:line="268" w:lineRule="auto"/>
        <w:rPr>
          <w:sz w:val="20"/>
          <w:szCs w:val="20"/>
          <w:color w:val="auto"/>
        </w:rPr>
      </w:pPr>
      <w:r>
        <w:rPr>
          <w:rFonts w:ascii="Times New Roman" w:cs="Times New Roman" w:eastAsia="Times New Roman" w:hAnsi="Times New Roman"/>
          <w:sz w:val="18"/>
          <w:szCs w:val="18"/>
          <w:color w:val="auto"/>
        </w:rPr>
        <w:t xml:space="preserve">Allowance for borrowed funds used during construction </w:t>
      </w:r>
      <w:r>
        <w:rPr>
          <w:rFonts w:ascii="Times New Roman" w:cs="Times New Roman" w:eastAsia="Times New Roman" w:hAnsi="Times New Roman"/>
          <w:sz w:val="18"/>
          <w:szCs w:val="18"/>
          <w:i w:val="1"/>
          <w:iCs w:val="1"/>
          <w:color w:val="auto"/>
        </w:rPr>
        <w:t>Allowance for equity funds used during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7"/>
          <w:szCs w:val="17"/>
          <w:i w:val="1"/>
          <w:iCs w:val="1"/>
          <w:color w:val="auto"/>
        </w:rPr>
        <w:t>Allowance for equity and borrowed funds used during construction (AFUDC)</w:t>
      </w:r>
    </w:p>
    <w:p>
      <w:pPr>
        <w:spacing w:after="0" w:line="3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NWP</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85"/>
        </w:trPr>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20" w:lineRule="exact"/>
        <w:rPr>
          <w:sz w:val="20"/>
          <w:szCs w:val="20"/>
          <w:color w:val="auto"/>
        </w:rPr>
      </w:pPr>
    </w:p>
    <w:p>
      <w:pPr>
        <w:sectPr>
          <w:pgSz w:w="11900" w:h="16838" w:orient="portrait"/>
          <w:cols w:equalWidth="0" w:num="2">
            <w:col w:w="6000" w:space="720"/>
            <w:col w:w="452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borrowed funds used during construction</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Allowance for equity funds used during construction</w:t>
            </w: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Allowance for equity and borrowed funds used during construction (AFUDC)</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Customers in Williams’ gas pipeline businesses, including Transco and NWP, are comprised of public utilities, municipalities, gas marketers and producers, intrastate pipelines, direct industrial users, and electrical power generators. Customers in Williams’ midstream businesses are comprised of oil and natural gas producer counterparties. Customers for Williams’ product sales are comprised of public utilities, gas marketers, and direct industrial users.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Service revenue contracts from Williams’ gas pipeline and midstream businesses, including Transco and NWP, contain a series of distinct services, with the majority of the contracts having a single performance obligation that is satisfied over time as the customer simultaneously receives and consumes the benefits provided. Most of the product sales contracts have a single performance obligation with revenue recognized at a point in time when the products have been sold and delivered to the customer.</w:t>
      </w:r>
    </w:p>
    <w:p>
      <w:pPr>
        <w:spacing w:after="0" w:line="1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customers reimburse Williams for costs it incurs associated with construction of property, plant, and equipment utilized in its operations. For Williams’ rate-regulated gas pipeline businesses, including Transco and NWP, that apply ASC 980, Williams follows FERC guidelines with respect to reimbursement of construction costs. FERC tariffs only allow for cost reimbursement and are non-negotiable in nature; thus, in management’s judgment, the construction activities do not represent an ongoing major and central operation of the gas pipeline businesses and are not within the scope of ASC Topic 606, “Revenue from Contracts with Customers”. Accordingly, cost reimbursements are treated as a reduction to the cost of the constructed asset.</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midstream businesses, reimbursement and service contracts with customers are viewed together as providing the same commercial objective, as Williams has the ability to negotiate the mix of consideration between reimbursements and amounts billed over time. Accordingly, Williams generally recognizes reimbursements of construction costs from customers on a gross basis as a contract liability separate from the associated costs included within property, plant, and equipment. The contract liability is recognized into service revenues as the underlying performance obligations are satisfied.</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Service revenues also include amounts recognized for customer reimbursements allowed under FERC tariffs and contractual provisions, primarily for recoverable power, transportation, and storage costs. These amounts are recorded on a gross basis and recognized in the period the related expense is incurred (see Note 19 – Segment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Gas pipeline businesses</w:t>
      </w:r>
    </w:p>
    <w:p>
      <w:pPr>
        <w:spacing w:after="0" w:line="187"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Revenues from the regulated interstate natural gas pipeline businesses, including Transco and NWP, which are subject to regulation by certain state and federal authorities, including the FERC, include both firm and interruptible transportation and storage contracts. Firm transportation and storage agreements provide for a daily or monthly reservation charge based on the pipeline or storage capacity reserved, and a commodity charge based on the volume of natural gas delivered/stored, each at rates specified in the FERC tariffs or based on negotiated contractual rates, with contract terms that are generally long-term in nature. Most of the long-term contracts contain an evergreen provision, which allows the contracts to be extended for periods primarily up to one year in length an indefinite number of times following the specified contract term and until terminated generally by either party. Interruptible transportation and storage agreements provide for a volumetric charge based on actual commodity transportation or storage utilized in the period in which those services are provided, and the contracts are generally limited to one-month periods or less. The related performance obligations include the following:</w:t>
      </w:r>
    </w:p>
    <w:p>
      <w:pPr>
        <w:spacing w:after="0" w:line="148" w:lineRule="exact"/>
        <w:rPr>
          <w:sz w:val="20"/>
          <w:szCs w:val="20"/>
          <w:color w:val="auto"/>
        </w:rPr>
      </w:pPr>
    </w:p>
    <w:p>
      <w:pPr>
        <w:jc w:val="both"/>
        <w:ind w:left="980" w:right="20" w:hanging="324"/>
        <w:spacing w:after="0" w:line="266" w:lineRule="auto"/>
        <w:tabs>
          <w:tab w:leader="none" w:pos="975"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Firm transportation or storage under firm transportation and storage contracts—an integrated package of services typically constituting a single performance obligation, which includes standing ready to provide such services and receiving, transporting or storing (as applicable), and redelivering commodities;</w:t>
      </w:r>
    </w:p>
    <w:p>
      <w:pPr>
        <w:spacing w:after="0" w:line="148" w:lineRule="exact"/>
        <w:rPr>
          <w:rFonts w:ascii="Times New Roman" w:cs="Times New Roman" w:eastAsia="Times New Roman" w:hAnsi="Times New Roman"/>
          <w:sz w:val="18"/>
          <w:szCs w:val="18"/>
          <w:i w:val="1"/>
          <w:iCs w:val="1"/>
          <w:color w:val="auto"/>
        </w:rPr>
      </w:pPr>
    </w:p>
    <w:p>
      <w:pPr>
        <w:jc w:val="both"/>
        <w:ind w:left="980" w:hanging="324"/>
        <w:spacing w:after="0" w:line="266" w:lineRule="auto"/>
        <w:tabs>
          <w:tab w:leader="none" w:pos="975"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Interruptible transportation or storage under interruptible transportation and storage contracts—an integrated package of services typically constituting a single performance obligation once scheduled, which includes receiving, transporting or storing (as applicable), and redelivering commodities.</w:t>
      </w:r>
    </w:p>
    <w:p>
      <w:pPr>
        <w:spacing w:after="0" w:line="13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In situations where, in management’s judgment, it considers the integrated package of services as a single performance obligation, which represents a majority of its interstate natural gas pipeline contracts with customers, management does not consider there to be multiple performance obligations because the nature of the overall promise in the contract is to stand ready (with regard to firm transportation and storage contracts), receive, transport or store, and redeliver natural gas to the customer; therefore, revenue is recognized over time upon satisfaction of the daily stand ready performance obligation.</w:t>
      </w:r>
    </w:p>
    <w:p>
      <w:pPr>
        <w:spacing w:after="0" w:line="143"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Revenues are recognized for reservation charges over the performance obligation period, which is the contract term, regardless of the volume of natural gas that is transported or stored. Revenues for commodity charges from both firm and interruptible transportation services and storage services are recognized when natural gas is delivered at the agreed upon delivery point or when natural gas is injected or withdrawn from the storage facility because they specifically relate to efforts to provide these distinct services. Generally, reservation charges and commodity charges in the interstate natural gas pipeline businesses are recognized as revenue in the same period they are invoiced to its customers. As a result of the ratemaking process, certain amounts collected may be subject to refund upon the issuance of final orders by the FERC in pending rate proceedings. Management uses judgment to record estimates of rate refund liabilities considering its and other third-party regulatory proceedings, advice of counsel, and other risks.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Midstream businesses</w:t>
      </w:r>
    </w:p>
    <w:p>
      <w:pPr>
        <w:spacing w:after="0" w:line="187"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Revenues from the nonregulated gathering, processing, transportation, and storage midstream businesses include contracts for natural gas gathering, processing, treating, compression, transportation, and other related services with contract terms that are generally long-term in nature and may extend up to the production life of the associated reservoir. Additionally, the midstream businesses generate revenues from fees charged for storing customers’ natural gas and NGLs, generally under prepaid contracted storage capacity contracts. In situations where, in management’s judgment, it provides an integrated package of services combined into a single performance obligation, which represents a majority of this class of contracts with customers, Williams does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consider there to be multiple performance obligations because the nature of the overall promise in the contract is to provide gathering, processing, transportation, storage, and related services resulting in the delivery, or redelivery in the context of storage services, of pipeline-quality natural gas and NGLs to the customer. As such, revenue is recognized at the daily completion of the integrated package of services as the integrated package represents a single performance obligation. Additionally, certain contracts in the midstream businesses contain fixed or upfront payment terms that result in the deferral of revenues until such services have been performed or such capacity has been made available.</w:t>
      </w:r>
    </w:p>
    <w:p>
      <w:pPr>
        <w:spacing w:after="0" w:line="156"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Williams also earns revenues from offshore crude oil and natural gas gathering and transportation and offshore production handling. These services represent an integrated package of services and are considered a single distinct performance obligation for which Williams recognizes revenues as the services are provided to the customer.</w:t>
      </w:r>
    </w:p>
    <w:p>
      <w:pPr>
        <w:spacing w:after="0" w:line="135" w:lineRule="exact"/>
        <w:rPr>
          <w:sz w:val="20"/>
          <w:szCs w:val="20"/>
          <w:color w:val="auto"/>
        </w:rPr>
      </w:pPr>
    </w:p>
    <w:p>
      <w:pPr>
        <w:jc w:val="both"/>
        <w:ind w:left="340" w:firstLine="324"/>
        <w:spacing w:after="0" w:line="253" w:lineRule="auto"/>
        <w:rPr>
          <w:sz w:val="20"/>
          <w:szCs w:val="20"/>
          <w:color w:val="auto"/>
        </w:rPr>
      </w:pPr>
      <w:r>
        <w:rPr>
          <w:rFonts w:ascii="Times New Roman" w:cs="Times New Roman" w:eastAsia="Times New Roman" w:hAnsi="Times New Roman"/>
          <w:sz w:val="18"/>
          <w:szCs w:val="18"/>
          <w:color w:val="auto"/>
        </w:rPr>
        <w:t>Williams generally earns a contractually stated fee per unit for the volume of product transported, gathered, processed, or stored. The rate is generally fixed; however, certain contracts contain variable rates that are subject to change based on commodity prices or levels of throughput. In addition, Williams has contracts with contractually stated fees that decline over the contract term, such as declines based on the passage of time periods or achievement of cumulative throughput amounts. The excess of consideration received over revenue recognized results in the deferral of those amounts until future periods based on a units of production or straight-line methodology as these methods appropriately match the consumption of services provided to the customer. The units of production methodology requires the use of production estimates that are uncertain and the use of judgment when developing estimates of future production volumes, thus impacting the rate of revenue recognition. Production estimates are monitored as circumstances and events warrant. Certain of Williams’ gas gathering and processing agreements have minimum volume commitments (MVC). If a customer under such an agreement fails to meet its MVC for a specified period (thus not exercising all the contractual rights to gathering and processing services within the specified period, herein referred to as “breakage”), it is obligated to pay a contractually determined fee based upon the shortfall between the actual gathered or processed volumes and the MVC for the period contained in the contract. When Williams concludes, based on management’s judgment, it is probable that the customer will not exercise all or a portion of its remaining rights, Williams recognizes revenue associated with such breakage amount in proportion to the pattern of exercised rights within the respective MVC period.</w:t>
      </w:r>
    </w:p>
    <w:p>
      <w:pPr>
        <w:spacing w:after="0" w:line="147"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keep-whole and percent-of-liquids processing contracts, Williams receives commodity consideration in the form of NGLs and takes title to the NGLs at the tailgate of the plant. Williams recognizes such commodity consideration as service revenue based on the market value of the NGLs retained at the time the processing is provided. The current market value, as opposed to the market value at the contract inception date, is used due to a combination of factors, including the fact that the volume, mix, and market price of NGL consideration to be received is unknown at the time of contract execution and is not specified in Williams’ contracts with customers. Additionally, product sales revenue (discussed below) is recognized upon the sale of the NGLs to a third party based on the sales price at the time of sale. As a result, revenue is recognized in the Consolidated Statement of Income both at the time the processing service is provided in </w:t>
      </w:r>
      <w:r>
        <w:rPr>
          <w:rFonts w:ascii="Times New Roman" w:cs="Times New Roman" w:eastAsia="Times New Roman" w:hAnsi="Times New Roman"/>
          <w:sz w:val="18"/>
          <w:szCs w:val="18"/>
          <w:i w:val="1"/>
          <w:iCs w:val="1"/>
          <w:color w:val="auto"/>
        </w:rPr>
        <w:t>Service revenues – commodity consideration</w:t>
      </w:r>
      <w:r>
        <w:rPr>
          <w:rFonts w:ascii="Times New Roman" w:cs="Times New Roman" w:eastAsia="Times New Roman" w:hAnsi="Times New Roman"/>
          <w:sz w:val="18"/>
          <w:szCs w:val="18"/>
          <w:color w:val="auto"/>
        </w:rPr>
        <w:t xml:space="preserve"> and at the time the NGLs retained as part of the processing service are sold in </w:t>
      </w:r>
      <w:r>
        <w:rPr>
          <w:rFonts w:ascii="Times New Roman" w:cs="Times New Roman" w:eastAsia="Times New Roman" w:hAnsi="Times New Roman"/>
          <w:sz w:val="18"/>
          <w:szCs w:val="18"/>
          <w:i w:val="1"/>
          <w:iCs w:val="1"/>
          <w:color w:val="auto"/>
        </w:rPr>
        <w:t>Product sales</w:t>
      </w:r>
      <w:r>
        <w:rPr>
          <w:rFonts w:ascii="Times New Roman" w:cs="Times New Roman" w:eastAsia="Times New Roman" w:hAnsi="Times New Roman"/>
          <w:sz w:val="18"/>
          <w:szCs w:val="18"/>
          <w:color w:val="auto"/>
        </w:rPr>
        <w:t>. The recognition of revenue related to commodity consideration has the impact of increasing the book value of NGL inventory, resulting in higher cost of goods sold at the time of sale.</w:t>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course of providing transportation services to customers of the gas pipeline businesses, including Transco, and gathering and processing services to customers of the midstream businesses, different quantities of natural gas may be received from customers than the quantities delivered on behalf of those customers. The resulting imbalances are primarily settled monthly through the purchase or sale of natural gas with each customer under terms provided for in FERC tariffs or gathering and processing agreements, respectively. Revenue is recognized for Transco from the sale of natural gas upon settlement of imbalances (see Gas Imbalances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certain instances, Williams purchases NGLs, crude oil, and natural gas from its oil and natural gas producer customers which Williams remarkets. In addition, Williams retains NGLs as consideration in certain processing arrangements, as discussed above in the Service Revenues - Midstream businesses section. Williams also markets natural gas and NGLs from the production at its upstream properties. Williams recognizes revenue from the sale of these commodities when the products have been sold and delivered. Williams’ product sales contracts are primarily short-term contracts based on prevailing market rates at the time of the transaction.</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purchases natural gas for storage when the current market price paid to buy and transport natural gas plus the cost to store and finance the natural gas is less than an estimated, forward market price that can be received in the future, resulting in positive net product sales. Commodity-based exchange-traded futures contracts and over-the-counter (OTC) contracts are used to sell natural gas at that future price to substantially protect the natural gas revenues that will ultimately be realized when the stored natural gas is sold (see Commodity Derivative Instruments and Hedging Activities). Additionally, Williams enters into transactions to secure transportation capacity between delivery points in order to serve its customers and various markets.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physical purchase, transportation, storage, and sale of natural gas associated with these natural gas purchases are accounted for on a weighted-average cost or accrual basis, as appropriate, unlike the fair value basis utilized for the commodity derivatives used to mitigate the natural gas price risk associated with the storage and transportation portfolio. Monthly demand charges are incurred for contracted storage and transportation capacity and payments associated with asset management agreements and these demand charges and payments are recognized in the Consolidated Statement of Income in the period they are incurred.</w:t>
      </w:r>
    </w:p>
    <w:p>
      <w:pPr>
        <w:spacing w:after="0" w:line="1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Williams is acting as an agent for its natural gas marketing customers and engages in energy trading activities, its natural gas marketing revenues are presented net of the related costs of those activities.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Williams</w:t>
      </w:r>
    </w:p>
    <w:p>
      <w:pPr>
        <w:spacing w:after="0" w:line="18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Contract assets in the Consolidated Balance Sheet primarily consist of payments or fee discounts given to midstream customers and may also include revenue recognized under contracts containing MVC features whereby management has concluded it is probable there will be a short-fall payment at the end of the current MVC period, which typically follows the calendar year, and that a significant reversal of revenue recognized currently for the future MVC payment will not occur. Current and noncurrent contract assets are included within </w:t>
      </w:r>
      <w:r>
        <w:rPr>
          <w:rFonts w:ascii="Times New Roman" w:cs="Times New Roman" w:eastAsia="Times New Roman" w:hAnsi="Times New Roman"/>
          <w:sz w:val="18"/>
          <w:szCs w:val="18"/>
          <w:i w:val="1"/>
          <w:iCs w:val="1"/>
          <w:color w:val="auto"/>
        </w:rPr>
        <w:t>Other current assets and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charges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Regulatory assets, deferred charges, and other, </w:t>
      </w:r>
      <w:r>
        <w:rPr>
          <w:rFonts w:ascii="Times New Roman" w:cs="Times New Roman" w:eastAsia="Times New Roman" w:hAnsi="Times New Roman"/>
          <w:sz w:val="18"/>
          <w:szCs w:val="18"/>
          <w:color w:val="auto"/>
        </w:rPr>
        <w:t>respectively, in the Consolidated Balance Sheet.</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Transco and NWP</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Transco’s contract assets primarily result from the modification of an existing contract resulting in increased rates. NWP’s contract assets consist of discounts provided to customers in the beginning of the contract term that are recognized on a straight-line basis over the entire contract term resulting in revenue recognition occurring prior to actual billings. Current and noncurrent contract assets are included within </w:t>
      </w:r>
      <w:r>
        <w:rPr>
          <w:rFonts w:ascii="Times New Roman" w:cs="Times New Roman" w:eastAsia="Times New Roman" w:hAnsi="Times New Roman"/>
          <w:sz w:val="18"/>
          <w:szCs w:val="18"/>
          <w:i w:val="1"/>
          <w:iCs w:val="1"/>
          <w:color w:val="auto"/>
        </w:rPr>
        <w:t>Other current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deferred charges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Deferred charges and other, </w:t>
      </w:r>
      <w:r>
        <w:rPr>
          <w:rFonts w:ascii="Times New Roman" w:cs="Times New Roman" w:eastAsia="Times New Roman" w:hAnsi="Times New Roman"/>
          <w:sz w:val="18"/>
          <w:szCs w:val="18"/>
          <w:color w:val="auto"/>
        </w:rPr>
        <w:t>respectively, in the Balance Sheets.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Williams</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Contract liabilities in the Consolidated Balance Sheet consist of advance payments primarily from midstream business customers which include construction reimbursements, prepayments, and other billings and transactions for which future services are to be provided under the contract. These amounts are deferred until recognized in revenue when the associated performance obligation has been satisfied, which is primarily based on a units of production methodology over the remaining contractual service periods, and are classified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 xml:space="preserve">current or noncurrent according to when such amounts are expected to be recognized. Current and noncurrent contract liabilities are included within </w:t>
      </w: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Regulatory liabilities, deferred income, and other</w:t>
      </w:r>
      <w:r>
        <w:rPr>
          <w:rFonts w:ascii="Times New Roman" w:cs="Times New Roman" w:eastAsia="Times New Roman" w:hAnsi="Times New Roman"/>
          <w:sz w:val="18"/>
          <w:szCs w:val="18"/>
          <w:color w:val="auto"/>
        </w:rPr>
        <w:t>, respectively, in the Consolidated Balance Sheet.</w:t>
      </w:r>
    </w:p>
    <w:p>
      <w:pPr>
        <w:spacing w:after="0" w:line="135"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Contracts requiring advance payments and the recognition of contract liabilities are evaluated to determine whether the advance payments provide Williams with a significant financing benefit. This determination is based on the combined effect of the expected length of time between when Williams transfers the promised good or service to the customer, when the customer pays for those goods or services, and the prevailing interest rates. Williams has assessed its contracts for significant financing components and determined, in management’s judgment, that one group of contracts entered into in contemplation of one another for certain capital reimbursements contains a significant financing component. As a result, Williams recognizes noncash interest expense based on the effective interest method and revenue (noncash) is recognized when the underlying asset is placed into service utilizing a units of production or straight-line methodology over the life of the corresponding customer contract.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Transco</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Transco’s contract liabilities consist of advance payments from customers, which include prepayments, and other billings for which future services are to be provided under the contract. Transco assessed its contracts and determined none contain a significant financing component. These liabilities are classified as current or noncurrent according to when such amounts are expected to be recognized. Current and noncurrent contract liabilities are included within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charges and other,</w:t>
      </w:r>
      <w:r>
        <w:rPr>
          <w:rFonts w:ascii="Times New Roman" w:cs="Times New Roman" w:eastAsia="Times New Roman" w:hAnsi="Times New Roman"/>
          <w:sz w:val="18"/>
          <w:szCs w:val="18"/>
          <w:color w:val="auto"/>
        </w:rPr>
        <w:t xml:space="preserve"> respectively, in the Balance Sheets.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Derivative Instruments and Hedging Activities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is exposed to commodity price risk and utilizes derivatives to manage a portion of its commodity price risk. These instruments consist primarily of swaps, futures, and forward contracts involving short- and long-term purchases and sales of energy commodities. Williams purchases natural gas for storage when the current market price paid to buy and transport natural gas plus the cost to store and finance the natural gas is less than an estimated, forward market price that can be received in the future. Additionally, Williams enters into transactions to secure transportation capacity between delivery points in order to serve its customers and various markets. Commodity-based exchange-traded futures contracts and OTC contracts are used to capture the price differential or spread between the locations served by the capacity in order to substantially protect the natural gas revenues that will ultimately be realized when the physical flow of natural gas between receipt and delivery points occurs. Some commodity derivative contracts require physical delivery as opposed to financial settlement, and this type of derivative is both common and prevalent within the natural gas marketing operations. These contracts generally meet the definition of derivatives. When a commodity derivative contract is settled physically, any cumulative unrealized gain or loss is reversed, and the contract price is recognized in the respective line item in the Consolidated Statement of Income representing the actual price of the underlying goods being delivered. Williams does not apply hedge accounting to any commodity derivative instruments.</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Unrealized gains and losses from physically settled commodity derivative contracts for commodity sales transactions are recognized in </w:t>
      </w:r>
      <w:r>
        <w:rPr>
          <w:rFonts w:ascii="Times New Roman" w:cs="Times New Roman" w:eastAsia="Times New Roman" w:hAnsi="Times New Roman"/>
          <w:sz w:val="18"/>
          <w:szCs w:val="18"/>
          <w:i w:val="1"/>
          <w:iCs w:val="1"/>
          <w:color w:val="auto"/>
        </w:rPr>
        <w:t>Net gain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commodity derivatives </w:t>
      </w:r>
      <w:r>
        <w:rPr>
          <w:rFonts w:ascii="Times New Roman" w:cs="Times New Roman" w:eastAsia="Times New Roman" w:hAnsi="Times New Roman"/>
          <w:sz w:val="18"/>
          <w:szCs w:val="18"/>
          <w:color w:val="auto"/>
        </w:rPr>
        <w:t>in the Consolidated Statement of Income. Realized and unrealized gains and losses from non-designated commodity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contracts for commodity sales transactions that are financially settled are reported in </w:t>
      </w:r>
      <w:r>
        <w:rPr>
          <w:rFonts w:ascii="Times New Roman" w:cs="Times New Roman" w:eastAsia="Times New Roman" w:hAnsi="Times New Roman"/>
          <w:sz w:val="18"/>
          <w:szCs w:val="18"/>
          <w:i w:val="1"/>
          <w:iCs w:val="1"/>
          <w:color w:val="auto"/>
        </w:rPr>
        <w:t>Net gain (loss) from commodity derivatives</w:t>
      </w:r>
      <w:r>
        <w:rPr>
          <w:rFonts w:ascii="Times New Roman" w:cs="Times New Roman" w:eastAsia="Times New Roman" w:hAnsi="Times New Roman"/>
          <w:sz w:val="18"/>
          <w:szCs w:val="18"/>
          <w:color w:val="auto"/>
        </w:rPr>
        <w:t xml:space="preserve"> in the Consolidated Statement of Income. Net gains and losses from derivatives for shrink gas purchases for processing plants are reported in </w:t>
      </w:r>
      <w:r>
        <w:rPr>
          <w:rFonts w:ascii="Times New Roman" w:cs="Times New Roman" w:eastAsia="Times New Roman" w:hAnsi="Times New Roman"/>
          <w:sz w:val="18"/>
          <w:szCs w:val="18"/>
          <w:i w:val="1"/>
          <w:iCs w:val="1"/>
          <w:color w:val="auto"/>
        </w:rPr>
        <w:t>Net processing commodity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in the Consolidated Statement of Income. See Note 17 – Commodity Derivatives for further discussion.</w:t>
      </w:r>
    </w:p>
    <w:p>
      <w:pPr>
        <w:spacing w:after="0" w:line="15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Williams reports the fair value of derivatives, except those for which the normal purchases and normal sales exception has been elected, in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Regulatory assets, deferred charges, and other; Derivative liabilities</w:t>
      </w:r>
      <w:r>
        <w:rPr>
          <w:rFonts w:ascii="Times New Roman" w:cs="Times New Roman" w:eastAsia="Times New Roman" w:hAnsi="Times New Roman"/>
          <w:sz w:val="18"/>
          <w:szCs w:val="18"/>
          <w:color w:val="auto"/>
        </w:rPr>
        <w:t>; or</w:t>
      </w:r>
      <w:r>
        <w:rPr>
          <w:rFonts w:ascii="Times New Roman" w:cs="Times New Roman" w:eastAsia="Times New Roman" w:hAnsi="Times New Roman"/>
          <w:sz w:val="18"/>
          <w:szCs w:val="18"/>
          <w:i w:val="1"/>
          <w:iCs w:val="1"/>
          <w:color w:val="auto"/>
        </w:rPr>
        <w:t xml:space="preserve"> Regulatory liabilities, deferred income, and other </w:t>
      </w:r>
      <w:r>
        <w:rPr>
          <w:rFonts w:ascii="Times New Roman" w:cs="Times New Roman" w:eastAsia="Times New Roman" w:hAnsi="Times New Roman"/>
          <w:sz w:val="18"/>
          <w:szCs w:val="18"/>
          <w:color w:val="auto"/>
        </w:rPr>
        <w:t>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These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 presented on a net basis and reflect the netting of asset and liability positions permitted under the terms of master netting arrangements and cash held on deposit in margin accounts that Williams has received or remitted to collateralize certain derivative positions. Williams determines the current and noncurrent classification based on the timing of expected future cash flows of individual trades.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accounting for the changes in fair value of a commodity derivative can be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Derivative Treatment</w:t>
            </w:r>
          </w:p>
        </w:tc>
        <w:tc>
          <w:tcPr>
            <w:tcW w:w="546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Accounting Method</w:t>
            </w:r>
          </w:p>
        </w:tc>
      </w:tr>
      <w:tr>
        <w:trPr>
          <w:trHeight w:val="218"/>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Normal purchases and normal sales exception</w:t>
            </w:r>
          </w:p>
        </w:tc>
        <w:tc>
          <w:tcPr>
            <w:tcW w:w="320" w:type="dxa"/>
            <w:vAlign w:val="bottom"/>
          </w:tcPr>
          <w:p>
            <w:pPr>
              <w:spacing w:after="0"/>
              <w:rPr>
                <w:sz w:val="18"/>
                <w:szCs w:val="18"/>
                <w:color w:val="auto"/>
              </w:rPr>
            </w:pPr>
          </w:p>
        </w:tc>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Accrual accounting</w:t>
            </w:r>
          </w:p>
        </w:tc>
      </w:tr>
      <w:tr>
        <w:trPr>
          <w:trHeight w:val="23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derivatives</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Mark-to-market accounting</w:t>
            </w: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may elect the normal purchases and normal sales exception for certain short- and long-term purchases and sales of physical energy commodities. Under accrual accounting, any change in the fair value of these derivatives is not reflected in the Consolidated Balance Sheet after the initial election of the exception.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Capitalized</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Williams capitalizes interest for its nonregulated entities using the weighted-average interest rate on debt, excluding debt issued by Transco, NWP, and MountainWest. This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in Williams’ Consolidated Statement of Income.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Williams capitalizes interest for its regulated interstate natural gas pipelines, including Transco, NWP, and MountainWest, using rates calculated in accordance with the FERC from each regulated entity’s borrowed funds and internally generated funds (equity AFUDC) (see Regulatory Accounting). The former is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and the latter is included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 xml:space="preserve"> in Williams’ Consolidated Statement of Income and </w:t>
      </w:r>
      <w:r>
        <w:rPr>
          <w:rFonts w:ascii="Times New Roman" w:cs="Times New Roman" w:eastAsia="Times New Roman" w:hAnsi="Times New Roman"/>
          <w:sz w:val="18"/>
          <w:szCs w:val="18"/>
          <w:i w:val="1"/>
          <w:iCs w:val="1"/>
          <w:color w:val="auto"/>
        </w:rPr>
        <w:t>Allowance for equity and borrowed funds used during construction (AFUDC)</w:t>
      </w:r>
      <w:r>
        <w:rPr>
          <w:rFonts w:ascii="Times New Roman" w:cs="Times New Roman" w:eastAsia="Times New Roman" w:hAnsi="Times New Roman"/>
          <w:sz w:val="18"/>
          <w:szCs w:val="18"/>
          <w:color w:val="auto"/>
        </w:rPr>
        <w:t xml:space="preserve"> in Transco and NWP’s Statement of Net Income (see Note 9 – Property, Plant, and Equipment).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8"/>
          <w:szCs w:val="18"/>
          <w:color w:val="272727"/>
        </w:rPr>
        <w:t>includes the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636"/>
        </w:rPr>
        <w:t>of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72727"/>
        </w:rPr>
        <w:t>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636"/>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72727"/>
        </w:rPr>
        <w:t>subsidiaries and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636"/>
        </w:rPr>
        <w:t>from its 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72727"/>
        </w:rPr>
        <w:t>partnershi</w:t>
      </w:r>
      <w:r>
        <w:rPr>
          <w:rFonts w:ascii="Times New Roman" w:cs="Times New Roman" w:eastAsia="Times New Roman" w:hAnsi="Times New Roman"/>
          <w:sz w:val="18"/>
          <w:szCs w:val="18"/>
          <w:color w:val="363636"/>
        </w:rPr>
        <w:t>ps, as well as income from Transco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63636"/>
        </w:rPr>
        <w:t xml:space="preserve">and NWP which are treated as pass-through entities for state and local income tax purposes, in its consolidated </w:t>
      </w:r>
      <w:r>
        <w:rPr>
          <w:rFonts w:ascii="Times New Roman" w:cs="Times New Roman" w:eastAsia="Times New Roman" w:hAnsi="Times New Roman"/>
          <w:sz w:val="18"/>
          <w:szCs w:val="18"/>
          <w:color w:val="272727"/>
        </w:rPr>
        <w:t>fed</w:t>
      </w:r>
      <w:r>
        <w:rPr>
          <w:rFonts w:ascii="Times New Roman" w:cs="Times New Roman" w:eastAsia="Times New Roman" w:hAnsi="Times New Roman"/>
          <w:sz w:val="18"/>
          <w:szCs w:val="18"/>
          <w:color w:val="454545"/>
        </w:rPr>
        <w:t>e</w:t>
      </w:r>
      <w:r>
        <w:rPr>
          <w:rFonts w:ascii="Times New Roman" w:cs="Times New Roman" w:eastAsia="Times New Roman" w:hAnsi="Times New Roman"/>
          <w:sz w:val="18"/>
          <w:szCs w:val="18"/>
          <w:color w:val="272727"/>
        </w:rPr>
        <w:t>ral income tax return</w:t>
      </w:r>
      <w:r>
        <w:rPr>
          <w:rFonts w:ascii="Times New Roman" w:cs="Times New Roman" w:eastAsia="Times New Roman" w:hAnsi="Times New Roman"/>
          <w:sz w:val="18"/>
          <w:szCs w:val="18"/>
          <w:color w:val="363636"/>
        </w:rPr>
        <w:t xml:space="preserve"> and also files </w:t>
      </w:r>
      <w:r>
        <w:rPr>
          <w:rFonts w:ascii="Times New Roman" w:cs="Times New Roman" w:eastAsia="Times New Roman" w:hAnsi="Times New Roman"/>
          <w:sz w:val="18"/>
          <w:szCs w:val="18"/>
          <w:color w:val="272727"/>
        </w:rPr>
        <w:t>tax</w:t>
      </w:r>
      <w:r>
        <w:rPr>
          <w:rFonts w:ascii="Times New Roman" w:cs="Times New Roman" w:eastAsia="Times New Roman" w:hAnsi="Times New Roman"/>
          <w:sz w:val="18"/>
          <w:szCs w:val="18"/>
          <w:color w:val="363636"/>
        </w:rPr>
        <w:t xml:space="preserve"> </w:t>
      </w:r>
      <w:r>
        <w:rPr>
          <w:rFonts w:ascii="Times New Roman" w:cs="Times New Roman" w:eastAsia="Times New Roman" w:hAnsi="Times New Roman"/>
          <w:sz w:val="18"/>
          <w:szCs w:val="18"/>
          <w:color w:val="272727"/>
        </w:rPr>
        <w:t>return</w:t>
      </w:r>
      <w:r>
        <w:rPr>
          <w:rFonts w:ascii="Times New Roman" w:cs="Times New Roman" w:eastAsia="Times New Roman" w:hAnsi="Times New Roman"/>
          <w:sz w:val="18"/>
          <w:szCs w:val="18"/>
          <w:color w:val="454545"/>
        </w:rPr>
        <w:t>s</w:t>
      </w:r>
      <w:r>
        <w:rPr>
          <w:rFonts w:ascii="Times New Roman" w:cs="Times New Roman" w:eastAsia="Times New Roman" w:hAnsi="Times New Roman"/>
          <w:sz w:val="18"/>
          <w:szCs w:val="18"/>
          <w:color w:val="272727"/>
        </w:rPr>
        <w:t xml:space="preserve"> in </w:t>
      </w:r>
      <w:r>
        <w:rPr>
          <w:rFonts w:ascii="Times New Roman" w:cs="Times New Roman" w:eastAsia="Times New Roman" w:hAnsi="Times New Roman"/>
          <w:sz w:val="18"/>
          <w:szCs w:val="18"/>
          <w:color w:val="363636"/>
        </w:rPr>
        <w:t>various</w:t>
      </w:r>
      <w:r>
        <w:rPr>
          <w:rFonts w:ascii="Times New Roman" w:cs="Times New Roman" w:eastAsia="Times New Roman" w:hAnsi="Times New Roman"/>
          <w:sz w:val="18"/>
          <w:szCs w:val="18"/>
          <w:color w:val="272727"/>
        </w:rPr>
        <w:t xml:space="preserve"> foreign and </w:t>
      </w:r>
      <w:r>
        <w:rPr>
          <w:rFonts w:ascii="Times New Roman" w:cs="Times New Roman" w:eastAsia="Times New Roman" w:hAnsi="Times New Roman"/>
          <w:sz w:val="18"/>
          <w:szCs w:val="18"/>
          <w:color w:val="363636"/>
        </w:rPr>
        <w:t>state</w:t>
      </w:r>
      <w:r>
        <w:rPr>
          <w:rFonts w:ascii="Times New Roman" w:cs="Times New Roman" w:eastAsia="Times New Roman" w:hAnsi="Times New Roman"/>
          <w:sz w:val="18"/>
          <w:szCs w:val="18"/>
          <w:color w:val="272727"/>
        </w:rPr>
        <w:t xml:space="preserve"> jurisdictions as required</w:t>
      </w:r>
      <w:r>
        <w:rPr>
          <w:rFonts w:ascii="Times New Roman" w:cs="Times New Roman" w:eastAsia="Times New Roman" w:hAnsi="Times New Roman"/>
          <w:sz w:val="18"/>
          <w:szCs w:val="18"/>
          <w:color w:val="454545"/>
        </w:rPr>
        <w:t>.</w:t>
      </w:r>
      <w:r>
        <w:rPr>
          <w:rFonts w:ascii="Times New Roman" w:cs="Times New Roman" w:eastAsia="Times New Roman" w:hAnsi="Times New Roman"/>
          <w:sz w:val="18"/>
          <w:szCs w:val="18"/>
          <w:color w:val="272727"/>
        </w:rPr>
        <w:t xml:space="preserve"> Deferred income taxes are </w:t>
      </w:r>
      <w:r>
        <w:rPr>
          <w:rFonts w:ascii="Times New Roman" w:cs="Times New Roman" w:eastAsia="Times New Roman" w:hAnsi="Times New Roman"/>
          <w:sz w:val="18"/>
          <w:szCs w:val="18"/>
          <w:color w:val="363636"/>
        </w:rPr>
        <w:t>computed</w:t>
      </w:r>
      <w:r>
        <w:rPr>
          <w:rFonts w:ascii="Times New Roman" w:cs="Times New Roman" w:eastAsia="Times New Roman" w:hAnsi="Times New Roman"/>
          <w:sz w:val="18"/>
          <w:szCs w:val="18"/>
          <w:color w:val="272727"/>
        </w:rPr>
        <w:t xml:space="preserve"> using the liability </w:t>
      </w:r>
      <w:r>
        <w:rPr>
          <w:rFonts w:ascii="Times New Roman" w:cs="Times New Roman" w:eastAsia="Times New Roman" w:hAnsi="Times New Roman"/>
          <w:sz w:val="18"/>
          <w:szCs w:val="18"/>
          <w:color w:val="363636"/>
        </w:rPr>
        <w:t>method</w:t>
      </w:r>
      <w:r>
        <w:rPr>
          <w:rFonts w:ascii="Times New Roman" w:cs="Times New Roman" w:eastAsia="Times New Roman" w:hAnsi="Times New Roman"/>
          <w:sz w:val="18"/>
          <w:szCs w:val="18"/>
          <w:color w:val="272727"/>
        </w:rPr>
        <w:t xml:space="preserve"> and are provided </w:t>
      </w:r>
      <w:r>
        <w:rPr>
          <w:rFonts w:ascii="Times New Roman" w:cs="Times New Roman" w:eastAsia="Times New Roman" w:hAnsi="Times New Roman"/>
          <w:sz w:val="18"/>
          <w:szCs w:val="18"/>
          <w:color w:val="363636"/>
        </w:rPr>
        <w:t>on all</w:t>
      </w:r>
      <w:r>
        <w:rPr>
          <w:rFonts w:ascii="Times New Roman" w:cs="Times New Roman" w:eastAsia="Times New Roman" w:hAnsi="Times New Roman"/>
          <w:sz w:val="18"/>
          <w:szCs w:val="18"/>
          <w:color w:val="272727"/>
        </w:rPr>
        <w:t xml:space="preserve"> temporary differences between the </w:t>
      </w:r>
      <w:r>
        <w:rPr>
          <w:rFonts w:ascii="Times New Roman" w:cs="Times New Roman" w:eastAsia="Times New Roman" w:hAnsi="Times New Roman"/>
          <w:sz w:val="18"/>
          <w:szCs w:val="18"/>
          <w:color w:val="363636"/>
        </w:rPr>
        <w:t>financial</w:t>
      </w:r>
      <w:r>
        <w:rPr>
          <w:rFonts w:ascii="Times New Roman" w:cs="Times New Roman" w:eastAsia="Times New Roman" w:hAnsi="Times New Roman"/>
          <w:sz w:val="18"/>
          <w:szCs w:val="18"/>
          <w:color w:val="272727"/>
        </w:rPr>
        <w:t xml:space="preserve"> basis and the tax basis </w:t>
      </w:r>
      <w:r>
        <w:rPr>
          <w:rFonts w:ascii="Times New Roman" w:cs="Times New Roman" w:eastAsia="Times New Roman" w:hAnsi="Times New Roman"/>
          <w:sz w:val="18"/>
          <w:szCs w:val="18"/>
          <w:color w:val="363636"/>
        </w:rPr>
        <w:t>of its assets</w:t>
      </w:r>
      <w:r>
        <w:rPr>
          <w:rFonts w:ascii="Times New Roman" w:cs="Times New Roman" w:eastAsia="Times New Roman" w:hAnsi="Times New Roman"/>
          <w:sz w:val="18"/>
          <w:szCs w:val="18"/>
          <w:color w:val="272727"/>
        </w:rPr>
        <w:t xml:space="preserve"> and </w:t>
      </w:r>
      <w:r>
        <w:rPr>
          <w:rFonts w:ascii="Times New Roman" w:cs="Times New Roman" w:eastAsia="Times New Roman" w:hAnsi="Times New Roman"/>
          <w:sz w:val="18"/>
          <w:szCs w:val="18"/>
          <w:color w:val="363636"/>
        </w:rPr>
        <w:t>liabilities. Management’s</w:t>
      </w:r>
      <w:r>
        <w:rPr>
          <w:rFonts w:ascii="Times New Roman" w:cs="Times New Roman" w:eastAsia="Times New Roman" w:hAnsi="Times New Roman"/>
          <w:sz w:val="18"/>
          <w:szCs w:val="18"/>
          <w:color w:val="272727"/>
        </w:rPr>
        <w:t xml:space="preserve"> </w:t>
      </w:r>
      <w:r>
        <w:rPr>
          <w:rFonts w:ascii="Times New Roman" w:cs="Times New Roman" w:eastAsia="Times New Roman" w:hAnsi="Times New Roman"/>
          <w:sz w:val="18"/>
          <w:szCs w:val="18"/>
          <w:color w:val="000000"/>
        </w:rPr>
        <w:t>judgment</w:t>
      </w:r>
      <w:r>
        <w:rPr>
          <w:rFonts w:ascii="Times New Roman" w:cs="Times New Roman" w:eastAsia="Times New Roman" w:hAnsi="Times New Roman"/>
          <w:sz w:val="18"/>
          <w:szCs w:val="18"/>
          <w:color w:val="272727"/>
        </w:rPr>
        <w:t xml:space="preserve"> </w:t>
      </w:r>
      <w:r>
        <w:rPr>
          <w:rFonts w:ascii="Times New Roman" w:cs="Times New Roman" w:eastAsia="Times New Roman" w:hAnsi="Times New Roman"/>
          <w:sz w:val="18"/>
          <w:szCs w:val="18"/>
          <w:color w:val="363636"/>
        </w:rPr>
        <w:t>and income</w:t>
      </w:r>
      <w:r>
        <w:rPr>
          <w:rFonts w:ascii="Times New Roman" w:cs="Times New Roman" w:eastAsia="Times New Roman" w:hAnsi="Times New Roman"/>
          <w:sz w:val="18"/>
          <w:szCs w:val="18"/>
          <w:color w:val="272727"/>
        </w:rPr>
        <w:t xml:space="preserve"> tax </w:t>
      </w:r>
      <w:r>
        <w:rPr>
          <w:rFonts w:ascii="Times New Roman" w:cs="Times New Roman" w:eastAsia="Times New Roman" w:hAnsi="Times New Roman"/>
          <w:sz w:val="18"/>
          <w:szCs w:val="18"/>
          <w:color w:val="363636"/>
        </w:rPr>
        <w:t>assumptions</w:t>
      </w:r>
      <w:r>
        <w:rPr>
          <w:rFonts w:ascii="Times New Roman" w:cs="Times New Roman" w:eastAsia="Times New Roman" w:hAnsi="Times New Roman"/>
          <w:sz w:val="18"/>
          <w:szCs w:val="18"/>
          <w:color w:val="272727"/>
        </w:rPr>
        <w:t xml:space="preserve"> are used </w:t>
      </w:r>
      <w:r>
        <w:rPr>
          <w:rFonts w:ascii="Times New Roman" w:cs="Times New Roman" w:eastAsia="Times New Roman" w:hAnsi="Times New Roman"/>
          <w:sz w:val="18"/>
          <w:szCs w:val="18"/>
          <w:color w:val="363636"/>
        </w:rPr>
        <w:t>to</w:t>
      </w:r>
      <w:r>
        <w:rPr>
          <w:rFonts w:ascii="Times New Roman" w:cs="Times New Roman" w:eastAsia="Times New Roman" w:hAnsi="Times New Roman"/>
          <w:sz w:val="18"/>
          <w:szCs w:val="18"/>
          <w:color w:val="272727"/>
        </w:rPr>
        <w:t xml:space="preserve"> determine the </w:t>
      </w:r>
      <w:r>
        <w:rPr>
          <w:rFonts w:ascii="Times New Roman" w:cs="Times New Roman" w:eastAsia="Times New Roman" w:hAnsi="Times New Roman"/>
          <w:sz w:val="18"/>
          <w:szCs w:val="18"/>
          <w:color w:val="363636"/>
        </w:rPr>
        <w:t>levels, if</w:t>
      </w:r>
      <w:r>
        <w:rPr>
          <w:rFonts w:ascii="Times New Roman" w:cs="Times New Roman" w:eastAsia="Times New Roman" w:hAnsi="Times New Roman"/>
          <w:sz w:val="18"/>
          <w:szCs w:val="18"/>
          <w:color w:val="272727"/>
        </w:rPr>
        <w:t xml:space="preserve"> any, of </w:t>
      </w:r>
      <w:r>
        <w:rPr>
          <w:rFonts w:ascii="Times New Roman" w:cs="Times New Roman" w:eastAsia="Times New Roman" w:hAnsi="Times New Roman"/>
          <w:sz w:val="18"/>
          <w:szCs w:val="18"/>
          <w:color w:val="454545"/>
        </w:rPr>
        <w:t>v</w:t>
      </w:r>
      <w:r>
        <w:rPr>
          <w:rFonts w:ascii="Times New Roman" w:cs="Times New Roman" w:eastAsia="Times New Roman" w:hAnsi="Times New Roman"/>
          <w:sz w:val="18"/>
          <w:szCs w:val="18"/>
          <w:color w:val="272727"/>
        </w:rPr>
        <w:t xml:space="preserve">aluation </w:t>
      </w:r>
      <w:r>
        <w:rPr>
          <w:rFonts w:ascii="Times New Roman" w:cs="Times New Roman" w:eastAsia="Times New Roman" w:hAnsi="Times New Roman"/>
          <w:sz w:val="18"/>
          <w:szCs w:val="18"/>
          <w:color w:val="363636"/>
        </w:rPr>
        <w:t>allowances associated with</w:t>
      </w:r>
      <w:r>
        <w:rPr>
          <w:rFonts w:ascii="Times New Roman" w:cs="Times New Roman" w:eastAsia="Times New Roman" w:hAnsi="Times New Roman"/>
          <w:sz w:val="18"/>
          <w:szCs w:val="18"/>
          <w:color w:val="272727"/>
        </w:rPr>
        <w:t xml:space="preserve"> deferred tax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Common Share</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8"/>
          <w:szCs w:val="18"/>
          <w:i w:val="1"/>
          <w:iCs w:val="1"/>
          <w:color w:val="auto"/>
        </w:rPr>
        <w:t>Basic earnings (loss) per common share</w:t>
      </w:r>
      <w:r>
        <w:rPr>
          <w:rFonts w:ascii="Times New Roman" w:cs="Times New Roman" w:eastAsia="Times New Roman" w:hAnsi="Times New Roman"/>
          <w:sz w:val="18"/>
          <w:szCs w:val="18"/>
          <w:color w:val="auto"/>
        </w:rPr>
        <w:t xml:space="preserve"> in the Consolidated Statement of Income is based on the sum of the weighted-average number of common shares outstanding and vested restricted stock units. </w:t>
      </w:r>
      <w:r>
        <w:rPr>
          <w:rFonts w:ascii="Times New Roman" w:cs="Times New Roman" w:eastAsia="Times New Roman" w:hAnsi="Times New Roman"/>
          <w:sz w:val="18"/>
          <w:szCs w:val="18"/>
          <w:i w:val="1"/>
          <w:iCs w:val="1"/>
          <w:color w:val="auto"/>
        </w:rPr>
        <w:t>Diluted earnings (loss) per common share</w:t>
      </w:r>
      <w:r>
        <w:rPr>
          <w:rFonts w:ascii="Times New Roman" w:cs="Times New Roman" w:eastAsia="Times New Roman" w:hAnsi="Times New Roman"/>
          <w:sz w:val="18"/>
          <w:szCs w:val="18"/>
          <w:color w:val="auto"/>
        </w:rPr>
        <w:t xml:space="preserve"> in the Consolidated Statement of Income primarily includes any dilutive effect of nonvested restricted stock units and stock options. </w:t>
      </w:r>
      <w:r>
        <w:rPr>
          <w:rFonts w:ascii="Times New Roman" w:cs="Times New Roman" w:eastAsia="Times New Roman" w:hAnsi="Times New Roman"/>
          <w:sz w:val="18"/>
          <w:szCs w:val="18"/>
          <w:i w:val="1"/>
          <w:iCs w:val="1"/>
          <w:color w:val="auto"/>
        </w:rPr>
        <w:t>Diluted earnings (loss) per common share</w:t>
      </w:r>
      <w:r>
        <w:rPr>
          <w:rFonts w:ascii="Times New Roman" w:cs="Times New Roman" w:eastAsia="Times New Roman" w:hAnsi="Times New Roman"/>
          <w:sz w:val="18"/>
          <w:szCs w:val="18"/>
          <w:color w:val="auto"/>
        </w:rPr>
        <w:t xml:space="preserve"> may also include any dilutive effect of Williams’ preferred stock. </w:t>
      </w:r>
      <w:r>
        <w:rPr>
          <w:rFonts w:ascii="Times New Roman" w:cs="Times New Roman" w:eastAsia="Times New Roman" w:hAnsi="Times New Roman"/>
          <w:sz w:val="18"/>
          <w:szCs w:val="18"/>
          <w:i w:val="1"/>
          <w:iCs w:val="1"/>
          <w:color w:val="auto"/>
        </w:rPr>
        <w:t>Diluted earnings (loss) per common share</w:t>
      </w:r>
      <w:r>
        <w:rPr>
          <w:rFonts w:ascii="Times New Roman" w:cs="Times New Roman" w:eastAsia="Times New Roman" w:hAnsi="Times New Roman"/>
          <w:sz w:val="18"/>
          <w:szCs w:val="18"/>
          <w:color w:val="auto"/>
        </w:rPr>
        <w:t xml:space="preserve"> is calculated using the treasury-stock method.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in the Consolidated Balance Sheet consist of highly liquid investments with original maturities of three months or less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Accounts receivable are carried on a gross basis, with no discounting, less an allowance for doubtful accounts. Management estimates the allowance for doubtful accounts, considering current expected credit losses using a forward-looking “expected loss” model, the financial condition of its customers, and the age of past due accounts. The majority of trade receivable balances are due within 30 days. Management monitors the credit quality of its counterparties through review of collection trends, credit ratings, and other analyses, such as bankruptcy monitoring. Williams’ financial assets from its natural gas transmission business, natural gas storage business, gathering, processing and transportation business, marketing business, and upstream operations, as applicable, are segregated into separate pools for evaluation due to different counterparty risks inherent in each business, with Transco’s and NWP’s financial assets each evaluated as one pool. Changes in counterparty risk factors could lead to reassessment of the composition of financial assets as one pool, separate pools, or the need for additional pools. Management calculates its allowance for credit losses incorporating an aging method. In estimating its expected credit losses, management utilizes historical loss rates over many years, which for Williams includes periods of both high and low commodity prices. Transco’s and NWP’s expected credit loss estimates consider both internal and external forward-looking commodity price expectations, as well as counterparty credit ratings, and factors impacting near-term liquidity.</w:t>
      </w:r>
    </w:p>
    <w:p>
      <w:pPr>
        <w:spacing w:after="0" w:line="1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Commodity prices could have a significant impact on a portion of Williams’ gathering and processing and upstream counterparties’ financial health and ability to satisfy current obligations. Williams’ expected credit loss estimate considers both internal and external forward-looking commodity price expectations, as well as counterparty credit ratings, and factors impacting near-term liquidity. In addition, Williams’ expected credit loss estimate considers potential contractual, physical, and commercial protections and outcomes in the case of a counterparty bankruptcy. The physical location and nature of Williams’ services help to mitigate collectability concerns of its gathering and processing producer customers. Williams’ gathering lines in many cases are physically connected to the customers’ wellheads and pads, and there may not be alternative gathering lines nearby. The construction of gathering systems is capital intensive and it would be costly for others to replicate, especially considering the depletion to date of the associated reserves. As a result, Williams plays a critical role in getting customers’ production from the wellhead to a marketable condition and location. This tends to reduce collectability risk as Williams’ services enable producers to generate operating cash flows. Commodity price movements generally do not impact the majority of Williams’ natural gas transmission businesses customers’ financial condition.</w:t>
      </w:r>
    </w:p>
    <w:p>
      <w:pPr>
        <w:spacing w:after="0" w:line="1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also provides marketing and risk management services to retail and wholesale gas marketers, utility companies, upstream producers, and industrial customers. These counterparties utilize netting agreements that enable Williams to net receivables and payables by counterparty upon settlement. Williams also nets across product lines and against cash collateral received to collateralize receivable positions, provided the netting and cash collateral agreements include such provisions. While the amounts due from, or owed to, Williams’ counterparties are settled net, these amounts are recorded on a gross basis in the Consolidated Balance Sheet as accounts receivable and accounts payable.</w:t>
      </w:r>
    </w:p>
    <w:p>
      <w:pPr>
        <w:spacing w:after="0" w:line="1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Extended payment terms are not offered and payments are typically received within one month. Receivables are considered past due if full payment is not received by the contractual due date. Past due accounts are generally written off against the allowance for doubtful accounts only after all collection attempts have been exhausted. Neither Williams, Transco, nor NWP have a material amount of significantly aged receivables at December 31, 2025 or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Imbalances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Transco</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transports gas on various pipeline systems which may deliver different quantities of gas on Transco’s behalf than the quantities of gas received from Transco. These transactions result in gas transportation and exchange imbalance receivables and payables which are recovered or repaid in cash or through the receipt or delivery of gas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future and are recorded in the accompanying Balance Sheet. Revenues received from the cash-out of transportation imbalances in excess of costs incurred are deferred and offset by the deferral of costs incurred in excess of revenues received. At the end of each annual August through July reporting period, if the cumulative revenues received exceed the costs incurred, the over-recovered amounts are applied to any prior under-recovery balance or refunded. If the cumulative revenues received are less than the costs incurred, the net under-recovered amounts are carried forward and offset against any future net over-recoveries that may occur in a subsequent annual reporting period. These under-recoveries or over-recoveries are recognized as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Regulatory liabilities, </w:t>
      </w:r>
      <w:r>
        <w:rPr>
          <w:rFonts w:ascii="Times New Roman" w:cs="Times New Roman" w:eastAsia="Times New Roman" w:hAnsi="Times New Roman"/>
          <w:sz w:val="18"/>
          <w:szCs w:val="18"/>
          <w:color w:val="auto"/>
        </w:rPr>
        <w:t>respectively, in Transco’s Balance Sheet (see Note 10 – Regulatory Assets and Liabilities).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settlement of imbalances requires agreement between the pipelines and shippers as to allocations of volumes to specific transportation contracts and timing of delivery of gas based on operational conditions. These imbalances are classified as </w:t>
      </w:r>
      <w:r>
        <w:rPr>
          <w:rFonts w:ascii="Times New Roman" w:cs="Times New Roman" w:eastAsia="Times New Roman" w:hAnsi="Times New Roman"/>
          <w:sz w:val="18"/>
          <w:szCs w:val="18"/>
          <w:i w:val="1"/>
          <w:iCs w:val="1"/>
          <w:color w:val="auto"/>
        </w:rPr>
        <w:t>Other current assets and deferred charges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in Transco’s Balance Sheet (see Note 10 – Regulatory Assets and Liabilities). Transco utilizes the average cost method of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imbalances.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NWP</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the course of providing transportation services to customers, NWP may receive different quantities of natural gas from customers than the quantities delivered on behalf of those customers or consumed in fuel to operate NWP’s system. The resulting customer imbalances are typically settled through the receipt or delivery of gas in the future based on the timelines outlined in NWP’s tariff, whereas the over-recovery or under-recovery of fuel is cleared up through NWP’s semi-annual fuel tracker. Customer imbalances to be repaid or recovered in-kind are recorded as </w:t>
      </w:r>
      <w:r>
        <w:rPr>
          <w:rFonts w:ascii="Times New Roman" w:cs="Times New Roman" w:eastAsia="Times New Roman" w:hAnsi="Times New Roman"/>
          <w:sz w:val="18"/>
          <w:szCs w:val="18"/>
          <w:i w:val="1"/>
          <w:iCs w:val="1"/>
          <w:color w:val="auto"/>
        </w:rPr>
        <w:t>Other current assets and deferred charges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NWP’s Balance Sheet. The under recovery of fuel is recorded as </w:t>
      </w:r>
      <w:r>
        <w:rPr>
          <w:rFonts w:ascii="Times New Roman" w:cs="Times New Roman" w:eastAsia="Times New Roman" w:hAnsi="Times New Roman"/>
          <w:sz w:val="18"/>
          <w:szCs w:val="18"/>
          <w:i w:val="1"/>
          <w:iCs w:val="1"/>
          <w:color w:val="auto"/>
        </w:rPr>
        <w:t>Regulatory assets</w:t>
      </w:r>
      <w:r>
        <w:rPr>
          <w:rFonts w:ascii="Times New Roman" w:cs="Times New Roman" w:eastAsia="Times New Roman" w:hAnsi="Times New Roman"/>
          <w:sz w:val="18"/>
          <w:szCs w:val="18"/>
          <w:color w:val="auto"/>
        </w:rPr>
        <w:t xml:space="preserve"> and the over recovery is recorded in </w:t>
      </w:r>
      <w:r>
        <w:rPr>
          <w:rFonts w:ascii="Times New Roman" w:cs="Times New Roman" w:eastAsia="Times New Roman" w:hAnsi="Times New Roman"/>
          <w:sz w:val="18"/>
          <w:szCs w:val="18"/>
          <w:i w:val="1"/>
          <w:iCs w:val="1"/>
          <w:color w:val="auto"/>
        </w:rPr>
        <w:t xml:space="preserve">Regulatory liabilities </w:t>
      </w:r>
      <w:r>
        <w:rPr>
          <w:rFonts w:ascii="Times New Roman" w:cs="Times New Roman" w:eastAsia="Times New Roman" w:hAnsi="Times New Roman"/>
          <w:sz w:val="18"/>
          <w:szCs w:val="18"/>
          <w:color w:val="auto"/>
        </w:rPr>
        <w:t>in NWP’s Balance Sheet (see Note 10 – Regulatory Assets and Liabilities). These imbalances are valued at published spot rates.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in Williams’ Consolidated Balance Sheet primarily consist of NGLs, materials and supplies, and natural gas in underground storage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stated at the lower of cost or net realizable value. The cost of inventories is primarily determined using the average cost method.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in Transco’s Balance Sheet primarily consist of materials and supplies and natural gas in underground storage.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in NWP’s Balance Sheet primarily consist of materials and supplies.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 and NWP Environmental Matters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Transco and NWP are subject to federal, state, and local environmental laws and regulations. Environmental expenditures are expensed or capitalized depending on the economic benefit and potential for rate recovery. These entities believe that expenditures required to meet applicable environmental laws and regulations are prudently incurred in the ordinary course of business and that such expenditures would be permitted to be recovered through rates with limited exceptions.</w:t>
      </w:r>
    </w:p>
    <w:p>
      <w:pPr>
        <w:spacing w:after="0" w:line="13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Climate Commitment Act of the state of Washington, which established a market-based cap-and-invest program, NWP is required to obtain emission allowances for the carbon emissions from nine of NWP’s thirteen compressor stations within the state of Washington whose annual carbon emissions exceed 25,000 metric tons of carbon dioxide equivalent at least once since 2015. NWP records the purchased emission allowances at cost and the associated accumulated interest to a regulatory asset. The difference between the allowances held and the allowances required based on actual emissions for the period is measured using an estimate based on NWP’s most recent cost of allowances and is accrued to a current liability and to a regulatory asset. NWP’s Petition for Approval of Pre-Filing Stipulation and Settlement Agreement (Settlement) in Docket No. RP22-1155, which FERC approved in 2022, allows NWP to recover the costs of purchasing allowances under the program in its next rate case (see Note 18 – Contingencies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plant, and equipment is initially recorded at cost. The carrying value of these assets is based on estimates, assumptions, and judgments relative to capitalized costs, useful lives, and salvage values. For the Transco, NWP, and MountainWest interstate natural gas pipelines, these estimates, assumptions and judgments reflect FERC regulations, as well as historical experience and expectations regarding future industry conditions and operations. The FERC identifies installation, construction and replacement costs that are to be capitalized. All other costs are expensed as incurred.</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regulated entities, Transco, NWP and MountainWest provide for depreciation primarily under the composite (group) method using straight-line FERC-prescribed rates. Under this method, assets with similar lives and characteristics are grouped and depreciated as one asset. These regulated entities’ depreciation rates are subject to change each time these regulated entities file a general rate case with the FERC. Included in Transco’s and NWP’s depreciation rates is a negative salvage component (net cost of removal) that Transco and NWP currently collect in rates and record as a regulatory liability in the Balance Sheets (see Note 10 – Regulatory Assets and Liabilities).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for Williams’ nonregulated entities is provided primarily on the straight-line method over estimated useful lives.</w:t>
      </w:r>
    </w:p>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Williams follows the successful efforts method of accounting for its upstream properties. Its oil and gas producing property costs are depleted using the units of production method.</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Gains or losses from the ordinary sale or retirement of property, plant, and equipment for the Transco, NWP, and MountainWest interstate natural gas pipelines are credited or charged to accumulated depreciation; certain other gains or losses are recorded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included in </w:t>
      </w: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in the statements of income. Gains or losses from the ordinary sale or retirement of property, plant, and equipment for Williams’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nonregulated assets are primarily recorded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included in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 xml:space="preserve"> in the Consolidated Statement of Income.</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Ordinary maintenance and repair costs are generally expensed as incurred. Costs of major renewals and replacements are capitalized as property, plant, and equipment.</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Williams records a liability and increases the basis in the underlying asset for the present value of each expected future ARO at the time the liability is initially incurred, typically when the asset is acquired or constructed. For Williams’ upstream properties, the ARO is recorded based on Williams’ working interest in the underlying properties. As regulated entities, Transco’s and NWP’s depreciation expense and accretion expense are offset and recorded as a regulatory asset as the regulated entities expect to recover these accretion expenses in future rates and measure changes in the liability due to passage of time by applying an interest rate to the liability balance. This step is recognized as an increase in the carrying amount of the liability and as a corresponding accretion expense included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 xml:space="preserve"> in the Consolidated Statement of Income. The regulatory asset is amortized commensurate with these regulated entities’ collection of those costs in rates.</w:t>
      </w:r>
    </w:p>
    <w:p>
      <w:pPr>
        <w:spacing w:after="0" w:line="148"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Measurements of AROs include, as a component of future expected costs, an estimate of the price that a third party would demand, and could expect to receive, for bearing the uncertainties inherent in the obligations, sometimes referred to as a market-risk premium. These measurements incorporate assumptions that are subject to annual review and potential revision, including inflation rates, current removal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estimates, discount rates, and the estimated remaining useful life of the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Goodwill included within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 xml:space="preserve"> in Williams’ Consolidated Balance Sheet, as of December 31, 2025, represents the excess of the consideration, plus the fair value of any noncontrolling interest or any previously held equity interest, over the fair value of the net assets acquired. It is not subject to amortization but is evaluated annually as of October for impairment or more frequently if impairment indicators are present that would indicate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 more likely than not that the fair value of the reporting unit is less than its carrying amount. Management first performs a qualitative assessment to test goodwill on a reporting unit by reporting unit basis to determine whether it is more likely than not that the fair value of a reporting unit is less than its carrying amount. If necessary, management then compares its estimate of fair value of the reporting unit to its carrying amount, including goodwill. Judgments and assumptions are inherent in management’s estimates of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Identifiable Intangible Assets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Williams’ other identifiable intangible assets included within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 xml:space="preserve"> in the Consolidated Balance Sheet are primarily related to gas gathering, processing, and fractionation customer relationships. Williams’ other identifiable intangible assets are generally amortized on a straight-line basis over the period in which these assets contribute to its cash flows. Williams evaluates these assets for changes in the expected remaining useful lives and reflects any changes prospectively through amortization over the revised remaining useful life.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Property, Plant, and Equipment, Intangible Assets, and Investments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evaluates property, plant, and equipment and intangible assets for impairment when, in its judgment, events or circumstances, including probable abandonment, indicate that the carrying value of such assets may not be recoverable. When an indicator of impairment has occurred, management compares its estimate of undiscounted future cash flows attributable to the assets to the carrying value of the assets to determine whether an impairment has occurred and may apply a probability-weighted approach to consider the likelihood of different cash flow assumptions and possible outcomes, including selling the assets in the near term or holding them for the asset’s remaining estimated useful life. If an impairment of the carrying value has occurred, management determines the amount of the impairment to be recognized in the financial statements by estimating the fair value of the assets and recording a loss for the amount that the carrying value exceeds the estimated fair value. This evaluation is performed at the lowest level for which separately identifiable cash flows exist.</w:t>
      </w:r>
    </w:p>
    <w:p>
      <w:pPr>
        <w:spacing w:after="0" w:line="1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assets identified to be disposed of in the future and considered held for sale, management compares the carrying value to the estimated fair value, less the cost to sell, to determine if recognition of an impairment is required. Until the assets are disposed of, the estimated fair value, which includes estimated cash flows from operations until the assumed date of sale, is recalculated when related events or circumstances change.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investments are evaluated for impairment when, in management’s judgment, events or circumstances indicate that the carrying value of such investments may have experienced an other-than-temporary decline in value. When evidence of loss in value has occurred, management compares its estimate of fair value of the investment to the carrying value of the investment to determine whether an impairment has occurred. If the estimated fair value is less than the carrying value and management considers the decline in value to be other-than-temporary, the excess of the carrying value over the fair value is recognized in the financial statements as an impairment charge.</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Judgment and assumptions are inherent in the estimate of undiscounted future cash flows and an asset’s or investment’s fair value. Additionally, judgment is used to determine the probability of sale with respect to assets considered for disposal.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Equity-Method Investment Basis Differences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Differences between the carrying value of Williams’ equity-method investments and the underlying equity in the net assets of investees are accounted for as if the investees were consolidated subsidiaries. </w:t>
      </w:r>
      <w:r>
        <w:rPr>
          <w:rFonts w:ascii="Times New Roman" w:cs="Times New Roman" w:eastAsia="Times New Roman" w:hAnsi="Times New Roman"/>
          <w:sz w:val="18"/>
          <w:szCs w:val="18"/>
          <w:i w:val="1"/>
          <w:iCs w:val="1"/>
          <w:color w:val="auto"/>
        </w:rPr>
        <w:t>Equity earnings (losses)</w:t>
      </w:r>
      <w:r>
        <w:rPr>
          <w:rFonts w:ascii="Times New Roman" w:cs="Times New Roman" w:eastAsia="Times New Roman" w:hAnsi="Times New Roman"/>
          <w:sz w:val="18"/>
          <w:szCs w:val="18"/>
          <w:color w:val="auto"/>
        </w:rPr>
        <w:t xml:space="preserve"> in the Consolidated Statement of Income includes Williams’ allocable share of net income (loss) of investees adjusted for any depreciation and amortization, as applicable, associated with basis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Transco, and NWP recognize operating lease liabilities based on the present value of the future lease payments and have elected to combine lease and nonlease components for all classes of leased assets in the calculation of the lease liability and the offsetting right-of-use asset in the respective Balance Sheets.</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Transco’s, and NWP’s lease agreements require both fixed and variable periodic payments, with initial terms typically ranging from one year to 20 years for Williams and up to 30 years for Transco and NWP. Payment provisions in certain lease agreements contain escalation factors which may be based on stated rates or a change in a published index at a future time. The amount by which a lease escalates based on the change in a published index, which is not known at lease commencement, is considered a variable lease payment and is not included in the present value of the future lease payments, which only includes those that are stated or can be calculated based on the lease agreement at lease commencement. In addition to the noncancellable periods, many of Williams’ lease agreements provide for one or more extensions of the lease agreement for periods ranging from one year in length to an indefinite number of times following the specified contract term. Other lease agreements provide for extension terms that allow Williams, Transco, and NWP to utilize the identified leased asset for an indefinite period of time so long as the asset continues to be utilized in their operations. In consideration of these renewal features, management assesses the term of the lease agreements, which includes using judgment in the determination of which renewal periods and termination provisions, when at its sole election, will be reasonably certain of being exercised. Periods after the initial term or extension terms that allow for either party to the lease to cancel the lease are not considered in the assessment of the lease term. Additionally, management has elected to exclude leases with an original term of one year or less, including renewal periods, from the calculation of the lease liability and the offsetting right-of-use asset.</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Judgment is used in determining the discount rate upon which the present value of the future lease payments is determined. This rate is based on a collateralized interest rate corresponding to the term of the lease agreement using company, industry, and market information available.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permitted under its lease agreements, Williams may sublease certain unused office space for fixed periods that could extend up to the length of the original lease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Postretirement Benefits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funded status of each of the pension and other postretirement benefit plans is recognized separately in Williams’ Consolidated Balance Sheet as either an asset or liability. The plans’ benefit obligations and net periodic benefit costs (credits) are actuarially determined and impacted by various assumptions and estimates.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discount rates are determined separately for each of Williams’ pension and other postretirement benefit plans based on an approach specific to Williams’ plans. The year-end discount rates are determined considering a yield curve comprised of high-quality corporate bonds and the timing of the expected benefit cash flows of each plan.</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expected long-term rates of return on plan assets are determined by combining a review of the historical returns within the portfolio, the investment strategy included in the plans’ investment policy statement, and capital market projections for the asset classes in which the portfolio is invested, as well as the weighting of each asset class.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Unrecognized actuarial gains and losses are deferred and recorded in AOCI or, for Transco in 2024 and NWP, as a regulatory asset or liability, until amortized as a component of net periodic benefit cost (credit). The unrecognized net actuarial gains (losses) deferred in AOCI at December 31, 2025 and 2024 were $105 million and $55 million, respectively. Unrecognized actuarial gains and losses in excess of 10 percent of the greater of the benefit obligation or the market-related value of plan assets are amortized over the participants’ average remaining future years of service, which is approximately 9 years for Williams’ pension plans and approximately 3 years for Williams’ other postretirement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expected return on plan assets component of net periodic benefit cost (credit) is calculated using the market-related value of plan assets. For Williams’ pension plans, the market-related value of plan assets is equal to the fair value of plan assets adjusted to reflect the amortization of gains or losses associated with the difference between the expected and actual return on plan assets over a 5-year period. Additionally, the market-related value of assets may be no more than 110 percent or less than 90 percent of the fair value of plan assets at the beginning of the year. The market-related value of plan assets for Williams’ other postretirement benefit plan is equal to the unadjusted fair value of plan assets at the beginning of the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Liabilities for loss contingencies, including environmental matters, are recorded when management assesses that a loss is probable and the amount of the loss can be reasonably estimated. These liabilities are calculated based upon management’s assumptions and estimates with respect to the likelihood or amount of loss and upon advice of legal counsel, engineers, or other third parties regarding the probable outcomes of the matters. These calculations are made without consideration of any potential recovery from third parties. Insurance recoveries or reimbursements from others are recognized when realizable. Revisions to these liabilities are generally reflected in income when new or different facts or information become known or circumstances change that affect the previous assumptions or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0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Treasury stock purchases are accounted for under the cost method whereby the entire cost of the acquired stock is recorded as </w:t>
      </w:r>
      <w:r>
        <w:rPr>
          <w:rFonts w:ascii="Times New Roman" w:cs="Times New Roman" w:eastAsia="Times New Roman" w:hAnsi="Times New Roman"/>
          <w:sz w:val="18"/>
          <w:szCs w:val="18"/>
          <w:i w:val="1"/>
          <w:iCs w:val="1"/>
          <w:color w:val="auto"/>
        </w:rPr>
        <w:t>Treasury stock, at cost</w:t>
      </w:r>
      <w:r>
        <w:rPr>
          <w:rFonts w:ascii="Times New Roman" w:cs="Times New Roman" w:eastAsia="Times New Roman" w:hAnsi="Times New Roman"/>
          <w:sz w:val="18"/>
          <w:szCs w:val="18"/>
          <w:color w:val="auto"/>
        </w:rPr>
        <w:t xml:space="preserve"> in Williams’ Consolidated Balance Sheet. Gains and losses on the subsequent reissuance of shares are credited or charged to </w:t>
      </w:r>
      <w:r>
        <w:rPr>
          <w:rFonts w:ascii="Times New Roman" w:cs="Times New Roman" w:eastAsia="Times New Roman" w:hAnsi="Times New Roman"/>
          <w:sz w:val="18"/>
          <w:szCs w:val="18"/>
          <w:i w:val="1"/>
          <w:iCs w:val="1"/>
          <w:color w:val="auto"/>
        </w:rPr>
        <w:t>Capital in excess of par value</w:t>
      </w:r>
      <w:r>
        <w:rPr>
          <w:rFonts w:ascii="Times New Roman" w:cs="Times New Roman" w:eastAsia="Times New Roman" w:hAnsi="Times New Roman"/>
          <w:sz w:val="18"/>
          <w:szCs w:val="18"/>
          <w:color w:val="auto"/>
        </w:rPr>
        <w:t xml:space="preserve"> in the Consolidated Balance Sheet using the average cost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Transco, and NWP use the indirect method to report cash flows from operating activities, which requires adjustments to net income to reconcile to net cash flows provided by operating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Revolving Credit Facility and Commercial Paper Program</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Proceeds and payments related to borrowings, if any, under Williams’ revolving credit facility are reflected within financing activities in the Consolidated Statement of Cash Flows on a gross basis. Proceeds and payments related to borrowings under Williams’ commercial paper program are reflected within financing activities in the Consolidated Statement of Cash Flows on a net basis, as the outstanding notes generally have maturity dates less than three months from the date of issuance. (See Note 13 – Debt and Banking Arrangements.)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0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w:t>
      </w:r>
      <w:r>
        <w:rPr>
          <w:rFonts w:ascii="Times New Roman" w:cs="Times New Roman" w:eastAsia="Times New Roman" w:hAnsi="Times New Roman"/>
          <w:sz w:val="18"/>
          <w:szCs w:val="18"/>
          <w:color w:val="auto"/>
        </w:rPr>
        <w:t>, which requires public entities to disclose additional information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certain types of expenses (including purchases of inventory, employee compensation, depreciation, amortization, and depletion) in commonly presented expense captions (such as cost of sales or general and administrative expenses). The amendments are effective for annual periods beginning after December 15, 2026, and interim periods within fiscal years beginning after December 15, 2027, with early adoption permitted. The impact of this standard is currently being evaluated.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2021, Williams’ Board of Directors authorized a share repurchase program with a maximum dollar limit of $1.5 billion. Repurchases may be made from time to time in the open market, by block purchases,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privately negotiated transactions, or in such other manner as determined by management. Williams will also determine the timing and amount of any repurchases based on market conditions and other factors. The share repurchase program does not obligate Williams to acquire any particular amount of common stock, and it may be suspended or discontinued at any time. This share repurchase program does not have an expiration date. There were no repurchases under the program in 2025 and 2024, and $130 million of repurchases under the program in 2023 which is included in the Consolidated Statement of Changes in Equity. Cumulative repurchases to date under the program total $139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believes that the carrying value of certain of Williams’ property, plant, and equipment and intangible assets, notably certain assets acquired by Williams accounted for as business combinations between 2012 and 2014, may be in excess of current fair value. However, the carrying value of these assets, in management’s judgment, continues to be recoverable. It is reasonably possible that future strategic decisions, including transactions such as monetizing assets or contributing assets to new ventures with third parties, as well as unfavorable changes in expected producer activities, could impact management’s assumptions and ultimately result in impairments of these assets. Such transactions or developments may also indicate that certain Williams’ equity-method investments have experienced other-than-temporary declines in value, which could result in impairment.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Variable Interest Entities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Williams consolidated the following VIEs: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Northeast JV</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owns a 65 percent interest in the Northeast JV, a subsidiary that is a VIE due to certain voting rights being disproportionate to the obligation to absorb losses and substantially all of the Northeast JV’s activities being performed on Williams’ behalf. Williams is the primary beneficiary because it has the power to direct the activities that most significantly impact the Northeast JV’s economic performance. The Northeast JV provides midstream services for producers in the Marcellus Shale and Utica Shale regions. Future expansion activity is expected to be funded with capital contributions from Williams and the other equity partner on a proportional basis.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Cardinal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owns a 66 percent interest in Cardinal, a subsidiary that provides gathering services for the Utica Shale region and is a VIE due to certain risks shared with customers. Williams is the primary beneficiary because it has the power to direct the activities that most significantly impact Cardinal’s economic performance. Future expansion activity is expected to be funded with capital contributions from Williams and the other equity partner on a proportional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Driftwood Pipeline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owns an 80 percent interest in Driftwood Pipeline LLC (Driftwood Pipeline), a subsidiary that is a VIE because completion of the Driftwood Pipeline will require additional subordinated financial support from its equity holders in the form of capital contributions. Williams is the primary beneficiary because it has the power to direct the activities that most significantly impact Driftwood Pipeline’s economic performance. Williams, as the operator of Driftwood Pipeline, is responsible for constructing the proposed Driftwood Pipeline, Line 200, that will supply gas to Louisiana LNG's liquid natural gas (LNG) export facility near Lake Charles, Louisiana. The total remaining cost of the project would be funded with capital contributions from Williams and the other equity partners on a proportional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amounts included in the Consolidated Balance Sheet that are only for the use or obligation of the consolidated VIEs: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11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 (1)</w:t>
            </w:r>
          </w:p>
        </w:tc>
      </w:tr>
      <w:tr>
        <w:trPr>
          <w:trHeight w:val="196"/>
        </w:trPr>
        <w:tc>
          <w:tcPr>
            <w:tcW w:w="7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7"/>
                <w:szCs w:val="17"/>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(liabilities):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tc>
        <w:tc>
          <w:tcPr>
            <w:tcW w:w="1100" w:type="dxa"/>
            <w:vAlign w:val="bottom"/>
          </w:tcPr>
          <w:p>
            <w:pPr>
              <w:jc w:val="right"/>
              <w:ind w:right="921"/>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53</w:t>
            </w:r>
          </w:p>
        </w:tc>
        <w:tc>
          <w:tcPr>
            <w:tcW w:w="5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Trade accounts and other receivables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155</w:t>
            </w: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Inventories</w:t>
            </w:r>
          </w:p>
        </w:tc>
        <w:tc>
          <w:tcPr>
            <w:tcW w:w="110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Other current assets and deferred charges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5</w:t>
            </w: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Property, plant, and equipment – net</w:t>
            </w:r>
          </w:p>
        </w:tc>
        <w:tc>
          <w:tcPr>
            <w:tcW w:w="110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4,412</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4,896</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Intangible assets – net</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1,831</w:t>
            </w: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Regulatory assets, deferred charges, and other</w:t>
            </w:r>
          </w:p>
        </w:tc>
        <w:tc>
          <w:tcPr>
            <w:tcW w:w="1100" w:type="dxa"/>
            <w:vAlign w:val="bottom"/>
          </w:tcPr>
          <w:p>
            <w:pPr>
              <w:spacing w:after="0"/>
              <w:rPr>
                <w:sz w:val="19"/>
                <w:szCs w:val="19"/>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23</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Accounts payable</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(56)</w:t>
            </w: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Other current liabilities</w:t>
            </w:r>
          </w:p>
        </w:tc>
        <w:tc>
          <w:tcPr>
            <w:tcW w:w="110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(19)</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Regulatory liabilities, deferred income, and other</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(78)</w:t>
            </w:r>
          </w:p>
        </w:tc>
        <w:tc>
          <w:tcPr>
            <w:tcW w:w="5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40" w:hanging="332"/>
        <w:spacing w:after="0" w:line="243" w:lineRule="auto"/>
        <w:tabs>
          <w:tab w:leader="none" w:pos="4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2024 includes amounts related to Gulfstar One LLC (Gulfstar One), which was a consolidated VIE at December 31, 2024. Williams acquired the remaining interest in Gulfstar One during the fourth quarter of 2025 and it is no longer a VIE. This transaction decreased </w:t>
      </w:r>
      <w:r>
        <w:rPr>
          <w:rFonts w:ascii="Times New Roman" w:cs="Times New Roman" w:eastAsia="Times New Roman" w:hAnsi="Times New Roman"/>
          <w:sz w:val="18"/>
          <w:szCs w:val="18"/>
          <w:i w:val="1"/>
          <w:iCs w:val="1"/>
          <w:color w:val="auto"/>
        </w:rPr>
        <w:t>Noncontrolling interests</w:t>
      </w:r>
      <w:r>
        <w:rPr>
          <w:rFonts w:ascii="Times New Roman" w:cs="Times New Roman" w:eastAsia="Times New Roman" w:hAnsi="Times New Roman"/>
          <w:sz w:val="18"/>
          <w:szCs w:val="18"/>
          <w:color w:val="auto"/>
        </w:rPr>
        <w:t xml:space="preserve"> in consolidated subsidiaries by $166 million, increased </w:t>
      </w:r>
      <w:r>
        <w:rPr>
          <w:rFonts w:ascii="Times New Roman" w:cs="Times New Roman" w:eastAsia="Times New Roman" w:hAnsi="Times New Roman"/>
          <w:sz w:val="18"/>
          <w:szCs w:val="18"/>
          <w:i w:val="1"/>
          <w:iCs w:val="1"/>
          <w:color w:val="auto"/>
        </w:rPr>
        <w:t>Capital in excess of par value</w:t>
      </w:r>
      <w:r>
        <w:rPr>
          <w:rFonts w:ascii="Times New Roman" w:cs="Times New Roman" w:eastAsia="Times New Roman" w:hAnsi="Times New Roman"/>
          <w:sz w:val="18"/>
          <w:szCs w:val="18"/>
          <w:color w:val="auto"/>
        </w:rPr>
        <w:t xml:space="preserve"> by $126 million, and increased </w:t>
      </w:r>
      <w:r>
        <w:rPr>
          <w:rFonts w:ascii="Times New Roman" w:cs="Times New Roman" w:eastAsia="Times New Roman" w:hAnsi="Times New Roman"/>
          <w:sz w:val="18"/>
          <w:szCs w:val="18"/>
          <w:i w:val="1"/>
          <w:iCs w:val="1"/>
          <w:color w:val="auto"/>
        </w:rPr>
        <w:t>Deferred income tax liabilities</w:t>
      </w:r>
      <w:r>
        <w:rPr>
          <w:rFonts w:ascii="Times New Roman" w:cs="Times New Roman" w:eastAsia="Times New Roman" w:hAnsi="Times New Roman"/>
          <w:sz w:val="18"/>
          <w:szCs w:val="18"/>
          <w:color w:val="auto"/>
        </w:rPr>
        <w:t xml:space="preserve"> by $40 million in the Consolidated Balance Sheet.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Williams owns certain equity-method investments that are VIEs due primarily to its limited participating rights as a minority equity holder. Williams’ maximum exposure to loss is limited to the carrying value of these investments (included within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in the Consolidated Balance Sheet), which totaled $611 million at December 31, 2025. Included in this total is Williams’ investment in Louisiana LNG and Cogentrix (discussed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Louisiana LNG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owns a 10 percent interest in Louisiana LNG LLC (Louisiana LNG), which is a VIE because completion of the LNG facilities will require additional subordinated financial support from its equity holders in the form of capital contributions. At December 31, 2025, the carrying value of our investment in Louisiana LNG was $253 million. Our maximum exposure to loss is limited to the carrying value of our investment. The total remaining cost of the project would be funded with capital contributions from Williams and the other equity partners on a proportional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Cogentrix</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owns a minority interest in Cogentrix, which is a VIE due primarily to our limited participation rights to direct Cogentrix’s activities. At December 31, 2025, the carrying value of our investment in Cogentrix was $292 million. Our maximum exposure to loss is limited to the carrying value of our investment. See Note 8 – Investing Activities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Crowheart Acquisition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Williams had an agreement regarding certain crude oil and natural gas properties in the Wamsutter basin in Wyoming under which it owned a 75 percent undivided interest in each well’s working interest and proportionally consolidated its undivided interest. On November 1, 2024, Williams closed on the acquisition of a third-party operator, Crowheart Energy, LLC, for $307 million cash, subject to working capital and post-closing adjustments (Crowheart Acquisition). After closing on the acquisition, Williams owns more than a 90 percent working interest in each well. The purpose of this acquisition was to consolidate Williams’ interests in the Wamsutter basin and further optimize development in the area to continue to supply its gathering and processing assets. Assets acquired, acquisition-related costs incurred, and results of operations realized are included at Other.</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November 1, 2024 to December 31, 2024, the additional interest acquired in the Crowheart Acquisition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$20 million and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(as defined in Note 19 – Segment Disclosures) of $7 million.</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Acquisition-related costs for the Crowheart Acquisition total $2 million and are included in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accounted for the Crowheart Acquisition as a business combination, which requires, among other things, that identifiable assets acquired and liabilities assumed be recognized at their acquisition date fair values. The valuation techniques used for property, plant, and equipment consisted of the income approach for proved developed producing reserves and the market approach for undeveloped reserves.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November 1, 2024. After the December 31, 2024, financial statements were issued, Williams identified adjustments to the preliminary purchase price allocation, resulting in decreases of $56 million in property, plant, and equipment and $56 million in noncurrent liabilities.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9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Discovery Acquisition</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Williams owned a 60 percent interest in Discovery, which it accounted for as an equity-method investment. On August 1, 2024, Williams closed on the acquisition of the remaining 40 percent interest in Discovery, along with certain other assets, for $170 million cash, subject to working capital and post-closing adjustments (Discovery Acquisition). As a result of acquiring this additional interest, Williams obtained control and subsequently consolidates Discovery. The purpose of this acquisition was to expand Williams’ gathering, processing, and transportation presence in the Gulf of America region. Assets acquired, acquisition-related costs incurred, and results of operations realized are included within Williams’ Transmission, Power &amp; Gulf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August 1, 2024 to December 31, 2024, the operations acquired in the Discovery Acquisition contributed </w:t>
      </w: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of $144 million and</w:t>
      </w:r>
      <w:r>
        <w:rPr>
          <w:rFonts w:ascii="Times New Roman" w:cs="Times New Roman" w:eastAsia="Times New Roman" w:hAnsi="Times New Roman"/>
          <w:sz w:val="18"/>
          <w:szCs w:val="18"/>
          <w:i w:val="1"/>
          <w:iCs w:val="1"/>
          <w:color w:val="auto"/>
        </w:rPr>
        <w:t xml:space="preserve"> Modified EBITDA </w:t>
      </w:r>
      <w:r>
        <w:rPr>
          <w:rFonts w:ascii="Times New Roman" w:cs="Times New Roman" w:eastAsia="Times New Roman" w:hAnsi="Times New Roman"/>
          <w:sz w:val="18"/>
          <w:szCs w:val="18"/>
          <w:color w:val="auto"/>
        </w:rPr>
        <w:t>of $42 million.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Acquisition-related costs for the Discovery Acquisition total $1 million, incurred in 2024, and are included in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Williams accounted for the Discovery Acquisition as a business combination. The book value of its existing equity-method investment prior to the acquisition date of August 1, 2024, was $381 million. Williams recognized a $127 million gain on remeasuring its existing equity-method investment to fair value included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in the third quarter of 2024, which is not included in the pro forma Discovery adjustments below. Williams utilized the income approach to fair value its previous equity-method investment in Discovery.</w:t>
      </w:r>
    </w:p>
    <w:p>
      <w:pPr>
        <w:spacing w:after="0" w:line="13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August 1, 2024. The valuation technique used consisted of the cost approach for property, plant, and equipment.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56"/>
        </w:trPr>
        <w:tc>
          <w:tcPr>
            <w:tcW w:w="9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57"/>
        </w:trPr>
        <w:tc>
          <w:tcPr>
            <w:tcW w:w="9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Gulf Coast Storage Acquisition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3, 2024, Williams closed on the acquisition from Hartree Partners LP for $1.95 billion of 100 percent of a strategic portfolio of natural gas storage facilities and pipelines, located in Louisiana and Mississippi (Gulf Coast Storage Acquisition). The purpose of this acquisition was to expand Williams’ natural gas storage footprint in the Gulf Coast region. Assets acquired, acquisition-related costs incurred, and results of operations realized are included within Williams’ Transmission, Power &amp; Gulf segment. The Gulf Coast Storage Acquisition was funded with cash on hand and $100 million of deferred consideration that did not accrue interest and was paid on January 3, 2025.</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January 3, 2024 to December 31, 2024, the operations acquired in the Gulf Coast Storage Acquisition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$228 million and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of $160 million, which is impacted by acquisition-related costs. Acquisition-related costs for the Gulf Coast Storage Acquisition total $15 million, including $14 million incurred in 2024, and are included in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accounted for the Gulf Coast Storage Acquisition as a business combination. The valuation technique used consisted of the cost approach for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January 3,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0" w:type="dxa"/>
            <w:vAlign w:val="bottom"/>
          </w:tcPr>
          <w:p>
            <w:pPr>
              <w:spacing w:after="0"/>
              <w:rPr>
                <w:sz w:val="1"/>
                <w:szCs w:val="1"/>
                <w:color w:val="auto"/>
              </w:rPr>
            </w:pP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57"/>
        </w:trPr>
        <w:tc>
          <w:tcPr>
            <w:tcW w:w="9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56"/>
        </w:trPr>
        <w:tc>
          <w:tcPr>
            <w:tcW w:w="9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DJ Basin Acquisitions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Cureton Acquisition</w:t>
            </w: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30, 2023, Williams closed on the acquisition of 100 percent of Cureton Front Range, LLC (Cureton Acquisition), whose operations are located in the DJ Basin, for $546 million. The purpose of this acquisition was to expand Williams’ gathering and processing footprint and create operational synergies for its operations in the DJ Basin. Assets acquired, acquisition-related costs incurred, and results of operations realized are included within Williams’ West segment. The Cureton Acquisition was funded with cash on hand.</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November 30, 2023 to December 31, 2023, the operations acquired in the Cureton Acquisition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$35 million and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of $7 million.</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Acquisition-related costs for the Cureton Acquisition total $8 million, including $6 million incurred in 2023, and are included 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accounted for the Cureton Acquisition as a business combination. The valuation techniques used consisted of the cost approach for property, plant, and equipment and the income approach for valuation of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November 30, 2023.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 net</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57"/>
        </w:trPr>
        <w:tc>
          <w:tcPr>
            <w:tcW w:w="9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7"/>
        </w:trPr>
        <w:tc>
          <w:tcPr>
            <w:tcW w:w="92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spacing w:after="0"/>
              <w:rPr>
                <w:sz w:val="22"/>
                <w:szCs w:val="22"/>
                <w:color w:val="auto"/>
              </w:rPr>
            </w:pP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56"/>
        </w:trPr>
        <w:tc>
          <w:tcPr>
            <w:tcW w:w="9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Goodwill included in </w:t>
            </w:r>
            <w:r>
              <w:rPr>
                <w:rFonts w:ascii="Times New Roman" w:cs="Times New Roman" w:eastAsia="Times New Roman" w:hAnsi="Times New Roman"/>
                <w:sz w:val="18"/>
                <w:szCs w:val="18"/>
                <w:i w:val="1"/>
                <w:iCs w:val="1"/>
                <w:color w:val="auto"/>
              </w:rPr>
              <w:t>Intangible assets – net</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intangible assets recognized in the Cureton Acquisition are related to contractual customer relationships from gas gathering and processing agreements with customers. The basis for determining the value of these intangible assets is estimated future net cash flows to be derived from acquired contractual customer relationships discounted using a risk-adjusted discount rate. These intangible assets are being amortized on a straight-line basis over an initial period of 20 years which represents the term over which the contractual customer relationships are expected to contribute to Williams’ cash flows. Approximately 24 percent of the expected future revenues from these contractual customer relationships are impacted by Williams’ ability and intent to renew or renegotiate existing customer contracts. Williams expenses costs incurred to renew or extend the terms of its gas gathering contracts with customers. Based on the estimated future revenues during the current contract periods (as estimated at the time of the acquisition), the weighted-average period prior to the next renewal or extension of the existing contractual customer relationships is approximately 10 years. See Note 11 – Goodwill and Other Intangible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RMM Acquisition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2022, Williams owned a 50 percent interest in Rocky Mountain Midstream Holdings LLC (RMM) which it accounted for as an equity-method investment. On November 30, 2023, Williams closed on the acquisition of the remaining 50 percent interest in RMM (RMM Acquisition) for $704 million. As a result of acquiring this additional interest, Williams obtained control and subsequently consolidates RMM. The purpose of this acquisition was to expand Williams’ gathering and processing footprint and create operational synergies for its operations in the DJ Basin. Assets acquired and results of operations realized are included within Williams’ West segment. Substantially all of the RMM purchase price was not due to the seller until the first quarter of 2025, would not accrue interest until November 2, 2024, and could be repaid early without penalty. It was recorded as a deferred consideration obligation at fair value using an income approach, which resulted in a discount to the contractual amount due which was imputed as interest expense over the term of the obligation. On November 1, 2024, Williams paid the remaining $651 million of the RMM purchase price obligation.</w:t>
      </w:r>
    </w:p>
    <w:p>
      <w:pPr>
        <w:spacing w:after="0" w:line="14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November 30, 2023 to December 31, 2023, RMM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$53 million and </w:t>
      </w:r>
      <w:r>
        <w:rPr>
          <w:rFonts w:ascii="Times New Roman" w:cs="Times New Roman" w:eastAsia="Times New Roman" w:hAnsi="Times New Roman"/>
          <w:sz w:val="18"/>
          <w:szCs w:val="18"/>
          <w:i w:val="1"/>
          <w:iCs w:val="1"/>
          <w:color w:val="auto"/>
        </w:rPr>
        <w:t>Modified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of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Williams accounted for the RMM Acquisition as a business combination. The book value of Williams’ existing equity-method investment prior to the acquisition date of November 30, 2023, was $406 million. Williams recognized a $30 million gain on remeasuring its existing equity-method investment to fair value included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during the fourth quarter of 2023, which is not included in the pro forma DJ Basin adjustments below. The valuation techniques used consisted of the income approach for Williams’ previous equity-method investment in RMM and the valuation of other intangible assets, and the cost approach for property, plant, and equipment.</w:t>
      </w:r>
    </w:p>
    <w:p>
      <w:pPr>
        <w:spacing w:after="0" w:line="1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November 30, 2023. The net assets acquired primarily reflect the noncash consideration transferred, which includes the fair value of both Williams’ previous equity-method investment and the deferred consideration obligation.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56"/>
        </w:trPr>
        <w:tc>
          <w:tcPr>
            <w:tcW w:w="9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56"/>
        </w:trPr>
        <w:tc>
          <w:tcPr>
            <w:tcW w:w="92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57"/>
        </w:trPr>
        <w:tc>
          <w:tcPr>
            <w:tcW w:w="9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Goodwill included in </w:t>
            </w:r>
            <w:r>
              <w:rPr>
                <w:rFonts w:ascii="Times New Roman" w:cs="Times New Roman" w:eastAsia="Times New Roman" w:hAnsi="Times New Roman"/>
                <w:sz w:val="18"/>
                <w:szCs w:val="18"/>
                <w:i w:val="1"/>
                <w:iCs w:val="1"/>
                <w:color w:val="auto"/>
              </w:rPr>
              <w:t>Intangible assets – net</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0"/>
        </w:trPr>
        <w:tc>
          <w:tcPr>
            <w:tcW w:w="9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recognized in the RMM Acquisition relates primarily to enhancing and diversifying Williams’ basin positions as well as delivering operational synergies, including increasing volumes on its existing processing facilities and increasing revenues on its NGL transportation, fractionation, and storage assets, and is reported within Williams’ West segment. Substantially all of the goodwill is deductible for tax purposes.</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intangible assets recognized in the RMM Acquisition are related to contractual customer relationships from gas gathering and processing agreements with customers. The basis for determining the value of these intangible assets is estimated future net cash flows to be derived from acquired contractual customer relationships discounted using a risk-adjusted discount rate. These intangible assets are being amortized on a straight-line basis over an initial period of 20 years which represents the term over which the contractual customer relationships are expected to contribute to Williams’ cash flows. Approximately 18 percent of the expected future revenues from these contractual customer relationships are impacted by Williams’ ability and intent to renew or renegotiate existing customer contracts. Williams expenses costs incurred to renew or extend the terms of its gas gathering contracts with customers. Based on the estimated future revenues during the current contract periods (as estimated at the time of the acquisition), the weighted-average period prior to the next renewal or extension of the existing contractual customer relationships is approximately 10 years. See Note 11 –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MountainWest Acquisition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February 14, 2023, Williams closed on the acquisition of 100 percent of MountainWest, which includes FERC-regulated interstate natural gas pipeline systems and natural gas storage capacity (MountainWest Acquisition), for $1.08 billion of cash, funded with available sources of short-term liquidity, and retaining $430 million outstanding principal amount of MountainWest long-term debt. For 2023, $1.024 billion is presented in </w:t>
      </w:r>
      <w:r>
        <w:rPr>
          <w:rFonts w:ascii="Times New Roman" w:cs="Times New Roman" w:eastAsia="Times New Roman" w:hAnsi="Times New Roman"/>
          <w:sz w:val="18"/>
          <w:szCs w:val="18"/>
          <w:i w:val="1"/>
          <w:iCs w:val="1"/>
          <w:color w:val="auto"/>
        </w:rPr>
        <w:t>Purchases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businesses, net of cash acquired </w:t>
      </w:r>
      <w:r>
        <w:rPr>
          <w:rFonts w:ascii="Times New Roman" w:cs="Times New Roman" w:eastAsia="Times New Roman" w:hAnsi="Times New Roman"/>
          <w:sz w:val="18"/>
          <w:szCs w:val="18"/>
          <w:color w:val="auto"/>
        </w:rPr>
        <w:t>reflecting the cash purchase price, reduced for post-closing adjustments and the cash acquired as presented in the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allocation. The purpose of the MountainWest Acquisition was to expand Williams’ existing transmission and storage infrastructure footprint into major markets in Utah, Wyoming, and Colorado. Assets acquired, acquisition-related costs incurred, and results of operations realized are included within Williams’ Transmission, Power &amp; Gulf segment.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February 14, 2023 to December 31, 2023, the operations acquired in the MountainWest Acquisition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$225 million and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of $122 million, which includes $27 million of transition-related costs.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Acquisition-related costs for the MountainWest Acquisition total $18 million, including $16 million incurred in 2023, and are included 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accounted for the MountainWest Acquisition as a business combination. The valuation techniques used consisted of the cost approach for nonregulated property, plant, and equipment, as well as the market approach for the assumed long-term debt consistent with the valuation technique discussed in Note 16 – Fair Value Measurements, Guarantees, and Concentration of Credit Risk. MountainWest’s regulated operations are accounted for pursuant to ASC 980. The fair value of assets and liabilities subject to rate making and cost recovery provisions were determined utilizing the income approach. MountainWest’s expected return on rate base is consistent with expected returns of similarly situated assets, resulting in carryover basis of these assets and liabilities equaling their fair value.</w:t>
      </w:r>
    </w:p>
    <w:p>
      <w:pPr>
        <w:spacing w:after="0" w:line="16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acquisition date fair value of the major classes of the assets acquired and liabilities assumed at February 14, 2023. The fair value of accounts receivable acquired equals contractual amounts receivable.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Trade accounts and other receivables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9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Goodwill included in </w:t>
            </w:r>
            <w:r>
              <w:rPr>
                <w:rFonts w:ascii="Times New Roman" w:cs="Times New Roman" w:eastAsia="Times New Roman" w:hAnsi="Times New Roman"/>
                <w:sz w:val="18"/>
                <w:szCs w:val="18"/>
                <w:i w:val="1"/>
                <w:iCs w:val="1"/>
                <w:color w:val="auto"/>
              </w:rPr>
              <w:t>Intangible assets – net</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recognized in the MountainWest Acquisition relates primarily to enhancing and diversifying Williams’ basin positions and the long-term value associated with rate-regulated businesses and is reported within its Transmission, Power &amp; Gulf segment. Substantially all of the goodwill is deductible for tax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following pro forma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income (loss) attributable to The Williams Companies, Inc.</w:t>
      </w:r>
      <w:r>
        <w:rPr>
          <w:rFonts w:ascii="Times New Roman" w:cs="Times New Roman" w:eastAsia="Times New Roman" w:hAnsi="Times New Roman"/>
          <w:sz w:val="18"/>
          <w:szCs w:val="18"/>
          <w:color w:val="auto"/>
        </w:rPr>
        <w:t xml:space="preserve"> for 2024 and 2023, respectively, are presented as if the Crowheart Acquisition, Discovery Acquisition, and Gulf Coast Storage Acquisition had been completed on January 1, 2023, and the DJ Basin Acquisitions and MountainWest Acquisition had been completed on January 1, 2022. These pro forma amounts are not necessarily indicative of what the actual results would have been if the acquisitions had in fact occurred on the dates or for the periods indicated, nor do they purport to project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 xml:space="preserve">Net income (loss) attributable to The Williams Companies, Inc. </w:t>
      </w:r>
      <w:r>
        <w:rPr>
          <w:rFonts w:ascii="Times New Roman" w:cs="Times New Roman" w:eastAsia="Times New Roman" w:hAnsi="Times New Roman"/>
          <w:sz w:val="18"/>
          <w:szCs w:val="18"/>
          <w:color w:val="auto"/>
        </w:rPr>
        <w:t>for any future periods or as of any date. These amounts do not give effect to any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savings, operating synergies, or revenue enhancements to result from the transactions or the potential costs to achieve these cost savings, operating synergies, and revenue enhancements.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11"/>
                <w:szCs w:val="11"/>
                <w:color w:val="auto"/>
              </w:rPr>
            </w:pPr>
          </w:p>
        </w:tc>
        <w:tc>
          <w:tcPr>
            <w:tcW w:w="920" w:type="dxa"/>
            <w:vAlign w:val="bottom"/>
          </w:tcPr>
          <w:p>
            <w:pPr>
              <w:jc w:val="right"/>
              <w:ind w:right="138"/>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80" w:type="dxa"/>
            <w:vAlign w:val="bottom"/>
          </w:tcPr>
          <w:p>
            <w:pPr>
              <w:spacing w:after="0"/>
              <w:rPr>
                <w:sz w:val="11"/>
                <w:szCs w:val="11"/>
                <w:color w:val="auto"/>
              </w:rPr>
            </w:pPr>
          </w:p>
        </w:tc>
        <w:tc>
          <w:tcPr>
            <w:tcW w:w="980" w:type="dxa"/>
            <w:vAlign w:val="bottom"/>
          </w:tcPr>
          <w:p>
            <w:pPr>
              <w:jc w:val="center"/>
              <w:ind w:right="61"/>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Crowheart (1)</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Discovery (1)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Net income (loss) attributable to The</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Williams Companies, Inc.</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4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435"/>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4"/>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80" w:type="dxa"/>
            <w:vAlign w:val="bottom"/>
          </w:tcPr>
          <w:p>
            <w:pPr>
              <w:spacing w:after="0"/>
              <w:rPr>
                <w:sz w:val="11"/>
                <w:szCs w:val="11"/>
                <w:color w:val="auto"/>
              </w:rPr>
            </w:pPr>
          </w:p>
        </w:tc>
        <w:tc>
          <w:tcPr>
            <w:tcW w:w="9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Gulf</w:t>
            </w:r>
          </w:p>
        </w:tc>
        <w:tc>
          <w:tcPr>
            <w:tcW w:w="11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Pro Forma DJ</w:t>
            </w:r>
          </w:p>
        </w:tc>
        <w:tc>
          <w:tcPr>
            <w:tcW w:w="220" w:type="dxa"/>
            <w:vAlign w:val="bottom"/>
          </w:tcPr>
          <w:p>
            <w:pPr>
              <w:spacing w:after="0"/>
              <w:rPr>
                <w:sz w:val="11"/>
                <w:szCs w:val="11"/>
                <w:color w:val="auto"/>
              </w:rPr>
            </w:pPr>
          </w:p>
        </w:tc>
        <w:tc>
          <w:tcPr>
            <w:tcW w:w="94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1"/>
                <w:szCs w:val="11"/>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MountainWest</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Crowheart</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Discovery</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Coast Storage</w:t>
            </w:r>
          </w:p>
        </w:tc>
        <w:tc>
          <w:tcPr>
            <w:tcW w:w="11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Basin (1)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202</w:t>
            </w:r>
          </w:p>
        </w:tc>
        <w:tc>
          <w:tcPr>
            <w:tcW w:w="5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w:t>
            </w:r>
          </w:p>
        </w:tc>
        <w:tc>
          <w:tcPr>
            <w:tcW w:w="0" w:type="dxa"/>
            <w:vAlign w:val="bottom"/>
          </w:tcPr>
          <w:p>
            <w:pPr>
              <w:spacing w:after="0"/>
              <w:rPr>
                <w:sz w:val="1"/>
                <w:szCs w:val="1"/>
                <w:color w:val="auto"/>
              </w:rPr>
            </w:pPr>
          </w:p>
        </w:tc>
      </w:tr>
      <w:tr>
        <w:trPr>
          <w:trHeight w:val="182"/>
        </w:trPr>
        <w:tc>
          <w:tcPr>
            <w:tcW w:w="32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Net income (loss) attributable to The</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Williams Companies, Inc.</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4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969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45" w:lineRule="exact"/>
        <w:rPr>
          <w:sz w:val="20"/>
          <w:szCs w:val="20"/>
          <w:color w:val="auto"/>
        </w:rPr>
      </w:pPr>
    </w:p>
    <w:p>
      <w:pPr>
        <w:ind w:left="340" w:hanging="332"/>
        <w:spacing w:after="0" w:line="282" w:lineRule="auto"/>
        <w:tabs>
          <w:tab w:leader="none" w:pos="33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results from operations acquired in the acquisition for the period beginning on the acquisition date, as these results are included in the amounts as reported.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South Mansfield Upstream Interests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October 2025, Williams entered into an agreement to sell its interests in certain upstream ventures in the South Mansfield area of the Haynesville Shale region, included in upstream operations within Other, for consideration of $398 million with additional contingent consideration to possibly be received through 2029. Williams designated these operations as held for sale, with the associated assets and liabilities included in </w:t>
      </w: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Liabilities held for sale</w:t>
      </w:r>
      <w:r>
        <w:rPr>
          <w:rFonts w:ascii="Times New Roman" w:cs="Times New Roman" w:eastAsia="Times New Roman" w:hAnsi="Times New Roman"/>
          <w:sz w:val="18"/>
          <w:szCs w:val="18"/>
          <w:color w:val="auto"/>
        </w:rPr>
        <w:t>, respectively, as of December 31, 2025. The transaction closed on January 30, 2026, and Williams expects to recognize a gain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2026. The results of operations for this disposal group were not significant for the reporting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Certain Gulf Coast Liquids Pipelines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September 29, 2023, Williams completed the sale of various petrochemical and feedstock pipelines and associated contracts in the Gulf Coast region for $348 million. As a result of this sale, Williams recorded a gain of $129 million in 2023 in its Transmission, Power &amp; Gulf segment. The gain is reflected in </w:t>
      </w:r>
      <w:r>
        <w:rPr>
          <w:rFonts w:ascii="Times New Roman" w:cs="Times New Roman" w:eastAsia="Times New Roman" w:hAnsi="Times New Roman"/>
          <w:sz w:val="18"/>
          <w:szCs w:val="18"/>
          <w:i w:val="1"/>
          <w:iCs w:val="1"/>
          <w:color w:val="auto"/>
        </w:rPr>
        <w:t>Gain on sale of business</w:t>
      </w:r>
      <w:r>
        <w:rPr>
          <w:rFonts w:ascii="Times New Roman" w:cs="Times New Roman" w:eastAsia="Times New Roman" w:hAnsi="Times New Roman"/>
          <w:sz w:val="18"/>
          <w:szCs w:val="18"/>
          <w:color w:val="auto"/>
        </w:rPr>
        <w:t>. The results of operations for this disposal group, excluding the gain noted, were not significant for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Equity-Method Investees</w:t>
      </w:r>
    </w:p>
    <w:p>
      <w:pPr>
        <w:spacing w:after="0" w:line="17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Williams has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from certain of its equity-method investees of $20 million, $2 million, and $5 million for 2025, 2024, and 2023, respectively. Williams also has costs and expenses associated with its equity-method investees of $180 million, $266 million, and $776 million for 2025, 2024, and 2023, respectively in its Consolidated Statement of Income. Substantially all of these expenses are included in </w:t>
      </w:r>
      <w:r>
        <w:rPr>
          <w:rFonts w:ascii="Times New Roman" w:cs="Times New Roman" w:eastAsia="Times New Roman" w:hAnsi="Times New Roman"/>
          <w:sz w:val="18"/>
          <w:szCs w:val="18"/>
          <w:i w:val="1"/>
          <w:iCs w:val="1"/>
          <w:color w:val="auto"/>
        </w:rPr>
        <w:t>Product costs</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In addition, Williams has $4 million and $1 million included in </w:t>
      </w:r>
      <w:r>
        <w:rPr>
          <w:rFonts w:ascii="Times New Roman" w:cs="Times New Roman" w:eastAsia="Times New Roman" w:hAnsi="Times New Roman"/>
          <w:sz w:val="18"/>
          <w:szCs w:val="18"/>
          <w:i w:val="1"/>
          <w:iCs w:val="1"/>
          <w:color w:val="auto"/>
        </w:rPr>
        <w:t>Trade accounts and other receivables</w:t>
      </w:r>
      <w:r>
        <w:rPr>
          <w:rFonts w:ascii="Times New Roman" w:cs="Times New Roman" w:eastAsia="Times New Roman" w:hAnsi="Times New Roman"/>
          <w:sz w:val="18"/>
          <w:szCs w:val="18"/>
          <w:color w:val="auto"/>
        </w:rPr>
        <w:t xml:space="preserve"> and $14 million and $19 million included in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xml:space="preserve"> in its Consolidated Balance Sheet with its equity-method investees at December 31, 2025 and 2024, respectively.</w:t>
      </w:r>
    </w:p>
    <w:p>
      <w:pPr>
        <w:spacing w:after="0" w:line="1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has operating agreements with certain equity-method investees. These operating agreements typically provide for reimbursement or payment to Williams for certain direct operational payroll and employee benefit costs, materials, supplies, and other charges and also for management services. The total charges to equity-method investees for these fees are $73 million, $52 million, and $64 million for 2025, 2024, and 2023,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Two members of Williams’ Board of Directors hold or have held executive officer roles at certain of its counterparties. Williams recorded $97 million, $59 million, and $90 million in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and $44 million, $40 million, and $25 million in </w:t>
      </w:r>
      <w:r>
        <w:rPr>
          <w:rFonts w:ascii="Times New Roman" w:cs="Times New Roman" w:eastAsia="Times New Roman" w:hAnsi="Times New Roman"/>
          <w:sz w:val="18"/>
          <w:szCs w:val="18"/>
          <w:i w:val="1"/>
          <w:iCs w:val="1"/>
          <w:color w:val="auto"/>
        </w:rPr>
        <w:t>Product costs</w:t>
      </w:r>
      <w:r>
        <w:rPr>
          <w:rFonts w:ascii="Times New Roman" w:cs="Times New Roman" w:eastAsia="Times New Roman" w:hAnsi="Times New Roman"/>
          <w:sz w:val="18"/>
          <w:szCs w:val="18"/>
          <w:color w:val="auto"/>
        </w:rPr>
        <w:t xml:space="preserve"> in its Consolidated Statement of Income from these companies primarily for the sale and purchase of natural gas for 2025, 2024, and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 and NWP Affiliate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and NWP do not have employees. Certain of the costs charged to them by Williams associated with employees who directly support them are described below. Additionally, allocated corporate expenses from Williams also include amounts related to these same employee benefits, which are not included in the amounts presented immediately below.</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pension and other postretirement benefit plans are single-employer plans. However, Transco and NWP follow multiemployer plan accounting whereby the amount charged to them and thus paid by them, is based on their share of net periodic benefit cost (see Note 7 – Employee Benefit Plans).</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Pension costs charged to Transco by Williams were $1 million, $1 million, and $2 million for 2025, 2024, and 2023, respectively. NWP received pension credits from Williams of $1 million in 2025, $1 million in 2024, and $0 million in 2023.</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Transco recognized other postretirement benefit income of $10 million, $8 million, and $6 million for 2025, 2024, and 2023, respectively, while NWP recognized other postretirement benefit income of $1 million, $1 million, and $0 million, respectively, for the same periods.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maintains a defined contribution plan for substantially all of its employees. Williams charged Transco compensation expense of $14 million, $13 million, and $12 million in 2025, 2024, and 2023, respectively, and charged NWP compensation expense of $3 million, $3 million, and $3 million in 2025, 2024, and 2023, respectively, for Williams’ company contributions to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Employee Stock-Based Compensation Plan Information </w:t>
      </w:r>
      <w:r>
        <w:rPr>
          <w:rFonts w:ascii="Times New Roman" w:cs="Times New Roman" w:eastAsia="Times New Roman" w:hAnsi="Times New Roman"/>
          <w:sz w:val="18"/>
          <w:szCs w:val="18"/>
          <w:color w:val="auto"/>
        </w:rPr>
        <w:t>(see Note 15 – Equity-Based Compensation)</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currently bills Transco and NWP directly for compensation expense related to stock-based compensation awards based on the fair value of the awards. Transco and NWP are also billed for their proportionate share of Williams’ and other affiliates’ stock-based compensation expense through various allocation processes.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for the years ended December 31, 2025, 2024, and 2023 was $7 million, $6 million, and $6 million, for Transco respectively, and $2 million, $2 million, and $2 million, for NWP,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Management Program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Transco and NWP are participants in Williams’ cash management program, and thus make advances to and receive advances from Williams. Advances to Williams are represented by demand notes and are classified as </w:t>
      </w:r>
      <w:r>
        <w:rPr>
          <w:rFonts w:ascii="Times New Roman" w:cs="Times New Roman" w:eastAsia="Times New Roman" w:hAnsi="Times New Roman"/>
          <w:sz w:val="18"/>
          <w:szCs w:val="18"/>
          <w:i w:val="1"/>
          <w:iCs w:val="1"/>
          <w:color w:val="auto"/>
        </w:rPr>
        <w:t>Trade accounts and other receivables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Advances to affiliate</w:t>
      </w:r>
      <w:r>
        <w:rPr>
          <w:rFonts w:ascii="Times New Roman" w:cs="Times New Roman" w:eastAsia="Times New Roman" w:hAnsi="Times New Roman"/>
          <w:sz w:val="18"/>
          <w:szCs w:val="18"/>
          <w:color w:val="auto"/>
        </w:rPr>
        <w:t xml:space="preserve"> in the Balance Sheet. Advances from Williams are classified as </w:t>
      </w:r>
      <w:r>
        <w:rPr>
          <w:rFonts w:ascii="Times New Roman" w:cs="Times New Roman" w:eastAsia="Times New Roman" w:hAnsi="Times New Roman"/>
          <w:sz w:val="18"/>
          <w:szCs w:val="18"/>
          <w:i w:val="1"/>
          <w:iCs w:val="1"/>
          <w:color w:val="auto"/>
        </w:rPr>
        <w:t>Payables - Advances from affiliate</w:t>
      </w:r>
      <w:r>
        <w:rPr>
          <w:rFonts w:ascii="Times New Roman" w:cs="Times New Roman" w:eastAsia="Times New Roman" w:hAnsi="Times New Roman"/>
          <w:sz w:val="18"/>
          <w:szCs w:val="18"/>
          <w:color w:val="auto"/>
        </w:rPr>
        <w:t>. Advances are stated at the historical carrying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60" w:type="dxa"/>
            <w:vAlign w:val="bottom"/>
          </w:tcPr>
          <w:p>
            <w:pPr>
              <w:spacing w:after="0"/>
              <w:rPr>
                <w:sz w:val="18"/>
                <w:szCs w:val="18"/>
                <w:color w:val="auto"/>
              </w:rPr>
            </w:pPr>
          </w:p>
        </w:tc>
        <w:tc>
          <w:tcPr>
            <w:tcW w:w="13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7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1320" w:type="dxa"/>
            <w:vAlign w:val="bottom"/>
          </w:tcPr>
          <w:p>
            <w:pPr>
              <w:spacing w:after="0"/>
              <w:rPr>
                <w:sz w:val="18"/>
                <w:szCs w:val="18"/>
                <w:color w:val="auto"/>
              </w:rPr>
            </w:pPr>
          </w:p>
        </w:tc>
      </w:tr>
      <w:tr>
        <w:trPr>
          <w:trHeight w:val="23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affiliate</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Transco</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954</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NWP</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218</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from affiliate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NWP</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Interest expense and income are recognized when earned and the collectability is reasonably assured. The interest rate on intercompany demand notes is based upon the daily overnight investment rate paid on Williams’ excess cash at the end of each month, which was approximately 4 percent at December 31, 2025. Interest income is included in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in the Statement of Net Income for Transco and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 the Statement of Net Income for NWP.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20" w:type="dxa"/>
            <w:vAlign w:val="bottom"/>
            <w:tcBorders>
              <w:bottom w:val="single" w:sz="8" w:color="auto"/>
            </w:tcBorders>
          </w:tcPr>
          <w:p>
            <w:pPr>
              <w:spacing w:after="0"/>
              <w:rPr>
                <w:sz w:val="18"/>
                <w:szCs w:val="18"/>
                <w:color w:val="auto"/>
              </w:rPr>
            </w:pPr>
          </w:p>
        </w:tc>
      </w:tr>
      <w:tr>
        <w:trPr>
          <w:trHeight w:val="211"/>
        </w:trPr>
        <w:tc>
          <w:tcPr>
            <w:tcW w:w="76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7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8"/>
              </w:rPr>
              <w:t>(Millions)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income from advances</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Transco</w:t>
            </w:r>
          </w:p>
        </w:tc>
        <w:tc>
          <w:tcPr>
            <w:tcW w:w="7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NWP</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Affiliate Transactions</w:t>
      </w:r>
    </w:p>
    <w:p>
      <w:pPr>
        <w:spacing w:after="0" w:line="18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Revenues received from affiliates are included in Transco’s </w:t>
      </w: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xml:space="preserve"> in the Statement of Net Income. Costs of gas purchased from affiliates are included in Transco’s </w:t>
      </w:r>
      <w:r>
        <w:rPr>
          <w:rFonts w:ascii="Times New Roman" w:cs="Times New Roman" w:eastAsia="Times New Roman" w:hAnsi="Times New Roman"/>
          <w:sz w:val="18"/>
          <w:szCs w:val="18"/>
          <w:i w:val="1"/>
          <w:iCs w:val="1"/>
          <w:color w:val="auto"/>
        </w:rPr>
        <w:t>Natural gas product costs</w:t>
      </w:r>
      <w:r>
        <w:rPr>
          <w:rFonts w:ascii="Times New Roman" w:cs="Times New Roman" w:eastAsia="Times New Roman" w:hAnsi="Times New Roman"/>
          <w:sz w:val="18"/>
          <w:szCs w:val="18"/>
          <w:color w:val="auto"/>
        </w:rPr>
        <w:t xml:space="preserve"> in the Statement of Net Income. All gas purchases are made at market or contracted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20" w:type="dxa"/>
            <w:vAlign w:val="bottom"/>
            <w:tcBorders>
              <w:bottom w:val="single" w:sz="8" w:color="auto"/>
            </w:tcBorders>
          </w:tcPr>
          <w:p>
            <w:pPr>
              <w:spacing w:after="0"/>
              <w:rPr>
                <w:sz w:val="18"/>
                <w:szCs w:val="18"/>
                <w:color w:val="auto"/>
              </w:rPr>
            </w:pPr>
          </w:p>
        </w:tc>
      </w:tr>
      <w:tr>
        <w:trPr>
          <w:trHeight w:val="211"/>
        </w:trPr>
        <w:tc>
          <w:tcPr>
            <w:tcW w:w="76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Transco affiliate activity</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Natural gas product costs</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Services necessary to operate Transco and NWP are provided by Williams and certain affiliates of Williams. Transco and NWP reimburse Williams and its affiliates for all direct and indirect expenses incurred or payments made (including salary, bonus, incentive compensation, and benefits) in connection with these services. Employees of Williams also provide general, administrative, and management services, and Transco and NWP are charged for certain administrative expenses incurred by Williams. These charges are either directly assigned or allocated. Allocated charges are specific or general. Specific allocations are based on metrics that bear a reasonable correlation to the delivery of services. General allocations are based on a three-factor formula, which considers net revenues, gross property, plant, and equipment, and gross payroll. In management’s estimation, the allocation methodologies used are reasonable and result in a reasonable allocation of costs of doing business incurred by Williams. These service expenses are primarily included in </w:t>
      </w: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and administrative expenses </w:t>
      </w:r>
      <w:r>
        <w:rPr>
          <w:rFonts w:ascii="Times New Roman" w:cs="Times New Roman" w:eastAsia="Times New Roman" w:hAnsi="Times New Roman"/>
          <w:sz w:val="18"/>
          <w:szCs w:val="18"/>
          <w:color w:val="auto"/>
        </w:rPr>
        <w:t>in the Statement of Net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20" w:type="dxa"/>
            <w:vAlign w:val="bottom"/>
            <w:tcBorders>
              <w:bottom w:val="single" w:sz="8" w:color="auto"/>
            </w:tcBorders>
          </w:tcPr>
          <w:p>
            <w:pPr>
              <w:spacing w:after="0"/>
              <w:rPr>
                <w:sz w:val="18"/>
                <w:szCs w:val="18"/>
                <w:color w:val="auto"/>
              </w:rPr>
            </w:pPr>
          </w:p>
        </w:tc>
      </w:tr>
      <w:tr>
        <w:trPr>
          <w:trHeight w:val="211"/>
        </w:trPr>
        <w:tc>
          <w:tcPr>
            <w:tcW w:w="76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7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center"/>
              <w:ind w:right="492"/>
              <w:spacing w:after="0"/>
              <w:rPr>
                <w:sz w:val="20"/>
                <w:szCs w:val="20"/>
                <w:color w:val="auto"/>
              </w:rPr>
            </w:pPr>
            <w:r>
              <w:rPr>
                <w:rFonts w:ascii="Times New Roman" w:cs="Times New Roman" w:eastAsia="Times New Roman" w:hAnsi="Times New Roman"/>
                <w:sz w:val="18"/>
                <w:szCs w:val="18"/>
                <w:b w:val="1"/>
                <w:bCs w:val="1"/>
                <w:color w:val="auto"/>
                <w:w w:val="98"/>
              </w:rPr>
              <w:t>(Millions)</w:t>
            </w:r>
          </w:p>
        </w:tc>
        <w:tc>
          <w:tcPr>
            <w:tcW w:w="820" w:type="dxa"/>
            <w:vAlign w:val="bottom"/>
          </w:tcPr>
          <w:p>
            <w:pPr>
              <w:spacing w:after="0"/>
              <w:rPr>
                <w:sz w:val="19"/>
                <w:szCs w:val="19"/>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with affiliates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Transco</w:t>
            </w:r>
          </w:p>
        </w:tc>
        <w:tc>
          <w:tcPr>
            <w:tcW w:w="74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344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NWP</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91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Category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Williams’ revenue disaggregated by major service line:</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Transmission,</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240" w:type="dxa"/>
            <w:vAlign w:val="bottom"/>
          </w:tcPr>
          <w:p>
            <w:pPr>
              <w:spacing w:after="0"/>
              <w:rPr>
                <w:sz w:val="11"/>
                <w:szCs w:val="11"/>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40" w:type="dxa"/>
            <w:vAlign w:val="bottom"/>
          </w:tcPr>
          <w:p>
            <w:pPr>
              <w:spacing w:after="0"/>
              <w:rPr>
                <w:sz w:val="11"/>
                <w:szCs w:val="11"/>
                <w:color w:val="auto"/>
              </w:rPr>
            </w:pPr>
          </w:p>
        </w:tc>
        <w:tc>
          <w:tcPr>
            <w:tcW w:w="820" w:type="dxa"/>
            <w:vAlign w:val="bottom"/>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Power &amp; Gulf</w:t>
            </w:r>
          </w:p>
        </w:tc>
        <w:tc>
          <w:tcPr>
            <w:tcW w:w="116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2025</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3,804</w:t>
            </w:r>
          </w:p>
        </w:tc>
        <w:tc>
          <w:tcPr>
            <w:tcW w:w="100" w:type="dxa"/>
            <w:vAlign w:val="bottom"/>
          </w:tcPr>
          <w:p>
            <w:pPr>
              <w:spacing w:after="0"/>
              <w:rPr>
                <w:sz w:val="11"/>
                <w:szCs w:val="11"/>
                <w:color w:val="auto"/>
              </w:rPr>
            </w:pPr>
          </w:p>
        </w:tc>
        <w:tc>
          <w:tcPr>
            <w:tcW w:w="40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tcPr>
          <w:p>
            <w:pPr>
              <w:spacing w:after="0"/>
              <w:rPr>
                <w:sz w:val="11"/>
                <w:szCs w:val="11"/>
                <w:color w:val="auto"/>
              </w:rPr>
            </w:pP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3,721</w:t>
            </w:r>
          </w:p>
        </w:tc>
        <w:tc>
          <w:tcPr>
            <w:tcW w:w="0" w:type="dxa"/>
            <w:vAlign w:val="bottom"/>
          </w:tcPr>
          <w:p>
            <w:pPr>
              <w:spacing w:after="0"/>
              <w:rPr>
                <w:sz w:val="1"/>
                <w:szCs w:val="1"/>
                <w:color w:val="auto"/>
              </w:rPr>
            </w:pPr>
          </w:p>
        </w:tc>
      </w:tr>
      <w:tr>
        <w:trPr>
          <w:trHeight w:val="181"/>
        </w:trPr>
        <w:tc>
          <w:tcPr>
            <w:tcW w:w="29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storage</w:t>
            </w: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8,440</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580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6,459</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581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14,899</w:t>
            </w:r>
          </w:p>
        </w:tc>
        <w:tc>
          <w:tcPr>
            <w:tcW w:w="0" w:type="dxa"/>
            <w:vAlign w:val="bottom"/>
          </w:tcPr>
          <w:p>
            <w:pPr>
              <w:spacing w:after="0"/>
              <w:rPr>
                <w:sz w:val="1"/>
                <w:szCs w:val="1"/>
                <w:color w:val="auto"/>
              </w:rPr>
            </w:pPr>
          </w:p>
        </w:tc>
      </w:tr>
      <w:tr>
        <w:trPr>
          <w:trHeight w:val="182"/>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3,454</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(6,403)</w:t>
            </w:r>
          </w:p>
        </w:tc>
        <w:tc>
          <w:tcPr>
            <w:tcW w:w="0" w:type="dxa"/>
            <w:vAlign w:val="bottom"/>
          </w:tcPr>
          <w:p>
            <w:pPr>
              <w:spacing w:after="0"/>
              <w:rPr>
                <w:sz w:val="1"/>
                <w:szCs w:val="1"/>
                <w:color w:val="auto"/>
              </w:rPr>
            </w:pPr>
          </w:p>
        </w:tc>
      </w:tr>
      <w:tr>
        <w:trPr>
          <w:trHeight w:val="189"/>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5,443</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642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11,950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2024</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100" w:type="dxa"/>
            <w:vAlign w:val="bottom"/>
          </w:tcPr>
          <w:p>
            <w:pPr>
              <w:spacing w:after="0"/>
              <w:rPr>
                <w:sz w:val="11"/>
                <w:szCs w:val="11"/>
                <w:color w:val="auto"/>
              </w:rPr>
            </w:pPr>
          </w:p>
        </w:tc>
        <w:tc>
          <w:tcPr>
            <w:tcW w:w="40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1"/>
                <w:szCs w:val="11"/>
                <w:color w:val="auto"/>
              </w:rPr>
            </w:pP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0" w:type="dxa"/>
            <w:vAlign w:val="bottom"/>
          </w:tcPr>
          <w:p>
            <w:pPr>
              <w:spacing w:after="0"/>
              <w:rPr>
                <w:sz w:val="1"/>
                <w:szCs w:val="1"/>
                <w:color w:val="auto"/>
              </w:rPr>
            </w:pPr>
          </w:p>
        </w:tc>
      </w:tr>
      <w:tr>
        <w:trPr>
          <w:trHeight w:val="181"/>
        </w:trPr>
        <w:tc>
          <w:tcPr>
            <w:tcW w:w="29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storage</w:t>
            </w: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3,970</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7,663</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4,969</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12,632</w:t>
            </w:r>
          </w:p>
        </w:tc>
        <w:tc>
          <w:tcPr>
            <w:tcW w:w="0" w:type="dxa"/>
            <w:vAlign w:val="bottom"/>
          </w:tcPr>
          <w:p>
            <w:pPr>
              <w:spacing w:after="0"/>
              <w:rPr>
                <w:sz w:val="1"/>
                <w:szCs w:val="1"/>
                <w:color w:val="auto"/>
              </w:rPr>
            </w:pPr>
          </w:p>
        </w:tc>
      </w:tr>
      <w:tr>
        <w:trPr>
          <w:trHeight w:val="182"/>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2,348</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(4,477)</w:t>
            </w:r>
          </w:p>
        </w:tc>
        <w:tc>
          <w:tcPr>
            <w:tcW w:w="0" w:type="dxa"/>
            <w:vAlign w:val="bottom"/>
          </w:tcPr>
          <w:p>
            <w:pPr>
              <w:spacing w:after="0"/>
              <w:rPr>
                <w:sz w:val="1"/>
                <w:szCs w:val="1"/>
                <w:color w:val="auto"/>
              </w:rPr>
            </w:pPr>
          </w:p>
        </w:tc>
      </w:tr>
      <w:tr>
        <w:trPr>
          <w:trHeight w:val="189"/>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Transmission,</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240" w:type="dxa"/>
            <w:vAlign w:val="bottom"/>
          </w:tcPr>
          <w:p>
            <w:pPr>
              <w:spacing w:after="0"/>
              <w:rPr>
                <w:sz w:val="11"/>
                <w:szCs w:val="11"/>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40" w:type="dxa"/>
            <w:vAlign w:val="bottom"/>
          </w:tcPr>
          <w:p>
            <w:pPr>
              <w:spacing w:after="0"/>
              <w:rPr>
                <w:sz w:val="11"/>
                <w:szCs w:val="11"/>
                <w:color w:val="auto"/>
              </w:rPr>
            </w:pPr>
          </w:p>
        </w:tc>
        <w:tc>
          <w:tcPr>
            <w:tcW w:w="820" w:type="dxa"/>
            <w:vAlign w:val="bottom"/>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Power &amp; Gulf</w:t>
            </w:r>
          </w:p>
        </w:tc>
        <w:tc>
          <w:tcPr>
            <w:tcW w:w="116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2023</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3,334</w:t>
            </w:r>
          </w:p>
        </w:tc>
        <w:tc>
          <w:tcPr>
            <w:tcW w:w="100" w:type="dxa"/>
            <w:vAlign w:val="bottom"/>
          </w:tcPr>
          <w:p>
            <w:pPr>
              <w:spacing w:after="0"/>
              <w:rPr>
                <w:sz w:val="11"/>
                <w:szCs w:val="11"/>
                <w:color w:val="auto"/>
              </w:rPr>
            </w:pPr>
          </w:p>
        </w:tc>
        <w:tc>
          <w:tcPr>
            <w:tcW w:w="40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1"/>
                <w:szCs w:val="11"/>
                <w:color w:val="auto"/>
              </w:rPr>
            </w:pP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3,274</w:t>
            </w:r>
          </w:p>
        </w:tc>
        <w:tc>
          <w:tcPr>
            <w:tcW w:w="0" w:type="dxa"/>
            <w:vAlign w:val="bottom"/>
          </w:tcPr>
          <w:p>
            <w:pPr>
              <w:spacing w:after="0"/>
              <w:rPr>
                <w:sz w:val="1"/>
                <w:szCs w:val="1"/>
                <w:color w:val="auto"/>
              </w:rPr>
            </w:pPr>
          </w:p>
        </w:tc>
      </w:tr>
      <w:tr>
        <w:trPr>
          <w:trHeight w:val="181"/>
        </w:trPr>
        <w:tc>
          <w:tcPr>
            <w:tcW w:w="29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storage</w:t>
            </w: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3,533</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7,068</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442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4,928</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442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11,996</w:t>
            </w:r>
          </w:p>
        </w:tc>
        <w:tc>
          <w:tcPr>
            <w:tcW w:w="0" w:type="dxa"/>
            <w:vAlign w:val="bottom"/>
          </w:tcPr>
          <w:p>
            <w:pPr>
              <w:spacing w:after="0"/>
              <w:rPr>
                <w:sz w:val="1"/>
                <w:szCs w:val="1"/>
                <w:color w:val="auto"/>
              </w:rPr>
            </w:pPr>
          </w:p>
        </w:tc>
      </w:tr>
      <w:tr>
        <w:trPr>
          <w:trHeight w:val="182"/>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4,537</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(5,626)</w:t>
            </w:r>
          </w:p>
        </w:tc>
        <w:tc>
          <w:tcPr>
            <w:tcW w:w="0" w:type="dxa"/>
            <w:vAlign w:val="bottom"/>
          </w:tcPr>
          <w:p>
            <w:pPr>
              <w:spacing w:after="0"/>
              <w:rPr>
                <w:sz w:val="1"/>
                <w:szCs w:val="1"/>
                <w:color w:val="auto"/>
              </w:rPr>
            </w:pPr>
          </w:p>
        </w:tc>
      </w:tr>
      <w:tr>
        <w:trPr>
          <w:trHeight w:val="189"/>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4,150</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10,907</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8" w:lineRule="exact"/>
        <w:rPr>
          <w:sz w:val="20"/>
          <w:szCs w:val="20"/>
          <w:color w:val="auto"/>
        </w:rPr>
      </w:pPr>
    </w:p>
    <w:p>
      <w:pPr>
        <w:jc w:val="both"/>
        <w:ind w:left="340" w:hanging="332"/>
        <w:spacing w:after="0" w:line="261" w:lineRule="auto"/>
        <w:tabs>
          <w:tab w:leader="none" w:pos="33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Revenues not derived from contracts with customers primarily consist of physical product sales related to commodity derivative contracts, realized and unrealized gains and losses associated with Williams’ commodity derivative contracts, which are reported in </w:t>
      </w:r>
      <w:r>
        <w:rPr>
          <w:rFonts w:ascii="Times New Roman" w:cs="Times New Roman" w:eastAsia="Times New Roman" w:hAnsi="Times New Roman"/>
          <w:sz w:val="18"/>
          <w:szCs w:val="18"/>
          <w:i w:val="1"/>
          <w:iCs w:val="1"/>
          <w:color w:val="auto"/>
        </w:rPr>
        <w:t>Net gain (loss) from commodity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in the Consolidated Statement of Income, management fees received for certain services provided to operated equity-method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leasing revenues associated with the Williams headquarters building.</w:t>
      </w:r>
    </w:p>
    <w:p>
      <w:pPr>
        <w:spacing w:after="0" w:line="1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reflect certain costs of Gas &amp; NGL Marketing Services’ risk management activities. As Williams is acting as agent for natural gas marketing customers or engages in energy trading activities, the resulting revenues are presented net of the related costs of those activities in the Consolidated Statement of Income.</w:t>
      </w:r>
    </w:p>
    <w:p>
      <w:pPr>
        <w:spacing w:after="0" w:line="214"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Transco and NWP, revenue disaggregation by major service line includes </w:t>
      </w:r>
      <w:r>
        <w:rPr>
          <w:rFonts w:ascii="Times New Roman" w:cs="Times New Roman" w:eastAsia="Times New Roman" w:hAnsi="Times New Roman"/>
          <w:sz w:val="18"/>
          <w:szCs w:val="18"/>
          <w:i w:val="1"/>
          <w:iCs w:val="1"/>
          <w:color w:val="auto"/>
        </w:rPr>
        <w:t>Natural gas transportation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Natural gas storage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Natural gas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Other</w:t>
      </w:r>
      <w:r>
        <w:rPr>
          <w:rFonts w:ascii="Times New Roman" w:cs="Times New Roman" w:eastAsia="Times New Roman" w:hAnsi="Times New Roman"/>
          <w:sz w:val="18"/>
          <w:szCs w:val="18"/>
          <w:color w:val="auto"/>
        </w:rPr>
        <w:t>, which are separately presented in their Statements of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contract assets: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1"/>
        </w:trPr>
        <w:tc>
          <w:tcPr>
            <w:tcW w:w="4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6"/>
                <w:szCs w:val="16"/>
                <w:b w:val="1"/>
                <w:bCs w:val="1"/>
                <w:color w:val="auto"/>
                <w:w w:val="96"/>
              </w:rPr>
              <w:t>Transco</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NWP</w:t>
            </w:r>
          </w:p>
        </w:tc>
        <w:tc>
          <w:tcPr>
            <w:tcW w:w="820" w:type="dxa"/>
            <w:vAlign w:val="bottom"/>
            <w:tcBorders>
              <w:bottom w:val="single" w:sz="8" w:color="auto"/>
            </w:tcBorders>
          </w:tcPr>
          <w:p>
            <w:pPr>
              <w:spacing w:after="0"/>
              <w:rPr>
                <w:sz w:val="18"/>
                <w:szCs w:val="18"/>
                <w:color w:val="auto"/>
              </w:rPr>
            </w:pPr>
          </w:p>
        </w:tc>
      </w:tr>
      <w:tr>
        <w:trPr>
          <w:trHeight w:val="209"/>
        </w:trPr>
        <w:tc>
          <w:tcPr>
            <w:tcW w:w="43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4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left="494"/>
              <w:spacing w:after="0"/>
              <w:rPr>
                <w:sz w:val="20"/>
                <w:szCs w:val="20"/>
                <w:color w:val="auto"/>
              </w:rPr>
            </w:pPr>
            <w:r>
              <w:rPr>
                <w:rFonts w:ascii="Times New Roman" w:cs="Times New Roman" w:eastAsia="Times New Roman" w:hAnsi="Times New Roman"/>
                <w:sz w:val="16"/>
                <w:szCs w:val="16"/>
                <w:b w:val="1"/>
                <w:bCs w:val="1"/>
                <w:color w:val="auto"/>
                <w:w w:val="98"/>
              </w:rPr>
              <w:t>(Millions)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in excess of amounts invoiced</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 acquired</w:t>
            </w:r>
          </w:p>
        </w:tc>
        <w:tc>
          <w:tcPr>
            <w:tcW w:w="7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Minimum volume commitments invoiced</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contract assets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72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
        </w:trPr>
        <w:tc>
          <w:tcPr>
            <w:tcW w:w="4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contract liabilities: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1"/>
        </w:trPr>
        <w:tc>
          <w:tcPr>
            <w:tcW w:w="4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w w:val="99"/>
              </w:rPr>
              <w:t>Transco</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NWP</w:t>
            </w:r>
          </w:p>
        </w:tc>
        <w:tc>
          <w:tcPr>
            <w:tcW w:w="820" w:type="dxa"/>
            <w:vAlign w:val="bottom"/>
            <w:tcBorders>
              <w:bottom w:val="single" w:sz="8" w:color="auto"/>
            </w:tcBorders>
          </w:tcPr>
          <w:p>
            <w:pPr>
              <w:spacing w:after="0"/>
              <w:rPr>
                <w:sz w:val="18"/>
                <w:szCs w:val="18"/>
                <w:color w:val="auto"/>
              </w:rPr>
            </w:pPr>
          </w:p>
        </w:tc>
      </w:tr>
      <w:tr>
        <w:trPr>
          <w:trHeight w:val="209"/>
        </w:trPr>
        <w:tc>
          <w:tcPr>
            <w:tcW w:w="4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received and deferred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acquired and other additions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Significant financing component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reclassified as held for sale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Recognized in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primarily include reservation charges on contracted capacity for Williams’ gas pipeline firm transportation contracts with customers, storage capacity contracts, long-term contracts containing MVC associated with midstream businesses, and fixed payments associated with offshore gathering and transportation. For Williams’ interstate natural gas pipeline businesses, including Transco and NWP, remaining performance obligations generally reflect the expected rates for such services for the life of the related contracts; however, these rates may change based on future tariffs approved by the FERC.</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exclude variable consideration, including contracts with variable consideration for which it has elected the practical expedient for consideration recognized in revenue as billed. Certain of its contracts contain evergreen and other renewal provisions for periods beyond the initial term of the contract. The remaining performance obligation amounts as of December 31, 2025, do not consider potential future performance obligations for which the renewal has not been exercised and exclude contracts with customers for which the underlying facilities have not received FERC authorization to be placed into service. Consideration received prior to December 31, 2025, that will be recognized in future periods is also excluded from its remaining performance obligations and is instead reflected in contract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amount of the contract liabilities balance expected to be recognized as revenue when performance obligations are satisfied and the transaction price allocated to the remaining performance obligations under certain contracts as of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6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Transco</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NWP</w:t>
            </w:r>
          </w:p>
        </w:tc>
      </w:tr>
      <w:tr>
        <w:trPr>
          <w:trHeight w:val="210"/>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(Millions)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(one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(one year)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(one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(one year)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(one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84"/>
        </w:trPr>
        <w:tc>
          <w:tcPr>
            <w:tcW w:w="6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left="612"/>
              <w:spacing w:after="0"/>
              <w:rPr>
                <w:sz w:val="20"/>
                <w:szCs w:val="20"/>
                <w:color w:val="auto"/>
              </w:rPr>
            </w:pPr>
            <w:r>
              <w:rPr>
                <w:rFonts w:ascii="Times New Roman" w:cs="Times New Roman" w:eastAsia="Times New Roman" w:hAnsi="Times New Roman"/>
                <w:sz w:val="16"/>
                <w:szCs w:val="16"/>
                <w:b w:val="1"/>
                <w:bCs w:val="1"/>
                <w:color w:val="auto"/>
              </w:rPr>
              <w:t>Remaining Performance Obligations</w:t>
            </w:r>
          </w:p>
        </w:tc>
        <w:tc>
          <w:tcPr>
            <w:tcW w:w="960" w:type="dxa"/>
            <w:vAlign w:val="bottom"/>
            <w:tcBorders>
              <w:bottom w:val="single" w:sz="8" w:color="auto"/>
            </w:tcBorders>
          </w:tcPr>
          <w:p>
            <w:pPr>
              <w:spacing w:after="0"/>
              <w:rPr>
                <w:sz w:val="24"/>
                <w:szCs w:val="24"/>
                <w:color w:val="auto"/>
              </w:rPr>
            </w:pPr>
          </w:p>
        </w:tc>
      </w:tr>
      <w:tr>
        <w:trPr>
          <w:trHeight w:val="211"/>
        </w:trPr>
        <w:tc>
          <w:tcPr>
            <w:tcW w:w="66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Transco</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NWP</w:t>
            </w:r>
          </w:p>
        </w:tc>
      </w:tr>
      <w:tr>
        <w:trPr>
          <w:trHeight w:val="210"/>
        </w:trPr>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(Millions)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(one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(one year)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(one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(one year)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(one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48"/>
        </w:trPr>
        <w:tc>
          <w:tcPr>
            <w:tcW w:w="6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Provision (Benefit) for Income Taxes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Williams has adopted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and has applied the disclosure guidance retrospectively for each period presented.</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8"/>
          <w:szCs w:val="18"/>
          <w:color w:val="auto"/>
        </w:rPr>
        <w:t xml:space="preserve"> includes: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00"/>
        </w:trPr>
        <w:tc>
          <w:tcPr>
            <w:tcW w:w="6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5"/>
                <w:szCs w:val="15"/>
                <w:b w:val="1"/>
                <w:bCs w:val="1"/>
                <w:color w:val="auto"/>
              </w:rPr>
              <w:t>2025</w:t>
            </w: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5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6"/>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(Millions)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5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3"/>
        </w:trPr>
        <w:tc>
          <w:tcPr>
            <w:tcW w:w="6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48"/>
        </w:trPr>
        <w:tc>
          <w:tcPr>
            <w:tcW w:w="6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Provision (benefit) for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5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Reconciliations from the </w:t>
      </w:r>
      <w:r>
        <w:rPr>
          <w:rFonts w:ascii="Times New Roman" w:cs="Times New Roman" w:eastAsia="Times New Roman" w:hAnsi="Times New Roman"/>
          <w:sz w:val="17"/>
          <w:szCs w:val="17"/>
          <w:i w:val="1"/>
          <w:iCs w:val="1"/>
          <w:color w:val="auto"/>
        </w:rPr>
        <w:t>Provision (benefit) for income taxes at the federal statutory rate</w:t>
      </w:r>
      <w:r>
        <w:rPr>
          <w:rFonts w:ascii="Times New Roman" w:cs="Times New Roman" w:eastAsia="Times New Roman" w:hAnsi="Times New Roman"/>
          <w:sz w:val="18"/>
          <w:szCs w:val="18"/>
          <w:color w:val="auto"/>
        </w:rPr>
        <w:t xml:space="preserve"> to recorded </w:t>
      </w: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8"/>
          <w:szCs w:val="18"/>
          <w:color w:val="auto"/>
        </w:rPr>
        <w:t xml:space="preserve">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00"/>
        </w:trPr>
        <w:tc>
          <w:tcPr>
            <w:tcW w:w="5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2025</w:t>
            </w:r>
          </w:p>
        </w:tc>
        <w:tc>
          <w:tcPr>
            <w:tcW w:w="7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2024</w:t>
            </w:r>
          </w:p>
        </w:tc>
        <w:tc>
          <w:tcPr>
            <w:tcW w:w="76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2023</w:t>
            </w:r>
          </w:p>
        </w:tc>
        <w:tc>
          <w:tcPr>
            <w:tcW w:w="7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w w:val="99"/>
              </w:rPr>
              <w:t>(Millions)</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Provision (benefit) for income taxes at the federal statutory rate</w:t>
            </w: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761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627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925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21.0 %</w:t>
            </w:r>
          </w:p>
        </w:tc>
      </w:tr>
      <w:tr>
        <w:trPr>
          <w:trHeight w:val="200"/>
        </w:trPr>
        <w:tc>
          <w:tcPr>
            <w:tcW w:w="5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 and local income tax, net of federal income tax effect</w:t>
            </w:r>
          </w:p>
        </w:tc>
        <w:tc>
          <w:tcPr>
            <w:tcW w:w="180" w:type="dxa"/>
            <w:vAlign w:val="bottom"/>
          </w:tcPr>
          <w:p>
            <w:pPr>
              <w:spacing w:after="0"/>
              <w:rPr>
                <w:sz w:val="17"/>
                <w:szCs w:val="17"/>
                <w:color w:val="auto"/>
              </w:rPr>
            </w:pPr>
          </w:p>
        </w:tc>
        <w:tc>
          <w:tcPr>
            <w:tcW w:w="8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130</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35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rPr>
              <w:t>104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2.4 %</w:t>
            </w:r>
          </w:p>
        </w:tc>
      </w:tr>
      <w:tr>
        <w:trPr>
          <w:trHeight w:val="20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Nontaxable or nondeductible items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(34)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rPr>
              <w:t>(23)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r>
      <w:tr>
        <w:trPr>
          <w:trHeight w:val="20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adjustments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0.0 %</w:t>
            </w:r>
          </w:p>
        </w:tc>
      </w:tr>
      <w:tr>
        <w:trPr>
          <w:trHeight w:val="223"/>
        </w:trPr>
        <w:tc>
          <w:tcPr>
            <w:tcW w:w="5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i w:val="1"/>
                <w:iCs w:val="1"/>
                <w:color w:val="auto"/>
              </w:rPr>
              <w:t>Provision (benefit) for income taxes</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857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23.7 %</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640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21.4 %</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rPr>
              <w:t>1,005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22.9 %</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During the course of audits of its business by domestic and foreign tax authorities, Williams frequently faces challenges regarding the amount of taxes due. These challenges include questions regarding the timing and amount of deductions and the allocation of income among various tax jurisdictions. In evaluating the liability associated with its various filing positions, Williams applies the two-step process of recognition and measurement. In association with this liability, Williams records an estimate of related interest and tax exposure as a component of its tax provision. The impact of this accrual is included within </w:t>
      </w:r>
      <w:r>
        <w:rPr>
          <w:rFonts w:ascii="Times New Roman" w:cs="Times New Roman" w:eastAsia="Times New Roman" w:hAnsi="Times New Roman"/>
          <w:sz w:val="17"/>
          <w:szCs w:val="17"/>
          <w:i w:val="1"/>
          <w:iCs w:val="1"/>
          <w:color w:val="auto"/>
        </w:rPr>
        <w:t>Other adjustments</w:t>
      </w:r>
      <w:r>
        <w:rPr>
          <w:rFonts w:ascii="Times New Roman" w:cs="Times New Roman" w:eastAsia="Times New Roman" w:hAnsi="Times New Roman"/>
          <w:sz w:val="18"/>
          <w:szCs w:val="18"/>
          <w:color w:val="auto"/>
        </w:rPr>
        <w:t xml:space="preserve"> in its reconciliation of the </w:t>
      </w:r>
      <w:r>
        <w:rPr>
          <w:rFonts w:ascii="Times New Roman" w:cs="Times New Roman" w:eastAsia="Times New Roman" w:hAnsi="Times New Roman"/>
          <w:sz w:val="17"/>
          <w:szCs w:val="17"/>
          <w:i w:val="1"/>
          <w:iCs w:val="1"/>
          <w:color w:val="auto"/>
        </w:rPr>
        <w:t>Provision (benefit) for income taxes at the federal statutory rate</w:t>
      </w:r>
      <w:r>
        <w:rPr>
          <w:rFonts w:ascii="Times New Roman" w:cs="Times New Roman" w:eastAsia="Times New Roman" w:hAnsi="Times New Roman"/>
          <w:sz w:val="18"/>
          <w:szCs w:val="18"/>
          <w:color w:val="auto"/>
        </w:rPr>
        <w:t xml:space="preserve"> to recorded </w:t>
      </w:r>
      <w:r>
        <w:rPr>
          <w:rFonts w:ascii="Times New Roman" w:cs="Times New Roman" w:eastAsia="Times New Roman" w:hAnsi="Times New Roman"/>
          <w:sz w:val="17"/>
          <w:szCs w:val="17"/>
          <w:i w:val="1"/>
          <w:iCs w:val="1"/>
          <w:color w:val="auto"/>
        </w:rPr>
        <w:t>Provision (benefit)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Significant components of </w:t>
      </w:r>
      <w:r>
        <w:rPr>
          <w:rFonts w:ascii="Times New Roman" w:cs="Times New Roman" w:eastAsia="Times New Roman" w:hAnsi="Times New Roman"/>
          <w:sz w:val="17"/>
          <w:szCs w:val="17"/>
          <w:i w:val="1"/>
          <w:iCs w:val="1"/>
          <w:color w:val="auto"/>
        </w:rPr>
        <w:t>Deferred income tax liabilities</w:t>
      </w:r>
      <w:r>
        <w:rPr>
          <w:rFonts w:ascii="Times New Roman" w:cs="Times New Roman" w:eastAsia="Times New Roman" w:hAnsi="Times New Roman"/>
          <w:sz w:val="18"/>
          <w:szCs w:val="18"/>
          <w:color w:val="auto"/>
        </w:rPr>
        <w:t xml:space="preserv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8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Pr>
          <w:p>
            <w:pPr>
              <w:spacing w:after="0"/>
              <w:rPr>
                <w:sz w:val="17"/>
                <w:szCs w:val="17"/>
                <w:color w:val="auto"/>
              </w:rPr>
            </w:pPr>
          </w:p>
        </w:tc>
      </w:tr>
      <w:tr>
        <w:trPr>
          <w:trHeight w:val="23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income tax liabilities:</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29"/>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3"/>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gross deferred income tax liabilities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alternative minimum tax credits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loss carryovers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business interest expense carryforward</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losses and credits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9"/>
        </w:trPr>
        <w:tc>
          <w:tcPr>
            <w:tcW w:w="86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23"/>
        </w:trPr>
        <w:tc>
          <w:tcPr>
            <w:tcW w:w="868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Deferred income tax liabilities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valuation allowance at December 31, 2025 and 2024 serves to reduce the available deferred income tax assets to an amount that will, more likely than not, be realized. Williams considered all available positive and negative evidence, which incorporates available tax planning strategies, and management’s estimate of future reversals of existing taxable temporary differences and has determined that a portion of its deferred income tax assets related to </w:t>
      </w:r>
      <w:r>
        <w:rPr>
          <w:rFonts w:ascii="Times New Roman" w:cs="Times New Roman" w:eastAsia="Times New Roman" w:hAnsi="Times New Roman"/>
          <w:sz w:val="17"/>
          <w:szCs w:val="17"/>
          <w:i w:val="1"/>
          <w:iCs w:val="1"/>
          <w:color w:val="auto"/>
        </w:rPr>
        <w:t>State losses and credits</w:t>
      </w:r>
      <w:r>
        <w:rPr>
          <w:rFonts w:ascii="Times New Roman" w:cs="Times New Roman" w:eastAsia="Times New Roman" w:hAnsi="Times New Roman"/>
          <w:sz w:val="18"/>
          <w:szCs w:val="18"/>
          <w:color w:val="auto"/>
        </w:rPr>
        <w:t xml:space="preserve"> may not be realized. The amounts presented in the table above are, with respect to state items, before any federal benefit. The change from prior year for the </w:t>
      </w:r>
      <w:r>
        <w:rPr>
          <w:rFonts w:ascii="Times New Roman" w:cs="Times New Roman" w:eastAsia="Times New Roman" w:hAnsi="Times New Roman"/>
          <w:sz w:val="17"/>
          <w:szCs w:val="17"/>
          <w:i w:val="1"/>
          <w:iCs w:val="1"/>
          <w:color w:val="auto"/>
        </w:rPr>
        <w:t>State losses and credits</w:t>
      </w:r>
      <w:r>
        <w:rPr>
          <w:rFonts w:ascii="Times New Roman" w:cs="Times New Roman" w:eastAsia="Times New Roman" w:hAnsi="Times New Roman"/>
          <w:sz w:val="18"/>
          <w:szCs w:val="18"/>
          <w:color w:val="auto"/>
        </w:rPr>
        <w:t xml:space="preserve"> reflects increases in losses and credits generated in the current and prior years less losses and/or credits utilized in the current year. Williams has loss and credit carryovers in multiple state taxing jurisdictions. These attributes generally expire between</w:t>
      </w:r>
    </w:p>
    <w:p>
      <w:pPr>
        <w:sectPr>
          <w:pgSz w:w="11900" w:h="16838" w:orient="portrait"/>
          <w:cols w:equalWidth="0" w:num="1">
            <w:col w:w="11240"/>
          </w:cols>
          <w:pgMar w:left="320" w:top="121" w:right="339" w:bottom="1440" w:gutter="0" w:footer="0" w:header="0"/>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2044 with some carryovers having indefinite carryforward periods.</w:t>
      </w:r>
    </w:p>
    <w:p>
      <w:pPr>
        <w:spacing w:after="0" w:line="13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Corporate alternative minimum tax credits</w:t>
      </w:r>
      <w:r>
        <w:rPr>
          <w:rFonts w:ascii="Times New Roman" w:cs="Times New Roman" w:eastAsia="Times New Roman" w:hAnsi="Times New Roman"/>
          <w:sz w:val="17"/>
          <w:szCs w:val="17"/>
          <w:i w:val="1"/>
          <w:iCs w:val="1"/>
          <w:color w:val="auto"/>
        </w:rPr>
        <w:t>, Federal loss carryovers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i w:val="1"/>
          <w:iCs w:val="1"/>
          <w:color w:val="auto"/>
        </w:rPr>
        <w:t>Disallowed business interest expense carryforward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tax assets on corporate alternative minimum tax credits, net operating loss carryovers and federal interest expense attributes have an expiration date.</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payments for income taxes (net of refunds) are as follows: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firstLine="4"/>
        <w:spacing w:after="0" w:line="266" w:lineRule="auto"/>
        <w:rPr>
          <w:sz w:val="20"/>
          <w:szCs w:val="20"/>
          <w:color w:val="auto"/>
        </w:rPr>
      </w:pPr>
      <w:r>
        <w:rPr>
          <w:rFonts w:ascii="Times New Roman" w:cs="Times New Roman" w:eastAsia="Times New Roman" w:hAnsi="Times New Roman"/>
          <w:sz w:val="18"/>
          <w:szCs w:val="18"/>
          <w:color w:val="auto"/>
        </w:rPr>
        <w:t>at December 31, 2025 reflect carryforwards. None of these</w:t>
      </w:r>
    </w:p>
    <w:p>
      <w:pPr>
        <w:spacing w:after="0" w:line="731" w:lineRule="exact"/>
        <w:rPr>
          <w:sz w:val="20"/>
          <w:szCs w:val="20"/>
          <w:color w:val="auto"/>
        </w:rPr>
      </w:pPr>
    </w:p>
    <w:p>
      <w:pPr>
        <w:sectPr>
          <w:pgSz w:w="11900" w:h="16838" w:orient="portrait"/>
          <w:cols w:equalWidth="0" w:num="2">
            <w:col w:w="9040" w:space="60"/>
            <w:col w:w="2140"/>
          </w:cols>
          <w:pgMar w:left="320" w:top="121" w:right="3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center"/>
              <w:ind w:left="5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00"/>
        </w:trPr>
        <w:tc>
          <w:tcPr>
            <w:tcW w:w="75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3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96"/>
        </w:trPr>
        <w:tc>
          <w:tcPr>
            <w:tcW w:w="7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(Millions)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720" w:type="dxa"/>
            <w:vAlign w:val="bottom"/>
            <w:tcBorders>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July 4, 2025, the One Big Beautiful Bill Act was enacted. While the new law did not have a significant impact on Williams’ federal income tax provision, Williams did have a temporary deferral of federal income tax payments as a result of permanently restoring full bonus depreciation of certain business property and excluding tax depreciation and amortization in the calculation of the business interest expense limitation.</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fourth quarter of 2023, Williams closed the audit for 2018 and made a $5 million payment.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 xml:space="preserve">Williams recognizes related interest and penalties as a component of </w:t>
      </w: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8"/>
          <w:szCs w:val="18"/>
          <w:color w:val="auto"/>
        </w:rPr>
        <w:t>. There were no significant interest and penalties recognized for any period presented. There were no interest or penalties relating to uncertain tax positions accrued as of December 31, 2025 and December 31, 2024.</w:t>
      </w:r>
    </w:p>
    <w:p>
      <w:pPr>
        <w:spacing w:after="0" w:line="12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Consolidated U.S. Federal income tax returns are open to Internal Revenue Service (IRS) examination for tax years after 2021. The statute of limitations for most states expires one year after expiration of the IRS statute.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has noncontributory defined benefit pension plans for eligible employees hired prior to January 1, 2019. Eligible employees earn compensation credits based on a cash balance formula. As of January 1, 2020, certain active employees are no longer eligible to receive compensation credits.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provides subsidized retiree medical benefits to a closed group of participants as well as retiree life insurance benefits to eligible participants. Medical benefits for Medicare eligible participants are paid through contributions to health reimbursement accounts. Benefits for all other participants are provided through a self-insured medical plan, which includes participant contributions and contains other cost-sharing features such as deductibles, co-payments, and co-insurance.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has a defined contribution plan for the benefit of substantially all employees. Plan participants may contribute a portion of their compensation on a pre-tax or after-tax basis. Generally, Williams matches employee contributions up to 6 percent of eligible compensation. Additionally, eligible active employees that do not receive compensation credits under the defined benefit pension plan are eligible for an additional annual fixed-percentage contribution made by Williams to the defined contribution plan. Williams’ contributions charged to expense were $74 million in 2025, $69 million in 2024, and $60 million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Funded Status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benefit obligations and plan assets for pension benefits and other postretirement benefits for the years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actuarial loss (gain) (1)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benefit obligation</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Employer contributions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increase (decrease) in fair value of plan assets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 — overfunded (underfunded)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Amounts recognized in the Consolidated Balance Sheet: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 overfunded (underfunded)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40" w:type="dxa"/>
            <w:vAlign w:val="bottom"/>
            <w:vMerge w:val="continue"/>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left="340" w:hanging="332"/>
        <w:spacing w:after="0" w:line="255" w:lineRule="auto"/>
        <w:tabs>
          <w:tab w:leader="none" w:pos="5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amounts are due primarily to changes in the following factors: Pension Benefits - discount rate assumptions and interest crediting rate assumption. 2024 amounts are due primarily to changes in the following factors: Pension Benefits - discount rate assumptions and interest crediting rate assumption; Other Postretirement Benefits - discount rate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for pension plans with obligations in excess of plan assets at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6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6"/>
                <w:szCs w:val="16"/>
                <w:color w:val="auto"/>
              </w:rPr>
            </w:pPr>
          </w:p>
        </w:tc>
      </w:tr>
      <w:tr>
        <w:trPr>
          <w:trHeight w:val="23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86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Pre-tax amounts recognized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at December 31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6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78</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as of December 31, 2025 and 2024, Williams has $99 million and $139 million, respectively, of pension and other postretirement plan amounts included in regulatory liabilities associated with its gas pipeline companies (see Note 10 – Regulatory Assets and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Benefit Cost (Credit)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periodic benefit cost (credit) </w:t>
      </w:r>
      <w:r>
        <w:rPr>
          <w:rFonts w:ascii="Times New Roman" w:cs="Times New Roman" w:eastAsia="Times New Roman" w:hAnsi="Times New Roman"/>
          <w:sz w:val="18"/>
          <w:szCs w:val="18"/>
          <w:color w:val="auto"/>
        </w:rPr>
        <w:t>for the years ended December 31 consist of the following: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 (credit):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actuarial loss from settlements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to regulatory liability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 (1)</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340" w:hanging="332"/>
        <w:spacing w:after="0" w:line="260" w:lineRule="auto"/>
        <w:tabs>
          <w:tab w:leader="none" w:pos="53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Components other than </w:t>
      </w:r>
      <w:r>
        <w:rPr>
          <w:rFonts w:ascii="Times New Roman" w:cs="Times New Roman" w:eastAsia="Times New Roman" w:hAnsi="Times New Roman"/>
          <w:sz w:val="18"/>
          <w:szCs w:val="18"/>
          <w:i w:val="1"/>
          <w:iCs w:val="1"/>
          <w:color w:val="auto"/>
        </w:rPr>
        <w:t>Service cost</w:t>
      </w:r>
      <w:r>
        <w:rPr>
          <w:rFonts w:ascii="Times New Roman" w:cs="Times New Roman" w:eastAsia="Times New Roman" w:hAnsi="Times New Roman"/>
          <w:sz w:val="18"/>
          <w:szCs w:val="18"/>
          <w:color w:val="auto"/>
        </w:rPr>
        <w:t xml:space="preserve"> are included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 xml:space="preserve"> in Williams’ Consolidated Statement of Income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Recognized in Other Comprehensive Income (Loss)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Other changes in plan assets and benefit obligations recognized in </w:t>
      </w:r>
      <w:r>
        <w:rPr>
          <w:rFonts w:ascii="Times New Roman" w:cs="Times New Roman" w:eastAsia="Times New Roman" w:hAnsi="Times New Roman"/>
          <w:sz w:val="18"/>
          <w:szCs w:val="18"/>
          <w:i w:val="1"/>
          <w:iCs w:val="1"/>
          <w:color w:val="auto"/>
        </w:rPr>
        <w:t>Other comprehensive income (loss)</w:t>
      </w:r>
      <w:r>
        <w:rPr>
          <w:rFonts w:ascii="Times New Roman" w:cs="Times New Roman" w:eastAsia="Times New Roman" w:hAnsi="Times New Roman"/>
          <w:sz w:val="18"/>
          <w:szCs w:val="18"/>
          <w:color w:val="auto"/>
        </w:rPr>
        <w:t xml:space="preserve"> before taxes for the years ended December 31 consist of the following: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 arising during the year</w:t>
            </w: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5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 from settlements</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xml:space="preserve">Total recognized in </w:t>
            </w:r>
            <w:r>
              <w:rPr>
                <w:rFonts w:ascii="Times New Roman" w:cs="Times New Roman" w:eastAsia="Times New Roman" w:hAnsi="Times New Roman"/>
                <w:sz w:val="17"/>
                <w:szCs w:val="17"/>
                <w:i w:val="1"/>
                <w:iCs w:val="1"/>
                <w:color w:val="auto"/>
              </w:rPr>
              <w:t>Other comprehensive income (loss)</w:t>
            </w: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29</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Assumptions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weighted-average assumptions utilized to determine benefit obligations and </w:t>
      </w:r>
      <w:r>
        <w:rPr>
          <w:rFonts w:ascii="Times New Roman" w:cs="Times New Roman" w:eastAsia="Times New Roman" w:hAnsi="Times New Roman"/>
          <w:sz w:val="18"/>
          <w:szCs w:val="18"/>
          <w:i w:val="1"/>
          <w:iCs w:val="1"/>
          <w:color w:val="auto"/>
        </w:rPr>
        <w:t>Net periodic benefit cost (credit)</w:t>
      </w:r>
      <w:r>
        <w:rPr>
          <w:rFonts w:ascii="Times New Roman" w:cs="Times New Roman" w:eastAsia="Times New Roman" w:hAnsi="Times New Roman"/>
          <w:sz w:val="18"/>
          <w:szCs w:val="18"/>
          <w:color w:val="auto"/>
        </w:rPr>
        <w:t xml:space="preserve"> as of December 31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5"/>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5.32 %</w:t>
            </w:r>
          </w:p>
        </w:tc>
        <w:tc>
          <w:tcPr>
            <w:tcW w:w="12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5.60 %</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5.47 %</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5.67 %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5.60 %</w:t>
            </w:r>
          </w:p>
        </w:tc>
        <w:tc>
          <w:tcPr>
            <w:tcW w:w="12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5.16 %</w:t>
            </w:r>
          </w:p>
        </w:tc>
        <w:tc>
          <w:tcPr>
            <w:tcW w:w="12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5.67 %</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Expected long-term rate of return on plan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9"/>
                <w:szCs w:val="19"/>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13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uses mortality tables issued by the Society of Actuaries to measure the benefit obligations.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assumed health care cost trend rate for 2026 is 9.1 percent. This rate decreases to 4.5 percent by 2035.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plans’ investment objectives include a framework to manage the volatility of the plans’ funded status and minimize future cash contributions. The plans follow a policy of diversifying the investments across various asset classes, strategies, and investment managers. In order to mitigate risks associated with investing, the investment policy for the pension plans defines target asset allocation percentages and outlines types of investments that are authorized and not authorized under the policy. The December 31, 2025, target asset allocation was 25 percent equity securities and 75 percent fixed income securities, including investments in equity and fixed income commingled investment funds and separate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values of Williams’ pension and other postretirement benefits plan assets by asset class at December 31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10"/>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2 (2)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 (1)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 (2)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5"/>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management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Commingled investment funds (3):</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Fixed income</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11"/>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 (1)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2 (2)</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1 (1)</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 (2)</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management funds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Commingled investment funds (3):</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Equities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Fixed income</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ind w:left="340" w:right="20" w:hanging="332"/>
        <w:spacing w:after="0" w:line="260" w:lineRule="auto"/>
        <w:tabs>
          <w:tab w:leader="none" w:pos="4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includes assets with fair values based on quoted prices in active markets for identical assets. Cash management funds and U.S. Treasury securities are included in this level.</w:t>
      </w:r>
    </w:p>
    <w:p>
      <w:pPr>
        <w:spacing w:after="0" w:line="12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includes assets with fair values determined by using significant other observable inputs. This level includes fixed income securities, other than U.S. Treasury securities, that are valued primarily using pricing models which incorporate observable inputs such as benchmark yields, reported trades, broker/dealer quotes, and issuer spreads.</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48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commingled investment funds are measured using the net asset value per share practical expedient. Certain standard withdrawal restrictions generally apply, which may include redemption notification periods ranging from 5 days to 15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 Payments and Employer Contributions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are the expected benefit payments, which reflect the same assumptions previously discussed and future service as appropriate.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1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1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4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1140" w:type="dxa"/>
            <w:vAlign w:val="bottom"/>
          </w:tcPr>
          <w:p>
            <w:pPr>
              <w:spacing w:after="0"/>
              <w:rPr>
                <w:sz w:val="20"/>
                <w:szCs w:val="20"/>
                <w:color w:val="auto"/>
              </w:rPr>
            </w:pP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393</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2026, Williams expects to contribute approximately $1 million to the pension plans and approximately $3 million to the other postretirement benefit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Equity-Method Investments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Ownership Interest at</w:t>
            </w:r>
          </w:p>
        </w:tc>
        <w:tc>
          <w:tcPr>
            <w:tcW w:w="2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360" w:type="dxa"/>
            <w:vAlign w:val="bottom"/>
          </w:tcPr>
          <w:p>
            <w:pPr>
              <w:spacing w:after="0"/>
              <w:rPr>
                <w:sz w:val="17"/>
                <w:szCs w:val="17"/>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7"/>
                <w:szCs w:val="17"/>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73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Appalachia Midstream Investments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OPPL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Blue Racer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Cogentrix</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Louisiana LNG</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Gulfstream</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Laurel Mountain Midstream, LLC</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27"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equity-method investments in multiple gathering systems in the Marcellus Shale region with an approximate average 66 percent interest.</w:t>
      </w:r>
    </w:p>
    <w:p>
      <w:pPr>
        <w:spacing w:after="0" w:line="16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Cogentrix section below for more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Louisiana LNG</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October 2025, Williams acquired a 10 percent interest in Louisiana LNG for $276 million. The investment is accounted for under the equity-method and is reported within the Transmission, Power &amp; Gulf segment. Louisiana LNG is developing a fully permitted LNG export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Cogentrix</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2025, Williams invested $153 million in Cogentrix, representing an approximate 10 percent indirect interest in 11 natural gas power plants. Williams’ investment is accounted for under the equity-method within the Gas &amp; NGL Marketing Services segment, while the investee is considered an investment company, which requires accounting for its investments at fair value. Williams’ equity earnings from Cogentrix reflect its share of the operating expenses and fair value changes recorded by the investee.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During the fourth quarter of 2025, Williams recorded $153 million of </w:t>
      </w:r>
      <w:r>
        <w:rPr>
          <w:rFonts w:ascii="Times New Roman" w:cs="Times New Roman" w:eastAsia="Times New Roman" w:hAnsi="Times New Roman"/>
          <w:sz w:val="18"/>
          <w:szCs w:val="18"/>
          <w:i w:val="1"/>
          <w:iCs w:val="1"/>
          <w:color w:val="auto"/>
        </w:rPr>
        <w:t>Equity earnings (losses)</w:t>
      </w:r>
      <w:r>
        <w:rPr>
          <w:rFonts w:ascii="Times New Roman" w:cs="Times New Roman" w:eastAsia="Times New Roman" w:hAnsi="Times New Roman"/>
          <w:sz w:val="18"/>
          <w:szCs w:val="18"/>
          <w:color w:val="auto"/>
        </w:rPr>
        <w:t xml:space="preserve"> from Cogentrix, primarily reflecting the favorable impact to fair value of an announced agreement to sell a significant portion of the underlying power plant assets.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Basis differential</w:t>
      </w:r>
    </w:p>
    <w:p>
      <w:pPr>
        <w:spacing w:after="0" w:line="16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carrying value of Appalachia Midstream Investments exceeds Williams’ portion of the underlying net assets by approximately $1.0 billion at December 31, 2025 and 2024. These differences were assigned at the acquisition date to property, plant, and equipment and customer relationship intangible assets.</w:t>
      </w:r>
    </w:p>
    <w:p>
      <w:pPr>
        <w:spacing w:after="0" w:line="12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 xml:space="preserve">Certain other equity-method investments have a carrying value less than Williams’ portion of the underlying equity in the net assets primarily due to other-than-temporary impairments that Williams recognized but were not required to be recognized in the investees’ financial statements. These differences total approximately $509 million and $634 million at December 31, 2025 and 2024, respectively, and were assigned to property, plant, and equipment and customer relationship intangible assets. Differences in the carrying value of Williams’ equity-method investments and its portion of the equity in the underlying net assets are generally amortized over the remaining useful lives of the associated underlying assets and included in </w:t>
      </w:r>
      <w:r>
        <w:rPr>
          <w:rFonts w:ascii="Times New Roman" w:cs="Times New Roman" w:eastAsia="Times New Roman" w:hAnsi="Times New Roman"/>
          <w:sz w:val="18"/>
          <w:szCs w:val="18"/>
          <w:i w:val="1"/>
          <w:iCs w:val="1"/>
          <w:color w:val="auto"/>
        </w:rPr>
        <w:t>Equity earnings (losses)</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Purchases of and contributions to equity-method investments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generally funds its portion of significant expansion or development projects of these investees through additional capital contributions. These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1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increased</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carrying</w:t>
            </w:r>
          </w:p>
        </w:tc>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value</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Williams’</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investments</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and</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included:</w:t>
            </w:r>
          </w:p>
        </w:tc>
      </w:tr>
      <w:tr>
        <w:trPr>
          <w:trHeight w:val="190"/>
        </w:trPr>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1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Louisiana LNG</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580" w:type="dxa"/>
            <w:vAlign w:val="bottom"/>
            <w:gridSpan w:val="3"/>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Cogentrix</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Appalachia Midstream Investments</w:t>
            </w: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(Note 3)</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Aux Sable Liquid Products LP</w:t>
            </w:r>
          </w:p>
        </w:tc>
        <w:tc>
          <w:tcPr>
            <w:tcW w:w="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1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1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organizational documents of entities in which Williams has an equity-method investment generally require distribution of available cash to members on at least a quarterly basis. These transactions reduced the carrying value of its investments and included: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7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Appalachia Midstream Investments</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Blue Racer</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OPPL</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Gulfstream</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Laurel Mountain Midstream, LLC</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(Note 3)</w:t>
            </w: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RMM (Note 3)</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7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Position and Results of Operations of All Equity-Method Investments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7"/>
        </w:trPr>
        <w:tc>
          <w:tcPr>
            <w:tcW w:w="7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Pr>
          <w:p>
            <w:pPr>
              <w:spacing w:after="0"/>
              <w:rPr>
                <w:sz w:val="19"/>
                <w:szCs w:val="19"/>
                <w:color w:val="auto"/>
              </w:rPr>
            </w:pPr>
          </w:p>
        </w:tc>
        <w:tc>
          <w:tcPr>
            <w:tcW w:w="8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Position:</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829</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14,525</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692"/>
        </w:trPr>
        <w:tc>
          <w:tcPr>
            <w:tcW w:w="7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40" w:type="dxa"/>
            <w:vAlign w:val="bottom"/>
            <w:gridSpan w:val="4"/>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24"/>
                <w:szCs w:val="24"/>
                <w:color w:val="auto"/>
              </w:rPr>
            </w:pP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7"/>
        </w:trPr>
        <w:tc>
          <w:tcPr>
            <w:tcW w:w="7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Pr>
          <w:p>
            <w:pPr>
              <w:spacing w:after="0"/>
              <w:rPr>
                <w:sz w:val="19"/>
                <w:szCs w:val="19"/>
                <w:color w:val="auto"/>
              </w:rPr>
            </w:pPr>
          </w:p>
        </w:tc>
        <w:tc>
          <w:tcPr>
            <w:tcW w:w="8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6"/>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Results of Operations (1):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2,880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3,714</w:t>
            </w:r>
          </w:p>
        </w:tc>
      </w:tr>
      <w:tr>
        <w:trPr>
          <w:trHeight w:val="229"/>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1,190</w:t>
            </w: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34"/>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987</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19" w:lineRule="exact"/>
        <w:rPr>
          <w:sz w:val="20"/>
          <w:szCs w:val="20"/>
          <w:color w:val="auto"/>
        </w:rPr>
      </w:pPr>
    </w:p>
    <w:p>
      <w:pPr>
        <w:jc w:val="both"/>
        <w:ind w:left="340" w:right="20" w:hanging="332"/>
        <w:spacing w:after="0" w:line="218" w:lineRule="exact"/>
        <w:tabs>
          <w:tab w:leader="none" w:pos="33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method investments were acquired, sold, or consolidated in the periods presented. The summarized results of operations includes the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results of the investees, while </w:t>
      </w:r>
      <w:r>
        <w:rPr>
          <w:rFonts w:ascii="Times New Roman" w:cs="Times New Roman" w:eastAsia="Times New Roman" w:hAnsi="Times New Roman"/>
          <w:sz w:val="18"/>
          <w:szCs w:val="18"/>
          <w:i w:val="1"/>
          <w:iCs w:val="1"/>
          <w:color w:val="auto"/>
        </w:rPr>
        <w:t>Equity earnings (losses)</w:t>
      </w:r>
      <w:r>
        <w:rPr>
          <w:rFonts w:ascii="Times New Roman" w:cs="Times New Roman" w:eastAsia="Times New Roman" w:hAnsi="Times New Roman"/>
          <w:sz w:val="18"/>
          <w:szCs w:val="18"/>
          <w:color w:val="auto"/>
        </w:rPr>
        <w:t xml:space="preserve"> reflect only the period subsequent to acquisition or prior to the consolidation or disposition.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investing income (loss) – net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presents certain items reflected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6"/>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360" w:type="dxa"/>
            <w:vAlign w:val="bottom"/>
          </w:tcPr>
          <w:p>
            <w:pPr>
              <w:spacing w:after="0"/>
              <w:rPr>
                <w:sz w:val="16"/>
                <w:szCs w:val="16"/>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Aux Sable investments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Discovery investment (Note 3)</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RMM investment (Note 3)</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7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Aux Sable Interest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August 1, 2024, Williams completed the sale of its equity-method investments in Aux Sable Liquid Products Inc., Aux Sable Liquid Products LP, and Aux Sable Midstream LLC (collectively, “Aux Sable”) in Williams’ Northeast G&amp;P segment for total consideration of $161 million. As a result of this sale, Williams recorded a gain of $149 million in the third quarter of 2024. The gain is reflected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Property, Plant, and Equipment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tables present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for the years ended: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0" w:type="dxa"/>
            <w:vAlign w:val="bottom"/>
            <w:gridSpan w:val="3"/>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5120" w:type="dxa"/>
            <w:vAlign w:val="bottom"/>
          </w:tcPr>
          <w:p>
            <w:pPr>
              <w:spacing w:after="0"/>
              <w:rPr>
                <w:sz w:val="6"/>
                <w:szCs w:val="6"/>
                <w:color w:val="auto"/>
              </w:rPr>
            </w:pPr>
          </w:p>
        </w:tc>
        <w:tc>
          <w:tcPr>
            <w:tcW w:w="1660" w:type="dxa"/>
            <w:vAlign w:val="bottom"/>
            <w:gridSpan w:val="2"/>
            <w:vMerge w:val="restart"/>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Useful Life (1)</w:t>
            </w:r>
          </w:p>
        </w:tc>
        <w:tc>
          <w:tcPr>
            <w:tcW w:w="1700" w:type="dxa"/>
            <w:vAlign w:val="bottom"/>
            <w:gridSpan w:val="2"/>
            <w:vMerge w:val="restart"/>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Rates (1)</w:t>
            </w: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512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line="20" w:lineRule="exact"/>
              <w:rPr>
                <w:sz w:val="1"/>
                <w:szCs w:val="1"/>
                <w:color w:val="auto"/>
              </w:rPr>
            </w:pPr>
          </w:p>
        </w:tc>
      </w:tr>
      <w:tr>
        <w:trPr>
          <w:trHeight w:val="195"/>
        </w:trPr>
        <w:tc>
          <w:tcPr>
            <w:tcW w:w="5120" w:type="dxa"/>
            <w:vAlign w:val="bottom"/>
          </w:tcPr>
          <w:p>
            <w:pPr>
              <w:spacing w:after="0"/>
              <w:rPr>
                <w:sz w:val="16"/>
                <w:szCs w:val="16"/>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Nonregulated:</w:t>
            </w: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gathering and processing facilities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5 - 40</w:t>
            </w:r>
          </w:p>
        </w:tc>
        <w:tc>
          <w:tcPr>
            <w:tcW w:w="120" w:type="dxa"/>
            <w:vAlign w:val="bottom"/>
          </w:tcPr>
          <w:p>
            <w:pPr>
              <w:spacing w:after="0"/>
              <w:rPr>
                <w:sz w:val="19"/>
                <w:szCs w:val="19"/>
                <w:color w:val="auto"/>
              </w:rPr>
            </w:pPr>
          </w:p>
        </w:tc>
        <w:tc>
          <w:tcPr>
            <w:tcW w:w="20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Not applicable</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Oil and gas properties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Units of production</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0 - 45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transmission facilities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2.23 - 10.20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22,763</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Not applicable</w:t>
            </w:r>
          </w:p>
        </w:tc>
        <w:tc>
          <w:tcPr>
            <w:tcW w:w="200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color w:val="auto"/>
              </w:rPr>
              <w:t>Not applicable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5 - 45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0.00 - 33.33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Depreciation expense for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was $2.0 billion, $1.8 billion, and $1.7 billion in 2025, 2024, and 2023, respectively.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capitalized was $62 million, $68 million, and $54 million in 2025, 2024, and 2023, respectively.</w:t>
      </w:r>
    </w:p>
    <w:p>
      <w:pPr>
        <w:spacing w:after="0" w:line="1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Regulated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includes approximately $319 million and $354 million at December 31, 2025 and 2024, respectively, related to the purchase price allocation of $1.5 billion to property, plant and equipment and adjustments to deferred taxes in excess of original cost from Williams’ purchase of Transco in 1995. This amount is being amortized over 40 years using the straight-line amortization method. Current FERC policy does not permit recovery through rates for amounts in excess of original cost of construction.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780" w:type="dxa"/>
            <w:vAlign w:val="bottom"/>
          </w:tcPr>
          <w:p>
            <w:pPr>
              <w:spacing w:after="0"/>
              <w:rPr>
                <w:sz w:val="5"/>
                <w:szCs w:val="5"/>
                <w:color w:val="auto"/>
              </w:rPr>
            </w:pPr>
          </w:p>
        </w:tc>
        <w:tc>
          <w:tcPr>
            <w:tcW w:w="170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Rates (1)</w:t>
            </w: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6780" w:type="dxa"/>
            <w:vAlign w:val="bottom"/>
          </w:tcPr>
          <w:p>
            <w:pPr>
              <w:spacing w:after="0"/>
              <w:rPr>
                <w:sz w:val="2"/>
                <w:szCs w:val="2"/>
                <w:color w:val="auto"/>
              </w:rPr>
            </w:pPr>
          </w:p>
        </w:tc>
        <w:tc>
          <w:tcPr>
            <w:tcW w:w="170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line="20" w:lineRule="exact"/>
              <w:rPr>
                <w:sz w:val="1"/>
                <w:szCs w:val="1"/>
                <w:color w:val="auto"/>
              </w:rPr>
            </w:pPr>
          </w:p>
        </w:tc>
      </w:tr>
      <w:tr>
        <w:trPr>
          <w:trHeight w:val="196"/>
        </w:trPr>
        <w:tc>
          <w:tcPr>
            <w:tcW w:w="6780" w:type="dxa"/>
            <w:vAlign w:val="bottom"/>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Onshore transmission facilities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2.29 - 6.67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17,242</w:t>
            </w:r>
          </w:p>
        </w:tc>
        <w:tc>
          <w:tcPr>
            <w:tcW w:w="0" w:type="dxa"/>
            <w:vAlign w:val="bottom"/>
          </w:tcPr>
          <w:p>
            <w:pPr>
              <w:spacing w:after="0"/>
              <w:rPr>
                <w:sz w:val="1"/>
                <w:szCs w:val="1"/>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Offshore transmission facilities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facilities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2.27 - 2.31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Gathering facilities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0.00 - 0.94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Not applicable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1.58 - 20.00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780" w:type="dxa"/>
            <w:vAlign w:val="bottom"/>
          </w:tcPr>
          <w:p>
            <w:pPr>
              <w:spacing w:after="0"/>
              <w:rPr>
                <w:sz w:val="5"/>
                <w:szCs w:val="5"/>
                <w:color w:val="auto"/>
              </w:rPr>
            </w:pPr>
          </w:p>
        </w:tc>
        <w:tc>
          <w:tcPr>
            <w:tcW w:w="1700" w:type="dxa"/>
            <w:vAlign w:val="bottom"/>
            <w:gridSpan w:val="2"/>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Rates (1)</w:t>
            </w: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6780" w:type="dxa"/>
            <w:vAlign w:val="bottom"/>
          </w:tcPr>
          <w:p>
            <w:pPr>
              <w:spacing w:after="0" w:line="20" w:lineRule="exact"/>
              <w:rPr>
                <w:sz w:val="1"/>
                <w:szCs w:val="1"/>
                <w:color w:val="auto"/>
              </w:rPr>
            </w:pPr>
          </w:p>
        </w:tc>
        <w:tc>
          <w:tcPr>
            <w:tcW w:w="17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line="20" w:lineRule="exact"/>
              <w:rPr>
                <w:sz w:val="1"/>
                <w:szCs w:val="1"/>
                <w:color w:val="auto"/>
              </w:rPr>
            </w:pPr>
          </w:p>
        </w:tc>
      </w:tr>
      <w:tr>
        <w:trPr>
          <w:trHeight w:val="190"/>
        </w:trPr>
        <w:tc>
          <w:tcPr>
            <w:tcW w:w="67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facilities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2.70 - 10.20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Storage facilities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1.60 - 2.76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Not applicable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0.00 - 33.33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at cost</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340" w:hanging="332"/>
        <w:spacing w:after="0" w:line="260" w:lineRule="auto"/>
        <w:tabs>
          <w:tab w:leader="none" w:pos="42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useful life and depreciation rates are presented as of December 31, 2025. Depreciation rates and estimated useful lives for regulated assets are prescribed by the FERC.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accrued obligations primarily relate to offshore platforms and pipelines, upstream oil and gas properties, gas transmission pipelines and facilities, underground storage caverns, gas processing, fractionation, and compression facilities, and gas gathering well connections and pipelines. At the end of the useful life of each respective asset, Williams is legally obligated to dismantle offshore platforms and appropriately abandon offshore pipelines, to remove certain components of gas transmission facilities from the ground, to restore land and remove surface equipment at gas processing, fractionation, and compression facilities, to cap certain gathering pipelines at the wellhead connection and remove any related surface equipment, to plug storage caverns and remove any related surface equipment, and to plug producing wells and remove any related surface equipment.</w:t>
      </w:r>
    </w:p>
    <w:p>
      <w:pPr>
        <w:spacing w:after="0" w:line="13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tables present the significant changes to AROs, of which $2.49 billion and $2.55 billion are included in </w:t>
      </w:r>
      <w:r>
        <w:rPr>
          <w:rFonts w:ascii="Times New Roman" w:cs="Times New Roman" w:eastAsia="Times New Roman" w:hAnsi="Times New Roman"/>
          <w:sz w:val="18"/>
          <w:szCs w:val="18"/>
          <w:i w:val="1"/>
          <w:iCs w:val="1"/>
          <w:color w:val="auto"/>
        </w:rPr>
        <w:t>Regulatory liabilities, 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and other </w:t>
      </w:r>
      <w:r>
        <w:rPr>
          <w:rFonts w:ascii="Times New Roman" w:cs="Times New Roman" w:eastAsia="Times New Roman" w:hAnsi="Times New Roman"/>
          <w:sz w:val="18"/>
          <w:szCs w:val="18"/>
          <w:color w:val="auto"/>
        </w:rPr>
        <w:t>with the remaining current portion in</w:t>
      </w:r>
      <w:r>
        <w:rPr>
          <w:rFonts w:ascii="Times New Roman" w:cs="Times New Roman" w:eastAsia="Times New Roman" w:hAnsi="Times New Roman"/>
          <w:sz w:val="18"/>
          <w:szCs w:val="18"/>
          <w:i w:val="1"/>
          <w:iCs w:val="1"/>
          <w:color w:val="auto"/>
        </w:rPr>
        <w:t xml:space="preserve"> Other current liabilities </w:t>
      </w:r>
      <w:r>
        <w:rPr>
          <w:rFonts w:ascii="Times New Roman" w:cs="Times New Roman" w:eastAsia="Times New Roman" w:hAnsi="Times New Roman"/>
          <w:sz w:val="18"/>
          <w:szCs w:val="18"/>
          <w:color w:val="auto"/>
        </w:rPr>
        <w:t>at December 31, 2025 and 2024,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196"/>
        </w:trPr>
        <w:tc>
          <w:tcPr>
            <w:tcW w:w="8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2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incurred, including acquisitions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settled</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reclassified as held for sale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Revisions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r>
      <w:tr>
        <w:trPr>
          <w:trHeight w:val="196"/>
        </w:trPr>
        <w:tc>
          <w:tcPr>
            <w:tcW w:w="8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incurred</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settled</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Revisions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
        </w:trPr>
        <w:tc>
          <w:tcPr>
            <w:tcW w:w="8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funds Transco collects through a portion of its rates to fund its AROs are deposited into an external trust account dedicated to funding its AROs (ARO Trust). (See Note 16 – Fair Value Measurements, Guarantees, and Concentration of Credit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540" w:type="dxa"/>
            <w:vAlign w:val="bottom"/>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r>
      <w:tr>
        <w:trPr>
          <w:trHeight w:val="196"/>
        </w:trPr>
        <w:tc>
          <w:tcPr>
            <w:tcW w:w="8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6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6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NWP’s gross regulatory asset balances associated with ARO as of December 31, 2025 and 2024 were $132 million and $124 million, respectively. NWP’s regulatory asset is expected to be fully recovered through the negative salvage component of depreciation included in NWP’s rates; as such, the negative salvage component of accumulated depreciation collected through rates and reflected as a regulatory liability has been netted with the ARO regulatory asset to result in a regulatory liability of $35 million and $30 million at December 31, 2025 and 2024, respectively (see Note 10 – Regulatory Assets and Liabilities).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Regulatory Assets and Liabilities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components of regulatory assets and liabilities include the effects of deferred taxes on equity funds used during construction, AROs, shipper imbalance activity, fuel and power cost differentials, depreciation, negative salvage, pension and other postretirement benefits, trackers, and rate allowances for deferred income taxes at historically higher federal and state income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7"/>
                <w:szCs w:val="17"/>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Current assets reported within </w:t>
            </w:r>
            <w:r>
              <w:rPr>
                <w:rFonts w:ascii="Times New Roman" w:cs="Times New Roman" w:eastAsia="Times New Roman" w:hAnsi="Times New Roman"/>
                <w:sz w:val="18"/>
                <w:szCs w:val="18"/>
                <w:i w:val="1"/>
                <w:iCs w:val="1"/>
                <w:color w:val="auto"/>
              </w:rPr>
              <w:t>Other current assets and deferred charges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Noncurrent assets reported within </w:t>
            </w:r>
            <w:r>
              <w:rPr>
                <w:rFonts w:ascii="Times New Roman" w:cs="Times New Roman" w:eastAsia="Times New Roman" w:hAnsi="Times New Roman"/>
                <w:sz w:val="18"/>
                <w:szCs w:val="18"/>
                <w:i w:val="1"/>
                <w:iCs w:val="1"/>
                <w:color w:val="auto"/>
              </w:rPr>
              <w:t>Regulatory assets, deferred charges, and 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48"/>
        </w:trPr>
        <w:tc>
          <w:tcPr>
            <w:tcW w:w="8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regulatory assets</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Current liabilities reported within </w:t>
            </w:r>
            <w:r>
              <w:rPr>
                <w:rFonts w:ascii="Times New Roman" w:cs="Times New Roman" w:eastAsia="Times New Roman" w:hAnsi="Times New Roman"/>
                <w:sz w:val="18"/>
                <w:szCs w:val="18"/>
                <w:i w:val="1"/>
                <w:iCs w:val="1"/>
                <w:color w:val="auto"/>
              </w:rPr>
              <w:t>Other current liabilities</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Noncurrent liabilities reported within </w:t>
            </w:r>
            <w:r>
              <w:rPr>
                <w:rFonts w:ascii="Times New Roman" w:cs="Times New Roman" w:eastAsia="Times New Roman" w:hAnsi="Times New Roman"/>
                <w:sz w:val="18"/>
                <w:szCs w:val="18"/>
                <w:i w:val="1"/>
                <w:iCs w:val="1"/>
                <w:color w:val="auto"/>
              </w:rPr>
              <w:t>Regulatory liabilities, deferred income, and 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80" w:type="dxa"/>
            <w:vAlign w:val="bottom"/>
          </w:tcPr>
          <w:p>
            <w:pPr>
              <w:spacing w:after="0"/>
              <w:rPr>
                <w:sz w:val="17"/>
                <w:szCs w:val="17"/>
                <w:color w:val="auto"/>
              </w:rPr>
            </w:pPr>
          </w:p>
        </w:tc>
      </w:tr>
      <w:tr>
        <w:trPr>
          <w:trHeight w:val="23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regulatory assets: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Fuel recovery</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ARO</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cash out</w:t>
            </w:r>
          </w:p>
        </w:tc>
        <w:tc>
          <w:tcPr>
            <w:tcW w:w="9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ARO - Eminence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regulatory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regulatory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ARO</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Grossed-up deferred taxes on equity AFUDC</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ARO - Eminence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Slug catcher</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regulatory assets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regulatory assets</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8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regulatory liabilities: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Electric power cost</w:t>
            </w:r>
          </w:p>
        </w:tc>
        <w:tc>
          <w:tcPr>
            <w:tcW w:w="92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taxes - liability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Postretirement benefits other than pension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cash out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regulatory liabilities: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Negative salvage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taxes - liability</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Postretirement benefits other than pension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Pension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Sentinel meter station depreciation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2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regulatory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3"/>
        </w:trPr>
        <w:tc>
          <w:tcPr>
            <w:tcW w:w="8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regulatory assets and liabilities include:</w:t>
      </w:r>
    </w:p>
    <w:p>
      <w:pPr>
        <w:spacing w:after="0" w:line="16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Fuel recovery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value of the cumulative volumetric difference between the gas retained from customers and the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consumed in operations. These amounts are not included in the rate base, but they are expected to be recovered in subsequent annual fuel tracker filings.</w:t>
      </w:r>
    </w:p>
    <w:p>
      <w:pPr>
        <w:spacing w:after="0" w:line="10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asset balance includes the uncollected ARO depreciation expense and accretion expense and amounts are not included in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The regulatory asset is being recovered through rates, and is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to expense consistent with the amounts collected in rates (see AROs in Note 9 – Property, Plant, and Equipment).</w:t>
      </w:r>
    </w:p>
    <w:p>
      <w:pPr>
        <w:spacing w:after="0" w:line="16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ARO- Eminence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asset balance is associated with the Eminence Storage Field retirement costs. The regulatory asset is being recovered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rates and is being amortized to expense consistent with the amounts collected in rates.</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Grossed-up deferred taxes on equity AFUDC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asset balance is established to offset the deferred tax for the equity component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allowance for funds used during the construction of long-lived assets. Taxes on capitalized funds used during construction and the offsetting deferred income taxes are included in the rate base and are recovered over the depreciable lives of the long-lived assets to which they relate.</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Slug catcher: </w:t>
      </w:r>
      <w:r>
        <w:rPr>
          <w:rFonts w:ascii="Times New Roman" w:cs="Times New Roman" w:eastAsia="Times New Roman" w:hAnsi="Times New Roman"/>
          <w:sz w:val="18"/>
          <w:szCs w:val="18"/>
          <w:color w:val="auto"/>
        </w:rPr>
        <w:t>This amount represents certain costs associated with the replacement of a component of a slug catcher which was included in the Docket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RP24-1035 rate case settlement. A regulatory asset has been established to recognize the recovery of Transco’s investment in the slug catcher as it is collected through Transco’s depreciation rates and is being amortized at the prescribed depreciation rate for onshore transmission facilities.</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Electric power cost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value of the difference between the electric power costs recovered from our customers and the electric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costs incurred in operations. These amounts are not included in the rate base, but they are expected to be recovered in subsequent annual electric power tracker filings.</w:t>
      </w:r>
    </w:p>
    <w:p>
      <w:pPr>
        <w:spacing w:after="0" w:line="11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Deferred taxes -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excess deferred income taxes (EDIT) created by the reduction in the federal corporate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 under the Tax Cuts and Jobs Act of 2017 (TCJA), along with the impact of the weighted marginal state income tax rate. A regulatory liability has been recorded for these excess deferred taxes. The timing of the refund of the regulatory liability to rate payers is stated in the Docket No. RP24-1035 rate case settlement.</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Postretirement benefits other than pension: </w:t>
      </w:r>
      <w:r>
        <w:rPr>
          <w:rFonts w:ascii="Times New Roman" w:cs="Times New Roman" w:eastAsia="Times New Roman" w:hAnsi="Times New Roman"/>
          <w:sz w:val="18"/>
          <w:szCs w:val="18"/>
          <w:color w:val="auto"/>
        </w:rPr>
        <w:t>Transco previously recovered the actuarially determined cost of postretirement benefits through rates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set through periodic general rate filings. Any differences between the annual actuarially determined cost and the amounts recovered in rates were recorded as regulatory assets or liabilities to be collected or refunded through future rate adjustments. Effective with Transco’s Docket No. RP24-1035 rate case settlement, Transco will not recover any postretirement benefit costs incurred after February 28, 2025, and will no longer record a regulatory asset or liability. The postretirement benefits regulatory liability balance as of February 28, 2025, is currently being amortized over a six-year period (see Note 7 – Employee Benefit Plans).</w:t>
      </w:r>
    </w:p>
    <w:p>
      <w:pPr>
        <w:spacing w:after="0" w:line="128"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Pension: </w:t>
      </w:r>
      <w:r>
        <w:rPr>
          <w:rFonts w:ascii="Times New Roman" w:cs="Times New Roman" w:eastAsia="Times New Roman" w:hAnsi="Times New Roman"/>
          <w:sz w:val="18"/>
          <w:szCs w:val="18"/>
          <w:color w:val="auto"/>
        </w:rPr>
        <w:t>Williams previously made annual cash contributions to the pension plans, based on actuarial estimates. Transco previously recovered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actuarially determined pension cash contributions through rates that were set through periodic general rate filings. Effective with Transco’s Docket No. RP24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1035 rate case settlement, Transco will no longer recover pension cash contributions through rates or record related pension regulatory liabilities. The pension regulatory liability balance as of February 28, 2025, is currently being amortized over a six-year period (see Note 7 – Employee Benefit Plans).</w:t>
      </w:r>
    </w:p>
    <w:p>
      <w:pPr>
        <w:spacing w:after="0" w:line="14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Deferred cash out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deferral of gains or losses on the purchases and sales of gas imbalances with shippers. These assets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amounts will be recovered or refunded, respectively, under terms provided for in Transco’s FERC tariff.</w:t>
      </w:r>
    </w:p>
    <w:p>
      <w:pPr>
        <w:spacing w:after="0" w:line="10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Negative salvage: </w:t>
      </w:r>
      <w:r>
        <w:rPr>
          <w:rFonts w:ascii="Times New Roman" w:cs="Times New Roman" w:eastAsia="Times New Roman" w:hAnsi="Times New Roman"/>
          <w:sz w:val="18"/>
          <w:szCs w:val="18"/>
          <w:color w:val="auto"/>
        </w:rPr>
        <w:t>Transco’s rates include a component designed to recover certain future retirement costs for which it is not required to record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ARO. Transco records a regulatory liability representing the cumulative residual amount of recoveries through rates, net of expenditures associated with these retirement costs.</w:t>
      </w:r>
    </w:p>
    <w:p>
      <w:pPr>
        <w:spacing w:after="0" w:line="117"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Sentinel meter station depreciation: </w:t>
      </w:r>
      <w:r>
        <w:rPr>
          <w:rFonts w:ascii="Times New Roman" w:cs="Times New Roman" w:eastAsia="Times New Roman" w:hAnsi="Times New Roman"/>
          <w:sz w:val="18"/>
          <w:szCs w:val="18"/>
          <w:color w:val="auto"/>
        </w:rPr>
        <w:t>This amount reflects the incremental depreciation being recorded related to the meter station modifications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three of the Sentinel shippers. These modifications will be recovered through a surcharge over a defined period of time as stated in the Sentinel FERC order. The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represents the difference between the FERC granted depreciation rate for such facilities in the last rate case as compared to the depreciation rates in the Sentinel order which are based on the contractual terms in the surcharge agreements. The incremental depreciation will be recorded through the end of the contractual term and then will be amortized.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0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7"/>
                <w:szCs w:val="17"/>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regulatory assets:</w:t>
            </w:r>
          </w:p>
        </w:tc>
        <w:tc>
          <w:tcPr>
            <w:tcW w:w="1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Fuel recovery</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Levelized depreciation</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regulatory assets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regulatory assets: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Levelized depreciation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Grossed-up deferred taxes on equity AFUDC</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Washington State Carbon and Greenhouse Gas Tax</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long-term regulatory assets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7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regulatory assets</w:t>
            </w: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regulatory liabilities:</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taxes - liability</w:t>
            </w: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Fuel recovery</w:t>
            </w:r>
          </w:p>
        </w:tc>
        <w:tc>
          <w:tcPr>
            <w:tcW w:w="10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regulatory liabilities</w:t>
            </w:r>
          </w:p>
        </w:tc>
        <w:tc>
          <w:tcPr>
            <w:tcW w:w="10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regulatory liabilities:</w:t>
            </w: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taxes - liability</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Postretirement benefits other than pension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Negative salvage - net</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7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long-term regulatory liabilities</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8"/>
        </w:trPr>
        <w:tc>
          <w:tcPr>
            <w:tcW w:w="79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regulatory assets and liabilities include:</w:t>
      </w:r>
    </w:p>
    <w:p>
      <w:pPr>
        <w:spacing w:after="0" w:line="167"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Fuel recovery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value of the cumulative volumetric difference between the gas retained from customers and the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consumed in operations. These amounts are not included in the rate base, but they are expected to be recovered in subsequent annual fuel tracker filings.</w:t>
      </w:r>
    </w:p>
    <w:p>
      <w:pPr>
        <w:spacing w:after="0" w:line="10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Levelized depreciation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Levelized depreciation allows contract revenue streams to remain constant over the primary contract terms by recognizing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 than book depreciation in the early years and higher than book depreciation in later years. The depreciation component of the levelized incremental rates will equal the accumulated book depreciation by the end of the primary contract terms. The difference between levelized depreciation and straight-line book depreciation is recorded as a FERC approved regulatory asset or liability and is eliminated over the levelization period.</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Grossed-up deferred taxes on equity AFUDC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asset balance is established to offset the deferred tax for the equity component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allowance for funds used during the construction of long-lived assets. Taxes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capitalized funds used during construction and the offsetting deferred income taxes are included in the rate base and are recovered over the depreciable lives of the long-lived assets to which they relate.</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Washington State Carbon and Greenhouse Tax</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cost of emission allowances and the associated accumulated interest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the passage of the state of Washington Climate Commitment Act that took effect January 1, 2023. NWP’s Settlement allows it to recover the costs of purchasing allowances under the program in NWP’s next rate case.</w:t>
      </w:r>
    </w:p>
    <w:p>
      <w:pPr>
        <w:spacing w:after="0" w:line="11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Deferred taxes - liability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amount represents the EDIT created by the reduction in the federal corporate income tax rate under TCJA, the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weighted marginal state income tax rate, and a state income tax adjustment associated with changes in ownership. The timing of the refund of the regulatory liability to rate payers is stated in the Docket No. RP22-1155 rate case settlement. Additionally, as of December 31, 2025, Northwest has $6 million of rate based deferred taxes established as a result of a decrease to the effective state income tax rate. This item will be subject to future discussions and negotiation with our customers in our next rate case.</w:t>
      </w:r>
    </w:p>
    <w:p>
      <w:pPr>
        <w:spacing w:after="0" w:line="1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Postretirement benefits other than pension: </w:t>
      </w:r>
      <w:r>
        <w:rPr>
          <w:rFonts w:ascii="Times New Roman" w:cs="Times New Roman" w:eastAsia="Times New Roman" w:hAnsi="Times New Roman"/>
          <w:sz w:val="18"/>
          <w:szCs w:val="18"/>
          <w:color w:val="auto"/>
        </w:rPr>
        <w:t>NWP seeks to recover the actuarially determined cost of postretirement benefits through rates that are 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periodic general rate filings. Any differences between the annual actuarially determined cost and amounts currently being recovered in rates are recorded as regulatory assets or liabilities and collected or refunded through future rate adjustments. These amounts are not included in the rate base, and NWP is not currently recovering postretirement benefit costs in its rates (see Note 7 – Employee Benefit Plans).</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Negative salvage, net of ARO asset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regulatory liability balance reflects the amount that NWP has recovered in rates related to future retirement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offset by depreciation of the ARO asset and accretion expense of the ARO liability due to the passage of time. AROs are expected to be fully recovered through the net negative salvage component of depreciation included in rates (see AROs in Note 9 – Property, Plant, and Equipment).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Goodwill and Other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Changes in the carrying amount of goodwill, included in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 xml:space="preserve"> in Williams’ Consolidated Balance Sheet, by reportable segment for the years indicated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9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Transmission, Power &amp;</w:t>
            </w:r>
          </w:p>
        </w:tc>
        <w:tc>
          <w:tcPr>
            <w:tcW w:w="300" w:type="dxa"/>
            <w:vAlign w:val="bottom"/>
          </w:tcPr>
          <w:p>
            <w:pPr>
              <w:spacing w:after="0"/>
              <w:rPr>
                <w:sz w:val="16"/>
                <w:szCs w:val="16"/>
                <w:color w:val="auto"/>
              </w:rPr>
            </w:pPr>
          </w:p>
        </w:tc>
        <w:tc>
          <w:tcPr>
            <w:tcW w:w="16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7"/>
              </w:rPr>
              <w:t>West</w:t>
            </w:r>
          </w:p>
        </w:tc>
        <w:tc>
          <w:tcPr>
            <w:tcW w:w="400" w:type="dxa"/>
            <w:vAlign w:val="bottom"/>
          </w:tcPr>
          <w:p>
            <w:pPr>
              <w:spacing w:after="0"/>
              <w:rPr>
                <w:sz w:val="16"/>
                <w:szCs w:val="16"/>
                <w:color w:val="auto"/>
              </w:rPr>
            </w:pPr>
          </w:p>
        </w:tc>
        <w:tc>
          <w:tcPr>
            <w:tcW w:w="1320" w:type="dxa"/>
            <w:vAlign w:val="bottom"/>
            <w:vMerge w:val="restart"/>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Gulf</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8"/>
              </w:rPr>
              <w:t>(Millions)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Cureton Acquisition (Note 3)</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RMM Acquisition (Note 3)</w:t>
            </w:r>
          </w:p>
        </w:tc>
        <w:tc>
          <w:tcPr>
            <w:tcW w:w="4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is not subject to amortization, but is evaluated at least annually for impairment or more frequently if impairment indicators are present. Williams did not identify or recognize any impairments to goodwill in connection with the evaluation of goodwill for impairment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gross carrying amount and accumulated amortization of other intangible assets, included in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 xml:space="preserve"> in Williams’ Consolidated Balance Sheet, at December 31 are as follows: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r>
      <w:tr>
        <w:trPr>
          <w:trHeight w:val="2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5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5"/>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195"/>
        </w:trPr>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and storage capacity contracts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Customer relationships primarily relate to gas gathering, processing, and fractionation contractual customer relationships recognized in acquisitions. Contractual customer relationships are being amortized on a straight-line basis over the term for which the contractual customer relationships are expected to contribute to cash flows.</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expenses costs incurred to renew or extend the terms of its gas gathering, processing, and fractionation contracts with customers. Although a significant portion of the expected future cash flows associated with these contractual customer relationships are dependent on the ability to renew or extend the arrangements beyond the initial contract periods, these expected future cash flows are significantly influenced by the scope and pace of Williams’ producer customers’ drilling programs. Once producer customers’ wells are connected to Williams’ gathering infrastructure, their likelihood of switching to another provider before the wells are abandoned is reduced due to the significant capital investment required.</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amortization expense related to customer relationships was $372 million, $368 million, and $360 million in 2025, 2024, and 2023, respectively. The estimated amortization expense for each of the next five succeeding fiscal years is $364 million, $360 million, $360 million, $360 million, and $359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and Storage Capacity Contracts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transportation and storage capacity contracts were recognized as intangible assets as part of the acquisition of Sequent in 2021. The amortization expense related to transportation and storage capacity contracts was $10 million, $21 million, and $51 million in 2025, 2024, and 2023, respectively. The estimated amortization expense for each of the next five succeeding fiscal years is $7 million, $4 million, $2 million, $0 million, and $0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Current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Reserve for rate refunds (Note 18)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Regulatory liabilities (Note 10)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retirement obligations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 (Note 14)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including accrued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liabilities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Transportation and gas exchange payables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360" w:type="dxa"/>
            <w:vAlign w:val="bottom"/>
          </w:tcPr>
          <w:p>
            <w:pPr>
              <w:spacing w:after="0"/>
              <w:rPr>
                <w:sz w:val="16"/>
                <w:szCs w:val="16"/>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tcPr>
          <w:p>
            <w:pPr>
              <w:spacing w:after="0"/>
              <w:rPr>
                <w:sz w:val="16"/>
                <w:szCs w:val="16"/>
                <w:color w:val="auto"/>
              </w:rPr>
            </w:pPr>
          </w:p>
        </w:tc>
      </w:tr>
      <w:tr>
        <w:trPr>
          <w:trHeight w:val="237"/>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360" w:type="dxa"/>
            <w:vAlign w:val="bottom"/>
          </w:tcPr>
          <w:p>
            <w:pPr>
              <w:spacing w:after="0"/>
              <w:rPr>
                <w:sz w:val="16"/>
                <w:szCs w:val="16"/>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tcPr>
          <w:p>
            <w:pPr>
              <w:spacing w:after="0"/>
              <w:rPr>
                <w:sz w:val="16"/>
                <w:szCs w:val="16"/>
                <w:color w:val="auto"/>
              </w:rPr>
            </w:pPr>
          </w:p>
        </w:tc>
      </w:tr>
      <w:tr>
        <w:trPr>
          <w:trHeight w:val="237"/>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360" w:type="dxa"/>
            <w:vAlign w:val="bottom"/>
          </w:tcPr>
          <w:p>
            <w:pPr>
              <w:spacing w:after="0"/>
              <w:rPr>
                <w:sz w:val="16"/>
                <w:szCs w:val="16"/>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40" w:type="dxa"/>
            <w:vAlign w:val="bottom"/>
          </w:tcPr>
          <w:p>
            <w:pPr>
              <w:spacing w:after="0"/>
              <w:rPr>
                <w:sz w:val="16"/>
                <w:szCs w:val="16"/>
                <w:color w:val="auto"/>
              </w:rPr>
            </w:pPr>
          </w:p>
        </w:tc>
      </w:tr>
      <w:tr>
        <w:trPr>
          <w:trHeight w:val="237"/>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500" w:space="720"/>
            <w:col w:w="3020"/>
          </w:cols>
          <w:pgMar w:left="320" w:top="121"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Debt and Banking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by Issuing Entity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r>
      <w:tr>
        <w:trPr>
          <w:trHeight w:val="23"/>
        </w:trPr>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1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gridSpan w:val="3"/>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40" w:type="dxa"/>
            <w:vAlign w:val="bottom"/>
          </w:tcPr>
          <w:p>
            <w:pPr>
              <w:spacing w:after="0"/>
              <w:rPr>
                <w:sz w:val="17"/>
                <w:szCs w:val="17"/>
                <w:color w:val="auto"/>
              </w:rPr>
            </w:pPr>
          </w:p>
        </w:tc>
      </w:tr>
      <w:tr>
        <w:trPr>
          <w:trHeight w:val="209"/>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Transco:</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7.080%</w:t>
            </w:r>
          </w:p>
        </w:tc>
        <w:tc>
          <w:tcPr>
            <w:tcW w:w="6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Debentures due 2026</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7.250%</w:t>
            </w:r>
          </w:p>
        </w:tc>
        <w:tc>
          <w:tcPr>
            <w:tcW w:w="6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Debentures due 2026</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r>
      <w:tr>
        <w:trPr>
          <w:trHeight w:val="200"/>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7.850% 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2026</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4.000%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2028</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3.250%</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2030</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700</w:t>
            </w:r>
          </w:p>
        </w:tc>
      </w:tr>
      <w:tr>
        <w:trPr>
          <w:trHeight w:val="205"/>
        </w:trPr>
        <w:tc>
          <w:tcPr>
            <w:tcW w:w="1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5.100% 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2036</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5.400%</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2041</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4.450%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2042</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4.600%</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2048</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3.950%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2050</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0"/>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5.750% 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2056</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financing obligation — Atlantic Sunrise</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w:t>
            </w:r>
          </w:p>
        </w:tc>
      </w:tr>
      <w:tr>
        <w:trPr>
          <w:trHeight w:val="200"/>
        </w:trPr>
        <w:tc>
          <w:tcPr>
            <w:tcW w:w="7760" w:type="dxa"/>
            <w:vAlign w:val="bottom"/>
            <w:gridSpan w:val="4"/>
          </w:tcPr>
          <w:p>
            <w:pPr>
              <w:ind w:left="360"/>
              <w:spacing w:after="0"/>
              <w:rPr>
                <w:sz w:val="20"/>
                <w:szCs w:val="20"/>
                <w:color w:val="auto"/>
              </w:rPr>
            </w:pPr>
            <w:r>
              <w:rPr>
                <w:rFonts w:ascii="Times New Roman" w:cs="Times New Roman" w:eastAsia="Times New Roman" w:hAnsi="Times New Roman"/>
                <w:sz w:val="15"/>
                <w:szCs w:val="15"/>
                <w:color w:val="auto"/>
              </w:rPr>
              <w:t>Other financing obligation — Leidy South</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205"/>
        </w:trPr>
        <w:tc>
          <w:tcPr>
            <w:tcW w:w="7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financing obligation — Dalton</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200"/>
        </w:trPr>
        <w:tc>
          <w:tcPr>
            <w:tcW w:w="7760" w:type="dxa"/>
            <w:vAlign w:val="bottom"/>
            <w:gridSpan w:val="4"/>
          </w:tcPr>
          <w:p>
            <w:pPr>
              <w:ind w:left="360"/>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1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205"/>
        </w:trPr>
        <w:tc>
          <w:tcPr>
            <w:tcW w:w="7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unamortized debt premium (discount)</w:t>
            </w:r>
          </w:p>
        </w:tc>
        <w:tc>
          <w:tcPr>
            <w:tcW w:w="1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4"/>
        </w:trPr>
        <w:tc>
          <w:tcPr>
            <w:tcW w:w="18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5"/>
                <w:szCs w:val="15"/>
                <w:color w:val="auto"/>
              </w:rPr>
              <w:t>Total debt — Transco</w:t>
            </w:r>
          </w:p>
        </w:tc>
        <w:tc>
          <w:tcPr>
            <w:tcW w:w="59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5,888</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5,235</w:t>
            </w:r>
          </w:p>
        </w:tc>
      </w:tr>
      <w:tr>
        <w:trPr>
          <w:trHeight w:val="185"/>
        </w:trPr>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MountainWest:</w:t>
            </w:r>
          </w:p>
        </w:tc>
        <w:tc>
          <w:tcPr>
            <w:tcW w:w="340" w:type="dxa"/>
            <w:vAlign w:val="bottom"/>
            <w:shd w:val="clear" w:color="auto" w:fill="CCEEFF"/>
          </w:tcPr>
          <w:p>
            <w:pPr>
              <w:spacing w:after="0"/>
              <w:rPr>
                <w:sz w:val="16"/>
                <w:szCs w:val="16"/>
                <w:color w:val="auto"/>
              </w:rPr>
            </w:pPr>
          </w:p>
        </w:tc>
        <w:tc>
          <w:tcPr>
            <w:tcW w:w="59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3.530%</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2028</w:t>
            </w:r>
          </w:p>
        </w:tc>
        <w:tc>
          <w:tcPr>
            <w:tcW w:w="5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 3)</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7"/>
                <w:szCs w:val="17"/>
                <w:color w:val="auto"/>
              </w:rPr>
            </w:pP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3.910%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2038</w:t>
            </w:r>
          </w:p>
        </w:tc>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 3)</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4.875%</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2041</w:t>
            </w:r>
          </w:p>
        </w:tc>
        <w:tc>
          <w:tcPr>
            <w:tcW w:w="5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 3)</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w:t>
            </w:r>
          </w:p>
        </w:tc>
      </w:tr>
      <w:tr>
        <w:trPr>
          <w:trHeight w:val="205"/>
        </w:trPr>
        <w:tc>
          <w:tcPr>
            <w:tcW w:w="7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unamortized debt premium (discount)</w:t>
            </w:r>
          </w:p>
        </w:tc>
        <w:tc>
          <w:tcPr>
            <w:tcW w:w="1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94"/>
        </w:trPr>
        <w:tc>
          <w:tcPr>
            <w:tcW w:w="7760" w:type="dxa"/>
            <w:vAlign w:val="bottom"/>
            <w:tcBorders>
              <w:bottom w:val="single" w:sz="8" w:color="CCEEFF"/>
            </w:tcBorders>
            <w:gridSpan w:val="4"/>
          </w:tcPr>
          <w:p>
            <w:pPr>
              <w:ind w:left="300"/>
              <w:spacing w:after="0"/>
              <w:rPr>
                <w:sz w:val="20"/>
                <w:szCs w:val="20"/>
                <w:color w:val="auto"/>
              </w:rPr>
            </w:pPr>
            <w:r>
              <w:rPr>
                <w:rFonts w:ascii="Times New Roman" w:cs="Times New Roman" w:eastAsia="Times New Roman" w:hAnsi="Times New Roman"/>
                <w:sz w:val="15"/>
                <w:szCs w:val="15"/>
                <w:color w:val="auto"/>
              </w:rPr>
              <w:t>Total debt — MountainWest</w:t>
            </w:r>
          </w:p>
        </w:tc>
        <w:tc>
          <w:tcPr>
            <w:tcW w:w="1120" w:type="dxa"/>
            <w:vAlign w:val="bottom"/>
            <w:tcBorders>
              <w:bottom w:val="single" w:sz="8" w:color="auto"/>
            </w:tcBorders>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372</w:t>
            </w:r>
          </w:p>
        </w:tc>
      </w:tr>
      <w:tr>
        <w:trPr>
          <w:trHeight w:val="185"/>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NWP:</w:t>
            </w: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9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0"/>
        </w:trPr>
        <w:tc>
          <w:tcPr>
            <w:tcW w:w="7760" w:type="dxa"/>
            <w:vAlign w:val="bottom"/>
            <w:gridSpan w:val="4"/>
          </w:tcPr>
          <w:p>
            <w:pPr>
              <w:ind w:left="360"/>
              <w:spacing w:after="0"/>
              <w:rPr>
                <w:sz w:val="20"/>
                <w:szCs w:val="20"/>
                <w:color w:val="auto"/>
              </w:rPr>
            </w:pPr>
            <w:r>
              <w:rPr>
                <w:rFonts w:ascii="Times New Roman" w:cs="Times New Roman" w:eastAsia="Times New Roman" w:hAnsi="Times New Roman"/>
                <w:sz w:val="15"/>
                <w:szCs w:val="15"/>
                <w:color w:val="auto"/>
              </w:rPr>
              <w:t>7.125% Debentures due 2025</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4.000%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2027</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0"/>
        </w:trPr>
        <w:tc>
          <w:tcPr>
            <w:tcW w:w="7760" w:type="dxa"/>
            <w:vAlign w:val="bottom"/>
            <w:gridSpan w:val="4"/>
          </w:tcPr>
          <w:p>
            <w:pPr>
              <w:ind w:left="360"/>
              <w:spacing w:after="0"/>
              <w:rPr>
                <w:sz w:val="20"/>
                <w:szCs w:val="20"/>
                <w:color w:val="auto"/>
              </w:rPr>
            </w:pPr>
            <w:r>
              <w:rPr>
                <w:rFonts w:ascii="Times New Roman" w:cs="Times New Roman" w:eastAsia="Times New Roman" w:hAnsi="Times New Roman"/>
                <w:sz w:val="15"/>
                <w:szCs w:val="15"/>
                <w:color w:val="auto"/>
              </w:rPr>
              <w:t>Term loan due 2028 (see NWP Credit Agreement)</w:t>
            </w: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6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00"/>
        </w:trPr>
        <w:tc>
          <w:tcPr>
            <w:tcW w:w="7760" w:type="dxa"/>
            <w:vAlign w:val="bottom"/>
            <w:tcBorders>
              <w:bottom w:val="single" w:sz="8" w:color="CCEEFF"/>
            </w:tcBorders>
            <w:gridSpan w:val="4"/>
          </w:tcPr>
          <w:p>
            <w:pPr>
              <w:ind w:left="360"/>
              <w:spacing w:after="0"/>
              <w:rPr>
                <w:sz w:val="20"/>
                <w:szCs w:val="20"/>
                <w:color w:val="auto"/>
              </w:rPr>
            </w:pPr>
            <w:r>
              <w:rPr>
                <w:rFonts w:ascii="Times New Roman" w:cs="Times New Roman" w:eastAsia="Times New Roman" w:hAnsi="Times New Roman"/>
                <w:sz w:val="15"/>
                <w:szCs w:val="15"/>
                <w:color w:val="auto"/>
              </w:rPr>
              <w:t>Net unamortized debt premium (discount)</w:t>
            </w: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198"/>
        </w:trPr>
        <w:tc>
          <w:tcPr>
            <w:tcW w:w="1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debt — NWP</w:t>
            </w:r>
          </w:p>
        </w:tc>
        <w:tc>
          <w:tcPr>
            <w:tcW w:w="340" w:type="dxa"/>
            <w:vAlign w:val="bottom"/>
            <w:shd w:val="clear" w:color="auto" w:fill="CCEEFF"/>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748</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w:t>
            </w:r>
          </w:p>
        </w:tc>
      </w:tr>
      <w:tr>
        <w:trPr>
          <w:trHeight w:val="180"/>
        </w:trPr>
        <w:tc>
          <w:tcPr>
            <w:tcW w:w="8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Williams:</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5"/>
        </w:trPr>
        <w:tc>
          <w:tcPr>
            <w:tcW w:w="1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3.900% 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2025</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200"/>
        </w:trPr>
        <w:tc>
          <w:tcPr>
            <w:tcW w:w="150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4.000% 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2025</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5.400%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2026</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7.700%</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2027</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3.750%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2027</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5.300%</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2028</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4.900%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2029</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4.800%</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2029</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w:t>
            </w:r>
          </w:p>
        </w:tc>
      </w:tr>
      <w:tr>
        <w:trPr>
          <w:trHeight w:val="205"/>
        </w:trPr>
        <w:tc>
          <w:tcPr>
            <w:tcW w:w="1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4.625% Notes due</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2030</w:t>
            </w:r>
          </w:p>
        </w:tc>
        <w:tc>
          <w:tcPr>
            <w:tcW w:w="5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3.500%</w:t>
            </w:r>
          </w:p>
        </w:tc>
        <w:tc>
          <w:tcPr>
            <w:tcW w:w="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2030</w:t>
            </w:r>
          </w:p>
        </w:tc>
        <w:tc>
          <w:tcPr>
            <w:tcW w:w="5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gridSpan w:val="3"/>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r>
      <w:tr>
        <w:trPr>
          <w:trHeight w:val="23"/>
        </w:trPr>
        <w:tc>
          <w:tcPr>
            <w:tcW w:w="8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gridSpan w:val="3"/>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40" w:type="dxa"/>
            <w:vAlign w:val="bottom"/>
          </w:tcPr>
          <w:p>
            <w:pPr>
              <w:spacing w:after="0"/>
              <w:rPr>
                <w:sz w:val="17"/>
                <w:szCs w:val="17"/>
                <w:color w:val="auto"/>
              </w:rPr>
            </w:pPr>
          </w:p>
        </w:tc>
      </w:tr>
      <w:tr>
        <w:trPr>
          <w:trHeight w:val="209"/>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2.600%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2031</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7.500%</w:t>
            </w:r>
          </w:p>
        </w:tc>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Debentures due 2031</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7.750%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2031</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252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8.750%</w:t>
            </w:r>
          </w:p>
        </w:tc>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2032</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4.650%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2032</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5.650%</w:t>
            </w:r>
          </w:p>
        </w:tc>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2033</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5.150%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2034</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w:t>
            </w:r>
          </w:p>
        </w:tc>
      </w:tr>
      <w:tr>
        <w:trPr>
          <w:trHeight w:val="200"/>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5.300% Notes due 2035</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5.600% Notes due 2035</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6.300%</w:t>
            </w:r>
          </w:p>
        </w:tc>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2040</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5.800%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2043</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5.400%</w:t>
            </w:r>
          </w:p>
        </w:tc>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2044</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5.750%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2044</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4.900%</w:t>
            </w:r>
          </w:p>
        </w:tc>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2045</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5.100%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2045</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4.850%</w:t>
            </w:r>
          </w:p>
        </w:tc>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2048</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3.500%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2051</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w:t>
            </w:r>
          </w:p>
        </w:tc>
      </w:tr>
      <w:tr>
        <w:trPr>
          <w:trHeight w:val="200"/>
        </w:trPr>
        <w:tc>
          <w:tcPr>
            <w:tcW w:w="84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9"/>
              </w:rPr>
              <w:t>5.300%</w:t>
            </w:r>
          </w:p>
        </w:tc>
        <w:tc>
          <w:tcPr>
            <w:tcW w:w="6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due 2052</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205"/>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w w:val="99"/>
              </w:rPr>
              <w:t>5.800%</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Notes due 2054</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750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w:t>
            </w:r>
          </w:p>
        </w:tc>
      </w:tr>
      <w:tr>
        <w:trPr>
          <w:trHeight w:val="200"/>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6.000% Notes due 2055</w:t>
            </w:r>
          </w:p>
        </w:tc>
        <w:tc>
          <w:tcPr>
            <w:tcW w:w="1080" w:type="dxa"/>
            <w:vAlign w:val="bottom"/>
          </w:tcPr>
          <w:p>
            <w:pPr>
              <w:spacing w:after="0"/>
              <w:rPr>
                <w:sz w:val="17"/>
                <w:szCs w:val="17"/>
                <w:color w:val="auto"/>
              </w:rPr>
            </w:pPr>
          </w:p>
        </w:tc>
        <w:tc>
          <w:tcPr>
            <w:tcW w:w="6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7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Unamortized debt issuance costs</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00"/>
        </w:trPr>
        <w:tc>
          <w:tcPr>
            <w:tcW w:w="7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Net unamortized debt premium (discount)</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98"/>
        </w:trPr>
        <w:tc>
          <w:tcPr>
            <w:tcW w:w="7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debt — Williams</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21,649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20,167</w:t>
            </w:r>
          </w:p>
        </w:tc>
      </w:tr>
      <w:tr>
        <w:trPr>
          <w:trHeight w:val="194"/>
        </w:trPr>
        <w:tc>
          <w:tcPr>
            <w:tcW w:w="7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5"/>
                <w:szCs w:val="15"/>
                <w:color w:val="auto"/>
              </w:rPr>
              <w:t>Gulf Coast Storage deferred consideration obligation (Note 3)</w:t>
            </w:r>
          </w:p>
        </w:tc>
        <w:tc>
          <w:tcPr>
            <w:tcW w:w="10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198"/>
        </w:trPr>
        <w:tc>
          <w:tcPr>
            <w:tcW w:w="7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debt</w:t>
            </w: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28,661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26,456</w:t>
            </w:r>
          </w:p>
        </w:tc>
      </w:tr>
      <w:tr>
        <w:trPr>
          <w:trHeight w:val="20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Long-term debt due within one year — Williams</w:t>
            </w: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(1,600)</w:t>
            </w:r>
          </w:p>
        </w:tc>
      </w:tr>
      <w:tr>
        <w:trPr>
          <w:trHeight w:val="205"/>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 due within one year — Transco</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20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Long-term debt due within one year — NWP</w:t>
            </w:r>
          </w:p>
        </w:tc>
        <w:tc>
          <w:tcPr>
            <w:tcW w:w="10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w:t>
            </w:r>
          </w:p>
        </w:tc>
      </w:tr>
      <w:tr>
        <w:trPr>
          <w:trHeight w:val="223"/>
        </w:trPr>
        <w:tc>
          <w:tcPr>
            <w:tcW w:w="77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i w:val="1"/>
                <w:iCs w:val="1"/>
                <w:color w:val="auto"/>
              </w:rPr>
              <w:t>Long-term debt</w:t>
            </w:r>
          </w:p>
        </w:tc>
        <w:tc>
          <w:tcPr>
            <w:tcW w:w="108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27,316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24,736</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of Williams’ debt agreements contain covenants that restrict or limit, among other things, its ability to create liens supporting indebtedness, sell assets, and incur additional debt. Default of these agreements could also restrict Williams’ ability to make certain distributions or repurchase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aggregate minimum maturities of long-term debt and other financing obligations, excluding net unamortized debt premium (discount) and debt issuance costs, for each of the next five years: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9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9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0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Williams: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29"/>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9"/>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30"/>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9"/>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r>
      <w:tr>
        <w:trPr>
          <w:trHeight w:val="216"/>
        </w:trPr>
        <w:tc>
          <w:tcPr>
            <w:tcW w:w="9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0"/>
        </w:trPr>
        <w:tc>
          <w:tcPr>
            <w:tcW w:w="9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Transco:</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2"/>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9560" w:type="dxa"/>
            <w:vAlign w:val="bottom"/>
          </w:tcPr>
          <w:p>
            <w:pPr>
              <w:jc w:val="right"/>
              <w:ind w:right="8772"/>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9560" w:type="dxa"/>
            <w:vAlign w:val="bottom"/>
            <w:shd w:val="clear" w:color="auto" w:fill="CCEEFF"/>
          </w:tcPr>
          <w:p>
            <w:pPr>
              <w:jc w:val="right"/>
              <w:ind w:right="8772"/>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bl>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NWP: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jc w:val="right"/>
              <w:ind w:right="4350"/>
              <w:spacing w:after="0"/>
              <w:rPr>
                <w:sz w:val="20"/>
                <w:szCs w:val="20"/>
                <w:color w:val="auto"/>
              </w:rPr>
            </w:pPr>
            <w:r>
              <w:rPr>
                <w:rFonts w:ascii="Times New Roman" w:cs="Times New Roman" w:eastAsia="Times New Roman" w:hAnsi="Times New Roman"/>
                <w:sz w:val="18"/>
                <w:szCs w:val="18"/>
                <w:color w:val="auto"/>
              </w:rPr>
              <w:t>2027</w:t>
            </w:r>
          </w:p>
        </w:tc>
        <w:tc>
          <w:tcPr>
            <w:tcW w:w="5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5140" w:type="dxa"/>
            <w:vAlign w:val="bottom"/>
            <w:shd w:val="clear" w:color="auto" w:fill="CCEEFF"/>
          </w:tcPr>
          <w:p>
            <w:pPr>
              <w:jc w:val="right"/>
              <w:ind w:right="4350"/>
              <w:spacing w:after="0"/>
              <w:rPr>
                <w:sz w:val="20"/>
                <w:szCs w:val="20"/>
                <w:color w:val="auto"/>
              </w:rPr>
            </w:pPr>
            <w:r>
              <w:rPr>
                <w:rFonts w:ascii="Times New Roman" w:cs="Times New Roman" w:eastAsia="Times New Roman" w:hAnsi="Times New Roman"/>
                <w:sz w:val="18"/>
                <w:szCs w:val="18"/>
                <w:color w:val="auto"/>
              </w:rPr>
              <w:t>2028</w:t>
            </w:r>
          </w:p>
        </w:tc>
        <w:tc>
          <w:tcPr>
            <w:tcW w:w="5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Issuances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Senior unsecured debt issuances for the past three years and subsequent to the balance sheet date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330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6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3"/>
        </w:trPr>
        <w:tc>
          <w:tcPr>
            <w:tcW w:w="3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0"/>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3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Williams Public Issuances:</w:t>
            </w:r>
          </w:p>
        </w:tc>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r>
      <w:tr>
        <w:trPr>
          <w:trHeight w:val="230"/>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January 8, 2026 (1)</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2033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5.650%</w:t>
            </w:r>
          </w:p>
        </w:tc>
      </w:tr>
      <w:tr>
        <w:trPr>
          <w:trHeight w:val="229"/>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8, 2026</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2036</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5.150%</w:t>
            </w:r>
          </w:p>
        </w:tc>
      </w:tr>
      <w:tr>
        <w:trPr>
          <w:trHeight w:val="229"/>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January 8, 2026</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2056</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5.950%</w:t>
            </w:r>
          </w:p>
        </w:tc>
      </w:tr>
      <w:tr>
        <w:trPr>
          <w:trHeight w:val="230"/>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June 30, 2025</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2030</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4.625%</w:t>
            </w:r>
          </w:p>
        </w:tc>
      </w:tr>
      <w:tr>
        <w:trPr>
          <w:trHeight w:val="229"/>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2025</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2035</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5.300%</w:t>
            </w:r>
          </w:p>
        </w:tc>
      </w:tr>
      <w:tr>
        <w:trPr>
          <w:trHeight w:val="229"/>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9, 2025</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2035</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5.600%</w:t>
            </w:r>
          </w:p>
        </w:tc>
      </w:tr>
      <w:tr>
        <w:trPr>
          <w:trHeight w:val="230"/>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January 9, 2025</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2055</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August 13, 2024</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15, 2029</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4.800%</w:t>
            </w:r>
          </w:p>
        </w:tc>
      </w:tr>
      <w:tr>
        <w:trPr>
          <w:trHeight w:val="230"/>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August 13, 2024 (2)</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2034</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5.150%</w:t>
            </w:r>
          </w:p>
        </w:tc>
      </w:tr>
      <w:tr>
        <w:trPr>
          <w:trHeight w:val="229"/>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August 13, 2024</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15, 2054</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5.800%</w:t>
            </w:r>
          </w:p>
        </w:tc>
      </w:tr>
      <w:tr>
        <w:trPr>
          <w:trHeight w:val="229"/>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January 5, 2024</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2029</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4.900%</w:t>
            </w:r>
          </w:p>
        </w:tc>
      </w:tr>
      <w:tr>
        <w:trPr>
          <w:trHeight w:val="230"/>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5, 2024</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2034</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5.150%</w:t>
            </w:r>
          </w:p>
        </w:tc>
      </w:tr>
      <w:tr>
        <w:trPr>
          <w:trHeight w:val="229"/>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August 10, 2023 (3)</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2026</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w:t>
            </w:r>
          </w:p>
        </w:tc>
      </w:tr>
      <w:tr>
        <w:trPr>
          <w:trHeight w:val="230"/>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August 10, 2023</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15, 2028</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5.300%</w:t>
            </w:r>
          </w:p>
        </w:tc>
      </w:tr>
      <w:tr>
        <w:trPr>
          <w:trHeight w:val="229"/>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2, 2023</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 2026</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w:t>
            </w:r>
          </w:p>
        </w:tc>
      </w:tr>
      <w:tr>
        <w:trPr>
          <w:trHeight w:val="230"/>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2, 2023</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2033</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5.650%</w:t>
            </w:r>
          </w:p>
        </w:tc>
      </w:tr>
      <w:tr>
        <w:trPr>
          <w:trHeight w:val="22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Transco Private Placements:</w:t>
            </w:r>
          </w:p>
        </w:tc>
        <w:tc>
          <w:tcPr>
            <w:tcW w:w="3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30"/>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November 20, 2025 (4)</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2036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5.100%</w:t>
            </w:r>
          </w:p>
        </w:tc>
      </w:tr>
      <w:tr>
        <w:trPr>
          <w:trHeight w:val="234"/>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November 20, 2025 (4)</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2056</w:t>
            </w:r>
          </w:p>
        </w:tc>
        <w:tc>
          <w:tcPr>
            <w:tcW w:w="3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98" w:lineRule="exact"/>
        <w:rPr>
          <w:sz w:val="20"/>
          <w:szCs w:val="20"/>
          <w:color w:val="auto"/>
        </w:rPr>
      </w:pPr>
    </w:p>
    <w:p>
      <w:pPr>
        <w:ind w:left="380" w:hanging="372"/>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issuance of the 5.65 percent senior notes due 2033 issued on March 2, 2023, and trade interchangeably with such notes.</w:t>
      </w:r>
    </w:p>
    <w:p>
      <w:pPr>
        <w:spacing w:after="0" w:line="9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issuance of the 5.15 percent senior notes due 2034 issued on January 5, 2024, and trade interchangeably with such notes.</w:t>
      </w:r>
    </w:p>
    <w:p>
      <w:pPr>
        <w:spacing w:after="0" w:line="1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issuance of the 5.40 percent senior notes due 2026 issued on March 2, 2023, and trade interchangeably with such notes.</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9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private debt placement, Transco entered into a registration rights agreement with the initial purchasers of the unsecured notes. Under the terms of the agreement, Transco is obligated to file and consummate a registration statement for an offer to exchange the notes for a new issue of substantially identical notes registered under the Securities Act of 1933, as amended, within 365 days from closing and to use commercially reasonable efforts to complete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Retirements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Senior unsecured public debt retirements for the past three years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Date of Retirement</w:t>
            </w:r>
          </w:p>
        </w:tc>
        <w:tc>
          <w:tcPr>
            <w:tcW w:w="330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420" w:type="dxa"/>
            <w:vAlign w:val="bottom"/>
          </w:tcPr>
          <w:p>
            <w:pPr>
              <w:spacing w:after="0"/>
              <w:rPr>
                <w:sz w:val="16"/>
                <w:szCs w:val="16"/>
                <w:color w:val="auto"/>
              </w:rPr>
            </w:pPr>
          </w:p>
        </w:tc>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3"/>
        </w:trPr>
        <w:tc>
          <w:tcPr>
            <w:tcW w:w="3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3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3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r>
      <w:tr>
        <w:trPr>
          <w:trHeight w:val="230"/>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15, 2025</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15, 2025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4.000%</w:t>
            </w:r>
          </w:p>
        </w:tc>
      </w:tr>
      <w:tr>
        <w:trPr>
          <w:trHeight w:val="229"/>
        </w:trPr>
        <w:tc>
          <w:tcPr>
            <w:tcW w:w="3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15, 2025</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15, 2025</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3.900%</w:t>
            </w:r>
          </w:p>
        </w:tc>
      </w:tr>
      <w:tr>
        <w:trPr>
          <w:trHeight w:val="230"/>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4, 2024</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4, 2024</w:t>
            </w: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4.550%</w:t>
            </w:r>
          </w:p>
        </w:tc>
      </w:tr>
      <w:tr>
        <w:trPr>
          <w:trHeight w:val="229"/>
        </w:trPr>
        <w:tc>
          <w:tcPr>
            <w:tcW w:w="3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4, 2024</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4, 2024</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4.300%</w:t>
            </w:r>
          </w:p>
        </w:tc>
      </w:tr>
      <w:tr>
        <w:trPr>
          <w:trHeight w:val="229"/>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November 15, 2023</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15, 2023</w:t>
            </w:r>
          </w:p>
        </w:tc>
        <w:tc>
          <w:tcPr>
            <w:tcW w:w="4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4.500%</w:t>
            </w:r>
          </w:p>
        </w:tc>
      </w:tr>
      <w:tr>
        <w:trPr>
          <w:trHeight w:val="23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Transco:</w:t>
            </w:r>
          </w:p>
        </w:tc>
        <w:tc>
          <w:tcPr>
            <w:tcW w:w="3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29"/>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5, 2025</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2026</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7.850%</w:t>
            </w:r>
          </w:p>
        </w:tc>
      </w:tr>
      <w:tr>
        <w:trPr>
          <w:trHeight w:val="22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NWP:</w:t>
            </w:r>
          </w:p>
        </w:tc>
        <w:tc>
          <w:tcPr>
            <w:tcW w:w="3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4"/>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1, 2025</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 2025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7.125%</w:t>
            </w:r>
          </w:p>
        </w:tc>
      </w:tr>
    </w:tbl>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financing obligations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construction of the Atlantic Sunrise, Leidy South, and Dalton projects, Transco received funding from co-owners for their proportionate share of construction costs. Amounts received were recorded within noncurrent liabilities and the costs associated with construction were capitalized. Upon placing these projects into service Transco began utilizing the co-owners’ undivided interest in the assets, including the associated pipeline capacity, and reclassified the funding previously received from its co-owners from noncurrent liabilities to debt. The obligations, which mature in 2038, 2041, and 2052, respectively, require monthly interest and principal payments and bear interest rates of approximately 9 percent, 13 percent, and 9 percent,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Stated Capacity</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96"/>
        </w:trPr>
        <w:tc>
          <w:tcPr>
            <w:tcW w:w="7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left="92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7"/>
                <w:szCs w:val="17"/>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credit facility (1)</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rPr>
              <w:t>3,750</w:t>
            </w:r>
          </w:p>
        </w:tc>
        <w:tc>
          <w:tcPr>
            <w:tcW w:w="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Letters of credit under certain bilateral bank agreements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15</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4" w:lineRule="exact"/>
        <w:rPr>
          <w:sz w:val="20"/>
          <w:szCs w:val="20"/>
          <w:color w:val="auto"/>
        </w:rPr>
      </w:pPr>
    </w:p>
    <w:p>
      <w:pPr>
        <w:ind w:left="340" w:hanging="332"/>
        <w:spacing w:after="0" w:line="270" w:lineRule="auto"/>
        <w:tabs>
          <w:tab w:leader="none" w:pos="4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managing its available liquidity, Williams does not expect a maximum outstanding amount in excess of the capacity of its credit facility inclusive of any outstanding amounts under the commercial paper program.</w:t>
      </w: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Williams, along with Transco and NWP, is party to an amended and restated revolving credit agreement (Williams Credit Agreement) with the lenders named therein and the administrative agent that provides for aggregate commitments of up to $3.75 billion, with the ability to increase such commitments by up to an additional $500 million under certain circumstances. The credit facility currently matures on October 8, 2028, following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extension exercised in the second quarter of 2025, and permits an additional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maturity extension, subject to specified conditions. Borrowings under the credit facility bear interest based on either an alternative base rate or Term Secured Overnight Financing Rate, in each case plus an applicable margin. The facility also permits swing line loans of up to $200 million and letters of credit commitments of up to $500 million. Transco and NWP are each able to borrow up to $500 million under the facility, subject to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Williams Credit Agreement contains the following terms and conditions: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covenants may limit, among other things, a borrower’s and its material subsidiaries’ ability to grant certain liens supporting indebtedness, merge or consolidate, sell all or substantially all of its assets in certain circumstances, make certain distributions during an event of default, and each borrower and each borrower’s respective material subsidiaries’ ability to enter into certain restrictive agreements.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a borrower occurs under the credit facility, the lenders will be able to terminate the commitments for the respective borrowers and accelerate the maturity of the loans of the defaulting borrower under the credit facility and exercise other rights and remedies.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swing line loans, each time funds are borrowed, the applicable borrower may choose from two methods of calculating interest: a fluctuating base rate equal to an alternative base rate as defined in the Williams Credit Agreement plus an applicable margin or a periodic fixed rate equal to the Term Secured Overnight Financing Rate plus an applicable margin. Williams is required to pay a commitment fee based on the unused portion of the credit facility. The applicable margin is determined by reference to a pricing schedule based on the applicable borrower’s senior unsecured long-term debt ratings and the commitment fee is determined by reference to a pricing schedule based on Williams’ senior unsecured long-term debt ratings.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Significant financial covenants under the Williams Credit Agreement require Williams’ ratio of debt to EBITDA (earnings before interest, taxes, depreciation, and amortization), each as defined in the Williams Credit Agreement, to be no greater than 5.0 to 1.0, except that for any fiscal quarter in which the funding of the purchase price for an acquisition (whether effectuated as one or a series of related transactions) with an aggregate purchase price of $25 million or more has been effected, and the following two fiscal quarters (in each case subject to certain limitations), the ratio of debt to EBITDA is to be no greater than 5.5 to 1.</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ratio of debt to capitalization (defined as net worth plus debt), each as defined in the Williams Credit Agreement, must be no greater than 65 percent for each of Transco and NWP.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expects to be in compliance with these covenants for the December 31, 2025, reporting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has a $3.5 billion commercial paper program. The maturities of the commercial paper notes vary but may not exceed 397 days from the date of issuance. The commercial paper notes are sold under customary terms in the commercial paper market and are issued at a discount from par, or, alternatively, are sold at par and bear varying interest rates on a fixed or floating basis. The net proceeds of issuances of the commercial paper notes are expected to be used to fund planned capital expenditures and for other general corporate purposes. At December 31, 2025, $700 million of commercial paper was outstanding at a weighted-average interest rate of 3.85 percent.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 Credit Agreement</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December 2025, NWP, the lenders named therein, and an administrative agent entered into a credit agreement (NWP Credit Agreement). The NWP Credit Agreement was effective on December 1, 2025, and NWP borrowed $250 million under a three-year term loan used to refinance its 7.125 percent debentures due December 1, 2025, and for working capital, acquisitions, capital expenditures and other general corporate or limited liability company purposes.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NWP Credit Agreement contains the following terms and conditions: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covenants may limit, among other things, NWP’s ability to grant certain liens supporting indebtedness, merge or consolidate, sell all or substantially all of its assets in certain circumstances, make certain distributions during an event of default, and ability to enter into certain restrictive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the lenders will be able to accelerate the maturity of the loans under the NWP credit facility and exercise other rights and remedies.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borrowings under the NWP Credit Agreement is variable.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NWP is required to maintain a ratio of debt to capitalization (defined as net worth plus debt) of no greater than 65 percent. This ratio will be tested at the end of each fiscal quarter.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Debt Covenants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December 31, 2025, none of Transco’s nor NWP’s debt instruments restrict the amount of distributions to Williams, provided, however, that under the Williams Credit Agreement described above, Transco or NWP are restricted from making distributions to Williams during an event of default if Transco or NWP have directly incurred indebtedness under the credit facility. The debt agreements of Transco and NWP contain restrictions on their ability to incur secured debt beyond certain levels and to guarantee certain indebtedness. Transco and NWP expect to be in compliance with these covenants, for the December 31, 2025 reporting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Payments for Interest by Registrant (Net of Amounts Capitalized)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Williams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1,293</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r>
      <w:tr>
        <w:trPr>
          <w:trHeight w:val="229"/>
        </w:trPr>
        <w:tc>
          <w:tcPr>
            <w:tcW w:w="6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Transco</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00" w:type="dxa"/>
            <w:vAlign w:val="bottom"/>
          </w:tcPr>
          <w:p>
            <w:pPr>
              <w:spacing w:after="0"/>
              <w:rPr>
                <w:sz w:val="19"/>
                <w:szCs w:val="19"/>
                <w:color w:val="auto"/>
              </w:rPr>
            </w:pPr>
          </w:p>
        </w:tc>
        <w:tc>
          <w:tcPr>
            <w:tcW w:w="12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302</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NWP</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Williams, Transco, and NWP are lessees through noncancellable lease agreements for property and equipment consisting primarily of buildings, land, vehicles, and equipment used in both its operations and administrative functions.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Sublease income</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82"/>
        </w:trPr>
        <w:tc>
          <w:tcPr>
            <w:tcW w:w="6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6"/>
        </w:trPr>
        <w:tc>
          <w:tcPr>
            <w:tcW w:w="6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3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Right-of-use assets (included in </w:t>
            </w:r>
            <w:r>
              <w:rPr>
                <w:rFonts w:ascii="Times New Roman" w:cs="Times New Roman" w:eastAsia="Times New Roman" w:hAnsi="Times New Roman"/>
                <w:sz w:val="18"/>
                <w:szCs w:val="18"/>
                <w:i w:val="1"/>
                <w:iCs w:val="1"/>
                <w:color w:val="auto"/>
              </w:rPr>
              <w:t>Regulatory assets, deferred charges, and other</w:t>
            </w:r>
            <w:r>
              <w:rPr>
                <w:rFonts w:ascii="Times New Roman" w:cs="Times New Roman" w:eastAsia="Times New Roman" w:hAnsi="Times New Roman"/>
                <w:sz w:val="18"/>
                <w:szCs w:val="18"/>
                <w:color w:val="auto"/>
              </w:rPr>
              <w:t>)</w:t>
            </w: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Current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w:t>
            </w: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0"/>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Noncurrent (included in </w:t>
            </w:r>
            <w:r>
              <w:rPr>
                <w:rFonts w:ascii="Times New Roman" w:cs="Times New Roman" w:eastAsia="Times New Roman" w:hAnsi="Times New Roman"/>
                <w:sz w:val="18"/>
                <w:szCs w:val="18"/>
                <w:i w:val="1"/>
                <w:iCs w:val="1"/>
                <w:color w:val="auto"/>
              </w:rPr>
              <w:t>Regulatory liabilities, deferred income, and other</w:t>
            </w: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3"/>
        </w:trPr>
        <w:tc>
          <w:tcPr>
            <w:tcW w:w="6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Weighted-average remaining lease term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8"/>
                <w:szCs w:val="18"/>
                <w:color w:val="auto"/>
              </w:rPr>
              <w:t xml:space="preserve"> operating leases (years)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center"/>
              <w:ind w:right="333"/>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43"/>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Weighted-average discount rate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8"/>
                <w:szCs w:val="18"/>
                <w:color w:val="auto"/>
              </w:rPr>
              <w:t xml:space="preserve"> operating leases</w:t>
            </w: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right="176"/>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ind w:right="333"/>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the following table represents operating lease maturities, including renewal provisions Williams has assessed as being reasonably certain of exercise, for each of the years ended December 31: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
        </w:trPr>
        <w:tc>
          <w:tcPr>
            <w:tcW w:w="9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9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0"/>
        </w:trPr>
        <w:tc>
          <w:tcPr>
            <w:tcW w:w="9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9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obligations under operating leases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is the lessor to certain lease agreements for office space in its headquarters building, which are insignificant to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6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95"/>
        </w:trPr>
        <w:tc>
          <w:tcPr>
            <w:tcW w:w="6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r>
      <w:tr>
        <w:trPr>
          <w:trHeight w:val="23"/>
        </w:trPr>
        <w:tc>
          <w:tcPr>
            <w:tcW w:w="6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6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7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Right-of-use assets (included in </w:t>
            </w:r>
            <w:r>
              <w:rPr>
                <w:rFonts w:ascii="Times New Roman" w:cs="Times New Roman" w:eastAsia="Times New Roman" w:hAnsi="Times New Roman"/>
                <w:sz w:val="18"/>
                <w:szCs w:val="18"/>
                <w:i w:val="1"/>
                <w:iCs w:val="1"/>
                <w:color w:val="auto"/>
              </w:rPr>
              <w:t>Deferred charges and other</w:t>
            </w:r>
            <w:r>
              <w:rPr>
                <w:rFonts w:ascii="Times New Roman" w:cs="Times New Roman" w:eastAsia="Times New Roman" w:hAnsi="Times New Roman"/>
                <w:sz w:val="18"/>
                <w:szCs w:val="18"/>
                <w:color w:val="auto"/>
              </w:rPr>
              <w:t xml:space="preserve"> in Transco’s Balance Sheet)</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6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Current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Transco’s Balance Sheet)</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Noncurrent (included in </w:t>
            </w:r>
            <w:r>
              <w:rPr>
                <w:rFonts w:ascii="Times New Roman" w:cs="Times New Roman" w:eastAsia="Times New Roman" w:hAnsi="Times New Roman"/>
                <w:sz w:val="18"/>
                <w:szCs w:val="18"/>
                <w:i w:val="1"/>
                <w:iCs w:val="1"/>
                <w:color w:val="auto"/>
              </w:rPr>
              <w:t>Deferred income and other</w:t>
            </w:r>
            <w:r>
              <w:rPr>
                <w:rFonts w:ascii="Times New Roman" w:cs="Times New Roman" w:eastAsia="Times New Roman" w:hAnsi="Times New Roman"/>
                <w:sz w:val="18"/>
                <w:szCs w:val="18"/>
                <w:color w:val="auto"/>
              </w:rPr>
              <w:t xml:space="preserve"> in Transco’s Balance Sheet)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8"/>
                <w:szCs w:val="18"/>
                <w:color w:val="auto"/>
                <w:w w:val="98"/>
              </w:rPr>
              <w:t>4.84%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333"/>
              <w:spacing w:after="0"/>
              <w:rPr>
                <w:sz w:val="20"/>
                <w:szCs w:val="20"/>
                <w:color w:val="auto"/>
              </w:rPr>
            </w:pPr>
            <w:r>
              <w:rPr>
                <w:rFonts w:ascii="Times New Roman" w:cs="Times New Roman" w:eastAsia="Times New Roman" w:hAnsi="Times New Roman"/>
                <w:sz w:val="18"/>
                <w:szCs w:val="18"/>
                <w:color w:val="auto"/>
              </w:rPr>
              <w:t>4.77%</w:t>
            </w: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following table represents operating lease maturities, including renewal provisions that Transco has assessed as being reasonably certain of exercise, for each of the years ended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9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9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8"/>
        </w:trPr>
        <w:tc>
          <w:tcPr>
            <w:tcW w:w="9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obligations under operating leases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660" w:type="dxa"/>
            <w:vAlign w:val="bottom"/>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95"/>
        </w:trPr>
        <w:tc>
          <w:tcPr>
            <w:tcW w:w="6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r>
      <w:tr>
        <w:trPr>
          <w:trHeight w:val="23"/>
        </w:trPr>
        <w:tc>
          <w:tcPr>
            <w:tcW w:w="6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6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3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Right-of-use assets (included in </w:t>
            </w:r>
            <w:r>
              <w:rPr>
                <w:rFonts w:ascii="Times New Roman" w:cs="Times New Roman" w:eastAsia="Times New Roman" w:hAnsi="Times New Roman"/>
                <w:sz w:val="18"/>
                <w:szCs w:val="18"/>
                <w:i w:val="1"/>
                <w:iCs w:val="1"/>
                <w:color w:val="auto"/>
              </w:rPr>
              <w:t>Deferred charges and other</w:t>
            </w:r>
            <w:r>
              <w:rPr>
                <w:rFonts w:ascii="Times New Roman" w:cs="Times New Roman" w:eastAsia="Times New Roman" w:hAnsi="Times New Roman"/>
                <w:sz w:val="18"/>
                <w:szCs w:val="18"/>
                <w:color w:val="auto"/>
              </w:rPr>
              <w:t xml:space="preserve"> in NWP’s Balance Sheet)</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Current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NWP’s Balance Sheet)</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Noncurrent (included in </w:t>
            </w:r>
            <w:r>
              <w:rPr>
                <w:rFonts w:ascii="Times New Roman" w:cs="Times New Roman" w:eastAsia="Times New Roman" w:hAnsi="Times New Roman"/>
                <w:sz w:val="18"/>
                <w:szCs w:val="18"/>
                <w:i w:val="1"/>
                <w:iCs w:val="1"/>
                <w:color w:val="auto"/>
              </w:rPr>
              <w:t>Deferred income and other</w:t>
            </w:r>
            <w:r>
              <w:rPr>
                <w:rFonts w:ascii="Times New Roman" w:cs="Times New Roman" w:eastAsia="Times New Roman" w:hAnsi="Times New Roman"/>
                <w:sz w:val="18"/>
                <w:szCs w:val="18"/>
                <w:color w:val="auto"/>
              </w:rPr>
              <w:t xml:space="preserve"> in NWP’s Balance Sheet)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(years)</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center"/>
              <w:ind w:right="196"/>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center"/>
              <w:ind w:right="313"/>
              <w:spacing w:after="0"/>
              <w:rPr>
                <w:sz w:val="20"/>
                <w:szCs w:val="20"/>
                <w:color w:val="auto"/>
              </w:rPr>
            </w:pPr>
            <w:r>
              <w:rPr>
                <w:rFonts w:ascii="Times New Roman" w:cs="Times New Roman" w:eastAsia="Times New Roman" w:hAnsi="Times New Roman"/>
                <w:sz w:val="18"/>
                <w:szCs w:val="18"/>
                <w:color w:val="auto"/>
                <w:w w:val="99"/>
              </w:rPr>
              <w:t>19</w:t>
            </w:r>
          </w:p>
        </w:tc>
      </w:tr>
      <w:tr>
        <w:trPr>
          <w:trHeight w:val="229"/>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96"/>
              <w:spacing w:after="0"/>
              <w:rPr>
                <w:sz w:val="20"/>
                <w:szCs w:val="20"/>
                <w:color w:val="auto"/>
              </w:rPr>
            </w:pPr>
            <w:r>
              <w:rPr>
                <w:rFonts w:ascii="Times New Roman" w:cs="Times New Roman" w:eastAsia="Times New Roman" w:hAnsi="Times New Roman"/>
                <w:sz w:val="18"/>
                <w:szCs w:val="18"/>
                <w:color w:val="auto"/>
                <w:w w:val="98"/>
              </w:rPr>
              <w:t>4.66%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right="313"/>
              <w:spacing w:after="0"/>
              <w:rPr>
                <w:sz w:val="20"/>
                <w:szCs w:val="20"/>
                <w:color w:val="auto"/>
              </w:rPr>
            </w:pPr>
            <w:r>
              <w:rPr>
                <w:rFonts w:ascii="Times New Roman" w:cs="Times New Roman" w:eastAsia="Times New Roman" w:hAnsi="Times New Roman"/>
                <w:sz w:val="18"/>
                <w:szCs w:val="18"/>
                <w:color w:val="auto"/>
                <w:w w:val="98"/>
              </w:rPr>
              <w:t>4.90%</w:t>
            </w: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following table represents operating lease maturities, including renewal provisions that NWP has assessed as being reasonably certain of exercise, for each of the years ended December 31: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
        </w:trPr>
        <w:tc>
          <w:tcPr>
            <w:tcW w:w="9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obligations under operating leases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 Plan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Williams Companies, Inc. 2007 Incentive Plan (the Plan) provides common-stock-based awards to both employees and nonmanagement directors. To date, 50 million new shares have been authorized for making awards under the Plan. The Plan permits the granting of various types of awards including, but not limited to, restricted stock units and stock options. At December 31, 2025, 13 million shares of common stock were reserved for issuance pursuant to existing and future stock awards, of which 7 million shares were available for future grants. At December 31, 2025, Williams had 0.3 million stock options that were both outstanding and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approximately 0.5 million shares were available for purchase at December 31, 2025 under Williams’ Employee Stock Purchase Plan.</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Williams recognizes compensation expense on employee stock-based awards on a straight-line basis; forfeitures are recognized when they occur. </w:t>
      </w: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and administrative expenses </w:t>
      </w:r>
      <w:r>
        <w:rPr>
          <w:rFonts w:ascii="Times New Roman" w:cs="Times New Roman" w:eastAsia="Times New Roman" w:hAnsi="Times New Roman"/>
          <w:sz w:val="18"/>
          <w:szCs w:val="18"/>
          <w:color w:val="auto"/>
        </w:rPr>
        <w:t>include equity-based compensation expense in 2025, 2024, and 2023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$93 million, $99 million, and $77 million, respectively. Income tax benefit recognized related to the stock-based compensation expense in 2025, 2024, and 2023 was $22 million, $24 million, and $19 million, respectively. Measured but unrecognized stock-based compensation expense at December 31, 2025, was $78 million, all of which related to restricted stock units. These amounts are expected to be recognized over a weighted-average period of 1.8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Restricted Stock Units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and 2024, Williams had restricted stock units outstanding, including performance-based shares, of 5.1 million shares and 6.4 million shares, respectively. Restricted stock units generally vest after three years. Performance-based grants may vest at a range from zero percent to 200 percent of the original shares granted based on performance against a target. At December 31, 2025, there were 1.6 million performance-based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 Guarantees, and Concentration of Credit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by level within the fair value hierarchy, certain of Williams’, Transco’s, and NWP’s significant financial assets and liabilities. The carrying values of cash and cash equivalents, accounts receivable, accounts payable, and commercial paper approximate fair value because of the short-term nature of these instruments. Therefore, these assets and liabilities are not presented in the following table.</w:t>
      </w:r>
    </w:p>
    <w:p>
      <w:pPr>
        <w:spacing w:after="0" w:line="9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3"/>
                <w:szCs w:val="13"/>
                <w:color w:val="auto"/>
              </w:rPr>
            </w:pPr>
          </w:p>
        </w:tc>
        <w:tc>
          <w:tcPr>
            <w:tcW w:w="114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1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(liabilities) at December 31, 2025:</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Measured on a recurring basis: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ARO Trust - Transco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derivative assets (1)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Commodity derivative liabilities (1)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disclosures: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Guarantees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by issuer, including current portion: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Williams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Transco</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NWP</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MountainWest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debt</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(liabilities) at December 31, 2024:</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Measured on a recurring basis: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ARO Trust - Transco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derivative assets (1)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Commodity derivative liabilities (1)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disclosures: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Guarantees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by issuer, including current portion: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Williams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Transco</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NWP</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MountainWest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Gulf Coast Storage deferred consideration (Note 3)</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debt</w:t>
            </w: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(26,456)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969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89"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is presented net of counterparty offsetting arrangements and collateral (see Note 17 – Commodity Derivatives).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0" w:lineRule="exact"/>
        <w:rPr>
          <w:rFonts w:ascii="Times New Roman" w:cs="Times New Roman" w:eastAsia="Times New Roman" w:hAnsi="Times New Roman"/>
          <w:sz w:val="17"/>
          <w:szCs w:val="17"/>
          <w:color w:val="auto"/>
        </w:rPr>
      </w:pPr>
    </w:p>
    <w:p>
      <w:pPr>
        <w:ind w:left="5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Methods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are used in estimating the fair value of financial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ARO Trust</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Transco is entitled to collect rates in the amounts necessary to fund its future AROs and deposits a portion of the collected rates into an external ARO Trust. The ARO Trust invests in a moderate risk portfolio of actively traded mutual funds that are measured at fair value on a recurring basis based on quoted prices in an active market and is reported in </w:t>
      </w:r>
      <w:r>
        <w:rPr>
          <w:rFonts w:ascii="Times New Roman" w:cs="Times New Roman" w:eastAsia="Times New Roman" w:hAnsi="Times New Roman"/>
          <w:sz w:val="18"/>
          <w:szCs w:val="18"/>
          <w:i w:val="1"/>
          <w:iCs w:val="1"/>
          <w:color w:val="auto"/>
        </w:rPr>
        <w:t>Regulatory assets, deferred charges, and other</w:t>
      </w:r>
      <w:r>
        <w:rPr>
          <w:rFonts w:ascii="Times New Roman" w:cs="Times New Roman" w:eastAsia="Times New Roman" w:hAnsi="Times New Roman"/>
          <w:sz w:val="18"/>
          <w:szCs w:val="18"/>
          <w:color w:val="auto"/>
        </w:rPr>
        <w:t xml:space="preserve"> in Williams’ Consolidated Balance Sheet and in </w:t>
      </w:r>
      <w:r>
        <w:rPr>
          <w:rFonts w:ascii="Times New Roman" w:cs="Times New Roman" w:eastAsia="Times New Roman" w:hAnsi="Times New Roman"/>
          <w:sz w:val="18"/>
          <w:szCs w:val="18"/>
          <w:i w:val="1"/>
          <w:iCs w:val="1"/>
          <w:color w:val="auto"/>
        </w:rPr>
        <w:t xml:space="preserve">Deferred charges and other </w:t>
      </w:r>
      <w:r>
        <w:rPr>
          <w:rFonts w:ascii="Times New Roman" w:cs="Times New Roman" w:eastAsia="Times New Roman" w:hAnsi="Times New Roman"/>
          <w:sz w:val="18"/>
          <w:szCs w:val="18"/>
          <w:color w:val="auto"/>
        </w:rPr>
        <w:t>in the Transco Balance Sheet. The</w:t>
      </w:r>
      <w:r>
        <w:rPr>
          <w:rFonts w:ascii="Times New Roman" w:cs="Times New Roman" w:eastAsia="Times New Roman" w:hAnsi="Times New Roman"/>
          <w:sz w:val="18"/>
          <w:szCs w:val="18"/>
          <w:i w:val="1"/>
          <w:iCs w:val="1"/>
          <w:color w:val="auto"/>
        </w:rPr>
        <w:t xml:space="preserve"> Money market fund </w:t>
      </w:r>
      <w:r>
        <w:rPr>
          <w:rFonts w:ascii="Times New Roman" w:cs="Times New Roman" w:eastAsia="Times New Roman" w:hAnsi="Times New Roman"/>
          <w:sz w:val="18"/>
          <w:szCs w:val="18"/>
          <w:color w:val="auto"/>
        </w:rPr>
        <w:t>held in the ARO Trust is considered an investment. Both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are ultimately recorded to the ARO regulatory asset.</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March 1, 2026, the annual funding obligation is approximately $51 million. See Note 18 – Contingencies and Commitments for additional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Investments within the ARO Trust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0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1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5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equity funds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equity fund</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Municipal bond fund</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Commodity derivatives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commodity derivatives include exchange-traded contracts and OTC contracts, which consist of physical forwards, futures, and swaps that are measured at fair value on a recurring basis. Williams also has other derivatives related to asset management agreements and other contracts that require physical delivery. Derivatives classified as Level 1 are valued using New York Mercantile Exchange (NYMEX) futures prices. Derivatives classified as Level 2 are valued using basis transactions that represent the cost to transport natural gas from a NYMEX delivery point to the contract delivery point. These transactions are based on quotes obtained either through electronic trading platforms or directly from brokers. Derivatives classified as Level 3 are valued using a combination of observable and unobservable inputs. See Note 17 – Commodity Derivatives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changes in fair value of the net commodity derivatives classified as Level 3 in the fair value hierarchy.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r>
      <w:tr>
        <w:trPr>
          <w:trHeight w:val="23"/>
        </w:trPr>
        <w:tc>
          <w:tcPr>
            <w:tcW w:w="8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0"/>
        </w:trPr>
        <w:tc>
          <w:tcPr>
            <w:tcW w:w="89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r>
      <w:tr>
        <w:trPr>
          <w:trHeight w:val="196"/>
        </w:trPr>
        <w:tc>
          <w:tcPr>
            <w:tcW w:w="8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20" w:type="dxa"/>
            <w:vAlign w:val="bottom"/>
            <w:gridSpan w:val="3"/>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20" w:type="dxa"/>
            <w:vAlign w:val="bottom"/>
          </w:tcPr>
          <w:p>
            <w:pPr>
              <w:spacing w:after="0"/>
              <w:rPr>
                <w:sz w:val="17"/>
                <w:szCs w:val="17"/>
                <w:color w:val="auto"/>
              </w:rPr>
            </w:pPr>
          </w:p>
        </w:tc>
      </w:tr>
      <w:tr>
        <w:trPr>
          <w:trHeight w:val="236"/>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Gains (losses) included in Williams’ Consolidated Statement of Income</w:t>
            </w: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Purchases, issuances, and settlements</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Transfers into Level 3</w:t>
            </w:r>
          </w:p>
        </w:tc>
        <w:tc>
          <w:tcPr>
            <w:tcW w:w="7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Transfers out of Level 3</w:t>
            </w:r>
          </w:p>
        </w:tc>
        <w:tc>
          <w:tcPr>
            <w:tcW w:w="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
        </w:trPr>
        <w:tc>
          <w:tcPr>
            <w:tcW w:w="8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derivatives classified within Level 3, including those transferred in during 2025, primarily reflect long-term energy commodity contracts valued based on pricing inputs that include internally-developed estimates for prices beyond observable periods, which are considered significant unobservable inputs to the valuation.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Fair Value Disclosures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Guarantees primarily consist of a guarantee Williams has provided in the event of nonpayment by a previously owned communications subsidiary, Williams Communications Group, Inc., (WilTel), on a lease performance obligation that extends through 2042. Guarantees also include an indemnification related to a disposed operation.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To estimate the fair value of the WilTel guarantee, an estimated default rate is applied to the sum of the future contractual lease payments using an income approach. The estimated default rate is determined by obtaining the average cumulative issuer-weighted default rate based on the credit rating of WilTel’s current owner and the term of the underlying obligation. The default rate is published by Moody’s Investors Service. The carrying value of the WilTel guarantee is reported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The maximum potential undiscounted liquidity exposure is approximately $21 million at December 31, 2025. The exposure declines systematically through the remaining term of WilTel’s obligation.</w:t>
      </w:r>
    </w:p>
    <w:p>
      <w:pPr>
        <w:spacing w:after="0" w:line="1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the guarantee associated with the indemnification related to a disposed operation was estimated using an income approach that considered probability-weighted scenarios of potential levels of future performance. The terms of the indemnification do not limit the maximum potential future payments associated with the guarantee. The carrying value of this guarantee is reported in </w:t>
      </w:r>
      <w:r>
        <w:rPr>
          <w:rFonts w:ascii="Times New Roman" w:cs="Times New Roman" w:eastAsia="Times New Roman" w:hAnsi="Times New Roman"/>
          <w:sz w:val="18"/>
          <w:szCs w:val="18"/>
          <w:i w:val="1"/>
          <w:iCs w:val="1"/>
          <w:color w:val="auto"/>
        </w:rPr>
        <w:t>Regulatory liabilities, deferred income, and other</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is required by its revolving credit agreement to indemnify lenders for certain taxes required to be withheld from payments due to the lenders and for certain tax payments made by the lenders. The maximum potential amount of future payments under these indemnifications is based on the related borrowings and such future payments cannot currently be determined. These indemnifications generally continue indefinitely unless limited by the underlying tax regulations and have no carrying value. Williams has never been called upon to perform under these indemnifications and there is no current expectation of a future claim.</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Long-term debt, including current portion</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disclosed fair value of long-term debt is determined primarily by a market approach using broker quoted indicative period-end bond prices. The quoted prices are based on observable transactions in less active markets for the debt or similar instruments. The fair values of the financing obligations associated with Transco’s Dalton, Leidy South, and Atlantic Sunrise projects, as well as the deferred consideration obligation associated with the Gulf Coast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Storage Acquisition (see Note 3 – Acquisitions and Divestitures), all included within long-term debt including current portion, were determined using an income approach (see Note 13 – Debt and Banking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Williams’ management approved a plan to sell certain gas gathering assets in the Mid-Continent region. These operations were designated as held for sale at December 31, 2025. As a result, the fair value of the disposal group was measured using the expected sales price under a contract with a third party which resulted in an impairment of $176 million, which included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 xml:space="preserve">, within the West segment and is included in </w:t>
      </w:r>
      <w:r>
        <w:rPr>
          <w:rFonts w:ascii="Times New Roman" w:cs="Times New Roman" w:eastAsia="Times New Roman" w:hAnsi="Times New Roman"/>
          <w:sz w:val="18"/>
          <w:szCs w:val="18"/>
          <w:i w:val="1"/>
          <w:iCs w:val="1"/>
          <w:color w:val="auto"/>
        </w:rPr>
        <w:t>Impairment or write-off of certain assets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 xml:space="preserve">. These inputs resulted in a fair value measurement of $48 million within Level 2 of the fair value hierarchy. The estimated fair value of the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 xml:space="preserve"> were determined using a market approach, which incorporated indications of interest from third parties.</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September 2025, Williams’ management decided to abandon certain compression assets in the DJ Basin resulting in a $25 million write-off of </w:t>
      </w:r>
      <w:r>
        <w:rPr>
          <w:rFonts w:ascii="Times New Roman" w:cs="Times New Roman" w:eastAsia="Times New Roman" w:hAnsi="Times New Roman"/>
          <w:sz w:val="18"/>
          <w:szCs w:val="18"/>
          <w:i w:val="1"/>
          <w:iCs w:val="1"/>
          <w:color w:val="auto"/>
        </w:rPr>
        <w:t xml:space="preserve">Property, plant, and equipment – net </w:t>
      </w:r>
      <w:r>
        <w:rPr>
          <w:rFonts w:ascii="Times New Roman" w:cs="Times New Roman" w:eastAsia="Times New Roman" w:hAnsi="Times New Roman"/>
          <w:sz w:val="18"/>
          <w:szCs w:val="18"/>
          <w:color w:val="auto"/>
        </w:rPr>
        <w:t>within the West segment. This write-off represents a Level 3 measurement within the fair value hierarchy, reflecting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significant unobservable inputs, and is included in </w:t>
      </w:r>
      <w:r>
        <w:rPr>
          <w:rFonts w:ascii="Times New Roman" w:cs="Times New Roman" w:eastAsia="Times New Roman" w:hAnsi="Times New Roman"/>
          <w:sz w:val="18"/>
          <w:szCs w:val="18"/>
          <w:i w:val="1"/>
          <w:iCs w:val="1"/>
          <w:color w:val="auto"/>
        </w:rPr>
        <w:t>Impairment or write-off of certain assets</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b w:val="1"/>
          <w:bCs w:val="1"/>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Williams’ concentration of receivables, net of allowances: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60" w:type="dxa"/>
            <w:vAlign w:val="bottom"/>
          </w:tcPr>
          <w:p>
            <w:pPr>
              <w:spacing w:after="0"/>
              <w:rPr>
                <w:sz w:val="17"/>
                <w:szCs w:val="17"/>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NGLs, and related products and services</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Regulated interstate natural gas transportation and storage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of natural gas and NGLs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Upstream activities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related to revenues from contracts with customers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derivatives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Trade accounts and other receivables - net</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1"/>
        </w:trPr>
        <w:tc>
          <w:tcPr>
            <w:tcW w:w="7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Williams’ customers include producers, distribution companies, industrial users, gas marketers, and pipelines primarily located in the continental United States. As a general policy, collateral is not required for receivables with the exception of the marketing receivables discussed below. Customers’ financial condition and credit worthiness are evaluated regularly; and, based upon this evaluation, Williams may obtain collateral to support receivables.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uses established credit policies to determine and monitor the creditworthiness of gas marketing and trading counterparties, including requirements to post collateral or other credit security, as well as the quality of pledged collateral. Collateral or credit security is most often in the form of cash or letters of credit from an investment-grade financial institution, but may also include U.S. government securities. Williams also utilizes netting agreements whenever possible to mitigate exposure to gas marketing and trading counterparty credit risk. When more than one derivative transaction with the same counterparty is outstanding and a legally enforceable netting agreement exists with that counterparty, the “net” mark-to-market exposure represents a reasonable measure of the credit risk with that counterparty.</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Transco and NWP receivables from contracts with customers are included within </w:t>
      </w:r>
      <w:r>
        <w:rPr>
          <w:rFonts w:ascii="Times New Roman" w:cs="Times New Roman" w:eastAsia="Times New Roman" w:hAnsi="Times New Roman"/>
          <w:sz w:val="18"/>
          <w:szCs w:val="18"/>
          <w:i w:val="1"/>
          <w:iCs w:val="1"/>
          <w:color w:val="auto"/>
        </w:rPr>
        <w:t>Receivables - Trade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Receivables - Affiliates.</w:t>
      </w:r>
      <w:r>
        <w:rPr>
          <w:rFonts w:ascii="Times New Roman" w:cs="Times New Roman" w:eastAsia="Times New Roman" w:hAnsi="Times New Roman"/>
          <w:sz w:val="18"/>
          <w:szCs w:val="18"/>
          <w:color w:val="auto"/>
        </w:rPr>
        <w:t xml:space="preserve"> Receivables that are not related to contracts with customers are included within the balance of </w:t>
      </w:r>
      <w:r>
        <w:rPr>
          <w:rFonts w:ascii="Times New Roman" w:cs="Times New Roman" w:eastAsia="Times New Roman" w:hAnsi="Times New Roman"/>
          <w:sz w:val="18"/>
          <w:szCs w:val="18"/>
          <w:i w:val="1"/>
          <w:iCs w:val="1"/>
          <w:color w:val="auto"/>
        </w:rPr>
        <w:t>Receivables - Advances to affiliate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Receivables - Other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Customers representing 10 percent or more of Transco’s and NWP’s revenues include: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00" w:type="dxa"/>
            <w:vAlign w:val="bottom"/>
            <w:gridSpan w:val="4"/>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Transco:</w:t>
            </w: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Dominion Energy, Inc (1)</w:t>
            </w: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7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NWP:</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Puget Sound Energy, Inc.</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Northwest Natural Gas Company</w:t>
            </w:r>
          </w:p>
        </w:tc>
        <w:tc>
          <w:tcPr>
            <w:tcW w:w="820" w:type="dxa"/>
            <w:vAlign w:val="bottom"/>
          </w:tcPr>
          <w:p>
            <w:pPr>
              <w:spacing w:after="0"/>
              <w:rPr>
                <w:sz w:val="19"/>
                <w:szCs w:val="19"/>
                <w:color w:val="auto"/>
              </w:rPr>
            </w:pPr>
          </w:p>
        </w:tc>
        <w:tc>
          <w:tcPr>
            <w:tcW w:w="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Cascade Natural Gas Corporation</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1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2025 and 2024 amounts are less than 10 percent of Transco’s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Commodity Derivatives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Williams is exposed to commodity price risk and utilizes derivatives to manage a portion of that risk. Williams reports the fair value of commodity derivatives in </w:t>
      </w:r>
      <w:r>
        <w:rPr>
          <w:rFonts w:ascii="Times New Roman" w:cs="Times New Roman" w:eastAsia="Times New Roman" w:hAnsi="Times New Roman"/>
          <w:sz w:val="18"/>
          <w:szCs w:val="18"/>
          <w:i w:val="1"/>
          <w:iCs w:val="1"/>
          <w:color w:val="auto"/>
        </w:rPr>
        <w:t>Derivative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assets, deferred charges,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Regulatory liabilities, deferred income, and other</w:t>
      </w:r>
      <w:r>
        <w:rPr>
          <w:rFonts w:ascii="Times New Roman" w:cs="Times New Roman" w:eastAsia="Times New Roman" w:hAnsi="Times New Roman"/>
          <w:sz w:val="18"/>
          <w:szCs w:val="18"/>
          <w:color w:val="auto"/>
        </w:rPr>
        <w:t>. The asset and liability derivative positions are netted by counterparty as permitted under the terms of the master netting arrangements and are also presented net of cash held on deposit in margin accounts that Williams has received or remitted to collateralize certain derivative positions. See Note 16 – Fair Value Measurements, Guarantees, and Concentration of Credit Risk for additional fair value information. In Williams’ Consolidated Statement of Cash Flows, any cash impacts of settled commodity derivatives are recorded as operating activities.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experiences significant earnings volatility from the fair value accounting required for the derivatives used to hedge a portion of the economic value of the underlying transportation and storage capacity portfolios as well as upstream-related production. However, the unrealized fair value measurement gains and losses on the derivatives are generally offset by valuation changes in the economic value of the underlying production or transportation and storage capacity contracts, which are not recognized until the underlying transaction occurs.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2025, the notional volume of the net long (short) positions for Williams’ commodity derivative contracts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9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 of Measure</w:t>
            </w:r>
          </w:p>
        </w:tc>
        <w:tc>
          <w:tcPr>
            <w:tcW w:w="26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 Long (Short) Position</w:t>
            </w:r>
          </w:p>
        </w:tc>
      </w:tr>
      <w:tr>
        <w:trPr>
          <w:trHeight w:val="23"/>
        </w:trPr>
        <w:tc>
          <w:tcPr>
            <w:tcW w:w="36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36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Index Risk</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MMBtu</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1,110,264,783</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Central Hub Risk - Henry Hub</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MMBtu</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(10,941,340)</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Basis Risk</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MMBtu</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502,600,784</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Central Hub Risk - Mont Belvieu</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Gas Liquids</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Barrels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(456,000)</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Basis Risk</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w:t>
            </w:r>
          </w:p>
        </w:tc>
        <w:tc>
          <w:tcPr>
            <w:tcW w:w="2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Barrels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commodity derivatives, which are not designated as hedging instruments for accounting purposes, is reflected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22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40" w:type="dxa"/>
            <w:vAlign w:val="bottom"/>
            <w:tcBorders>
              <w:bottom w:val="single" w:sz="8" w:color="auto"/>
            </w:tcBorders>
          </w:tcPr>
          <w:p>
            <w:pPr>
              <w:spacing w:after="0"/>
              <w:rPr>
                <w:sz w:val="16"/>
                <w:szCs w:val="16"/>
                <w:color w:val="auto"/>
              </w:rPr>
            </w:pPr>
          </w:p>
        </w:tc>
      </w:tr>
      <w:tr>
        <w:trPr>
          <w:trHeight w:val="196"/>
        </w:trPr>
        <w:tc>
          <w:tcPr>
            <w:tcW w:w="596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Commodity Derivatives Categories</w:t>
            </w:r>
          </w:p>
        </w:tc>
        <w:tc>
          <w:tcPr>
            <w:tcW w:w="26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96"/>
        </w:trPr>
        <w:tc>
          <w:tcPr>
            <w:tcW w:w="5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6"/>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494</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508</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30"/>
        </w:trPr>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228</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218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23"/>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commodity derivatives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722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(915)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726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30"/>
        </w:trPr>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Counterparty and collateral netting offset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rPr>
              <w:t>575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48"/>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recognized in Williams’ Consolidated Balance Sheet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336</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344</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pre-tax impacts of Williams’ commodity derivatives, which are not designated as hedging instruments for accounting purposes, are reflected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0" w:type="dxa"/>
            <w:vAlign w:val="bottom"/>
            <w:gridSpan w:val="6"/>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3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Net gain (loss) from commodity derivatives </w:t>
            </w:r>
            <w:r>
              <w:rPr>
                <w:rFonts w:ascii="Times New Roman" w:cs="Times New Roman" w:eastAsia="Times New Roman" w:hAnsi="Times New Roman"/>
                <w:sz w:val="17"/>
                <w:szCs w:val="17"/>
                <w:color w:val="auto"/>
              </w:rPr>
              <w:t>within</w:t>
            </w:r>
            <w:r>
              <w:rPr>
                <w:rFonts w:ascii="Times New Roman" w:cs="Times New Roman" w:eastAsia="Times New Roman" w:hAnsi="Times New Roman"/>
                <w:sz w:val="17"/>
                <w:szCs w:val="17"/>
                <w:i w:val="1"/>
                <w:iCs w:val="1"/>
                <w:color w:val="auto"/>
              </w:rPr>
              <w:t xml:space="preserve"> Total revenues</w:t>
            </w: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7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Realized</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w:t>
            </w: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3"/>
        </w:trPr>
        <w:tc>
          <w:tcPr>
            <w:tcW w:w="73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36"/>
        </w:trPr>
        <w:tc>
          <w:tcPr>
            <w:tcW w:w="7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8"/>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Net gain (loss) from commodity derivatives within </w:t>
            </w:r>
            <w:r>
              <w:rPr>
                <w:rFonts w:ascii="Times New Roman" w:cs="Times New Roman" w:eastAsia="Times New Roman" w:hAnsi="Times New Roman"/>
                <w:sz w:val="17"/>
                <w:szCs w:val="17"/>
                <w:i w:val="1"/>
                <w:iCs w:val="1"/>
                <w:color w:val="auto"/>
              </w:rPr>
              <w:t>Net processing commodity expenses</w:t>
            </w:r>
            <w:r>
              <w:rPr>
                <w:rFonts w:ascii="Times New Roman" w:cs="Times New Roman" w:eastAsia="Times New Roman" w:hAnsi="Times New Roman"/>
                <w:sz w:val="17"/>
                <w:szCs w:val="17"/>
                <w:color w:val="auto"/>
              </w:rPr>
              <w:t>:</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1"/>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Realized</w:t>
            </w: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Unrealized</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3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gain (loss) from commodity derivatives</w:t>
            </w:r>
          </w:p>
        </w:tc>
        <w:tc>
          <w:tcPr>
            <w:tcW w:w="8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0"/>
        </w:trPr>
        <w:tc>
          <w:tcPr>
            <w:tcW w:w="7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Features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collateral may be provided in the form of a parent guaranty, letter of credit, or cash. If collateral is required, fair value amounts recognized for the right to reclaim cash collateral or the obligation to return cash collateral are offset against fair value amounts recognized for derivatives executed with the same counterparty.</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specific trade and credit contracts that contain minimum credit rating requirements. These credit rating requirements typically give counterparties the right to suspend or terminate credit if Williams’ credit ratings are downgraded to non-investment grade status. Under such circumstances, Williams would need to post collateral to continue transacting business with these counterparties. At December 31, 2025, the contractually required collateral in the event of a credit rating downgrade to non-investment grade status was $30 million.</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maintains accounts with brokers or the clearing houses of certain exchanges to facilitate financial derivative transactions. Based on the value of the positions in these accounts and the associated margin requirements, Williams may be required to deposit cash into these accounts. At December 31, 2025 and 2024, net cash collateral held on deposit in broker margin accounts was $189 million and $288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Contingencies and Commitments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Matters</w:t>
      </w:r>
    </w:p>
    <w:p>
      <w:pPr>
        <w:spacing w:after="0" w:line="20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Certain customers, including Expand Energy Corporation (formerly Chesapeake Energy Corporation or Chesapeake), have been named in various lawsuits alleging underpayment of royalties and claiming, among other things, violations of anti-trust laws and the Racketeer Influenced and Corrupt Organizations Act. Williams has also been named as a defendant in certain of these cases filed in Pennsylvania based on allegations that Williams improperly participated with Chesapeake in causing the alleged royalty underpayments. Williams believes that the claims asserted are subject to indemnity obligations owed to Williams by Chesapeake, which obligations survived Chesapeake’s bankruptcy proceedings. Prior to its bankruptcy, Chesapeake reached a settlement to resolve substantially all Pennsylvania royalty cases pending. During the pendency of the bankruptcy, that settlement was renegotiated. The settlement applied to both Chesapeake and Williams and did not require any contribution from Williams. On August 23, 2021, after referral to the United States District Court for the Southern District of Texas by the bankruptcy court, the court approved the settlement. Two objectors filed an appeal with the United States Court of Appeals for the Fifth Circuit. On June 8, 2023, the Court of Appeals vacated the settlement approval and remanded to the United States District Court for the Southern District of Texas with instructions to dismiss the settlement proceedings for lack of jurisdiction. On August 31, 2023, the bankruptcy court entered an order finding the settlement agreements to be null and void. Certain plaintiffs filed a notice of dismissal of their claims against Chesapeake that arose prior to February 8, 2021, in the United States District Court for the Middle District of Pennsylvania lawsuits. The notice stated that plaintiffs are not releasing their claims against the other defendants, including Williams, or claims against Chesapeake that arose after February 9, 2021. Chesapeake has been dismissed from the lawsuits. Williams continues to believe the claims against Williams are subject to indemnity obligations owed to Williams by Chesapeake.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 Matters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Transco filed a general rate case with the FERC for an overall increase in rates and to comply with the terms of the settlement of its prior rate case. On September 30, 2024, the FERC issued an order accepting and suspending Transco’s general rate filing to be effective March 1, 2025, subject to refund and the outcome of hearing procedures established by the FERC. The order also accepted rate decreases for certain services to be effective as of October 1, 2024. During the third quarter of 2025, Transco reached an agreement in principle with its customers and the other participants to settle all aspects of the rate case and has accrued a related liability for rate refunds. Transco filed with the FERC in October 2025 for approval of the settlement. On December 30, 2025, the FERC approved the settlement which will become effective March 1,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Litigation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2025, Transco received an adverse judgment related to litigation in the United States Bankruptcy Court for the District of Delaware involving a contractor that performed construction services for Transco’s Atlantic Sunrise project, which was completed in 2018. The total award to a contractor, estimated at $110 million, included amounts for unpaid invoices, interest, and attorney fees. During the fourth quarter of 2025, Transco reached an agreement in principle with the contractor to settle all aspects of the case. Transco has accrued a related liability, capitalizing the amount of the settlement in principle. Transco expects to recover approximately 29 percent of the settlement amount paid from the co-owner of the project.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 Environmental Protection Agency (EPA), other federal agencies, and various state regulatory agencies routinely propose and promulgate new rules, issue updated guidance to rules, or revise existing rules. These rulemakings include, but are not limited to, reviews and updates to the National Ambient Air Quality Standards, and promulgation of rules for new and existing source performance standards for certain equipment emitting volatile organic compounds and methane as well as limitations on emissions of greenhouse gas compounds.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changes are continuously monitored including how they may impact operations. Implementation of new or revised regulations may result in impacts to operations and increase the cost of additions to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for both new and existing facilities in affected areas; however, due to regulatory uncertainty on final rule content or guidance and applicability timeframes, the cost of these regulatory impacts is not known at this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is a participant in certain environmental activities in various stages including assessment studies, cleanup operations, and/or remedial processes at certain sites, some of which Williams currently does not own. Williams is monitoring these sites in a coordinated effort with other potentially responsible parties, the EPA, or other governmental authorities. Williams is jointly and severally liable along with unrelated third parties in some of these activities and solely responsible in others. Certain of Williams’ subsidiaries have been identified as potentially responsible parties at various Superfund and state waste disposal sites. In addition, these subsidiaries have incurred, or are alleged to have incurred, various other hazardous materials removal or remediation obligations under environmental laws. At December 31, 2025, Williams has accrued liabilities totaling $42 million for these matters, as discussed below. Estimates of the most likely costs of cleanup are generally based on completed assessment studies, preliminary results of studies, or Williams’ experience with other similar cleanup operations. At December 31, 2025, certain assessment studies were still in process for which the ultimate outcome may yield different estimates of most likely costs. Therefore, the actual costs incurred will depend on the final amount, type, and extent of contamination discovered at these sites, the final cleanup standards mandated by the EPA or other governmental authorities, and other factors.</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interstate gas pipelines are involved in remediation and monitoring activities related to certain facilities and locations for polychlorinated biphenyls (PCBs), mercury, and other hazardous substances. These activities have involved the EPA and various state environmental authorities, resulting in Williams’ identification as a potentially responsible party (PRP) at various Superfund waste sites. At December 31, 2025, Williams has accrued liabilities of $11 million (see Transco and NWP below) for these costs and expects to recover approximately $3 million through rates.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also accrues environmental remediation costs for natural gas underground storage facilities, primarily related to soil and groundwater contamination. At December 31, 2025, Williams has accrued liabilities totaling $9 million for these costs.</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Former operations</w:t>
      </w:r>
    </w:p>
    <w:p>
      <w:pPr>
        <w:spacing w:after="0" w:line="20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potential obligations in connection with assets and businesses it no longer operates. These potential obligations include remediation activities at the direction of federal and state environmental authorities and the indemnification of the purchasers of certain of these assets and businesses for environmental and other liabilities existing at the time the sale was consummated. At December 31, 2025, Williams has accrued environmental liabilities of $22 million related to these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Transco has had studies underway for many years to test some of its facilities for the presence of toxic and hazardous substances such as PCBs and mercury to determine to what extent, if any, remediation may be necessary. Transco has also similarly evaluated past on-site disposal of hydrocarbons at a number of its facilities. Transco has worked closely with and responded to data requests from the EPA and state agencies regarding such potential contamination of certain of its sites. Transco is conducting environmental assessments and implementing a variety of remedial measures that may result in increases or decreases in the total estimated costs. Transco also has a program for monitoring certain environmental activities at its Eminence storage facility. At December 31, 2025, Transco has accrued liabilities of approximately $10 million for the expected ongoing remediation and monitoring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has been identified as a PRP at various Superfund and state waste disposal sites. Based on present volumetric estimates and other factors, its estimated aggregate exposure for remediation of these sites is less than $1 million. The estimated remediation costs for all of these sites are included in the environmental liabilities discussed above. Liability under the Comprehensive Environmental Response, Compensation and Liability Act and applicable state law can be joint and several with other PRPs. Although volumetric allocation is a factor in assessing liability, it is not necessarily determinative; thus, the ultimate liability could be substantially greater than the amounts described above.</w:t>
      </w:r>
    </w:p>
    <w:p>
      <w:pPr>
        <w:spacing w:after="0" w:line="1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Transco considers prudently incurred environmental assessment and remediation costs and the costs associated with compliance with environmental standards to be recoverable through rates. Historically, with limited exceptions, it has been permitted recovery of environmental costs, and it is Transco’s intent to continue seeking recovery of such costs through future rate filings.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Beginning in the mid-1980s, NWP evaluated many of its facilities for the presence of toxic and hazardous substances to determine to what extent, if any, remediation might be necessary. NWP identified PCB contamination in air compressor systems, soils, and related properties at certain compressor station sites. Similarly, it identified hydrocarbon impacts at these facilities due to the former use of earthen pits, lubricating oil leaks or spills, and excess pipe coating released to the environment. In addition, heavy metals have been identified at these sites due to the former use of mercury containing meters and paint and welding rods containing lead, cadmium, and arsenic. The PCBs were remediated pursuant to a Consent Decree with the EPA in the late 1980s, and NWP conducted a voluntary clean-up of the hydrocarbon and mercury impacts in the early 1990s. In 2005, the Washington Department of Ecology required NWP to re-evaluate previous clean-ups in Washington. During 2006 to 2015, 129 meter stations were evaluated, of which 82 required remediation. As of December 31, 2025, two meter stations are still being remediated. During 2006 to 2018, 14 compressor stations were evaluated, of which 11 required remediation. As of December 31, 2025, four compressor stations are still being remediated. NWP had accrued liabilities totaling approximately $1 million at December 31, 2025 for the ongoing remediation. NWP is conducting environmental assessments and implementing a variety of remedial measures that may result in increases or decreases in the total estimated costs.</w:t>
      </w:r>
    </w:p>
    <w:p>
      <w:pPr>
        <w:spacing w:after="0" w:line="1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Environmental expenditures are expensed or capitalized depending on their future economic benefit and potential for rate recovery. NWP believes that, with respect to any expenditures required to meet applicable standards and regulations, the FERC would grant the requisite rate relief so that substantially all of such expenditures would be permitted to be recovered through rates.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Washington State Climate Commitment Act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2021, the state of Washington passed its Climate Commitment Act establishing a market-based cap-and-invest program to reduce carbon emissions. This program took effect on January 1, 2023, and sets a limit, or cap, on overall carbon emissions in the state and requires businesses like NWP to obtain allowances equal to its annual covered carbon emissions. The state’s cap will be reduced over time to meet the state’s carbon emissions reduction targets, which means fewer carbon emissions allowances will be available to purchase each year. These allowances can be purchased through quarterly auctions hosted by the state or bought and sold on a secondary market. In 2023, NWP began purchasing allowances for the carbon emissions from nine of its thirteen compressor stations within the state whose annual carbon emissions have exceeded 25,000 metric tons of carbon dioxide equivalent at least once since 2015. Additionally, NWP has program obligations as a natural gas supplier and began purchasing allowances for NWP’s delivery of natural gas to certain of its customers and certain of its facilities in the state whose annual carbon emissions are insufficient to require its direct participation in the program. NWP’s latest rate case settlement allows it to recover the costs of purchasing allowances under the program in its next rate case.</w:t>
      </w:r>
    </w:p>
    <w:p>
      <w:pPr>
        <w:spacing w:after="0" w:line="15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At December 31, 2025 and 2024, totals of $72 million and $38 million, respectively, were included in </w:t>
      </w:r>
      <w:r>
        <w:rPr>
          <w:rFonts w:ascii="Times New Roman" w:cs="Times New Roman" w:eastAsia="Times New Roman" w:hAnsi="Times New Roman"/>
          <w:sz w:val="18"/>
          <w:szCs w:val="18"/>
          <w:i w:val="1"/>
          <w:iCs w:val="1"/>
          <w:color w:val="auto"/>
        </w:rPr>
        <w:t>Regulatory assets</w:t>
      </w:r>
      <w:r>
        <w:rPr>
          <w:rFonts w:ascii="Times New Roman" w:cs="Times New Roman" w:eastAsia="Times New Roman" w:hAnsi="Times New Roman"/>
          <w:sz w:val="18"/>
          <w:szCs w:val="18"/>
          <w:color w:val="auto"/>
        </w:rPr>
        <w:t xml:space="preserve"> and were comprised of the cost of the purchased allowances held, the estimated difference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between the allowances held and the allowances required, and the interest income component of the regulatory asset. At December 31, 2025 and December 31, 2024, $6 million and $3 million, respectively, were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as the estimated difference. Interest income of $4 million for the year ended December 31, 2025, and $2 million for the year ended December 31, 2024, were reflected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Divestiture Indemnifications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various purchase and sale agreements relating to divested businesses and assets, Williams has indemnified certain purchasers against liabilities that they may incur with respect to the businesses and assets acquired. The indemnities provided to the purchasers are customary in sale transactions and are contingent upon the purchasers incurring liabilities that are not otherwise recoverable from third parties.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2025, other than as previously disclosed, Williams is not aware of any material claims against it involving the above-described indemnities. Any claim for indemnity brought against Williams in the future may have a material adverse effect on Williams’ results of operations in the period in which the claim is made.</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foregoing, various other proceedings are pending against Williams that are incidental to its operations, none of which are expected to be material to Williams’ expected future annual results of operations, liquidity, and financial position.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8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Williams, Transco, and NWP have disclosed estimated ranges of reasonably possible losses for certain matters above, as well as all significant matters for which they are unable to reasonably estimate a range of possible loss. Williams, Transco, and NWP estimate that for all other matters for which they are able to reasonably estimate a range of loss, the aggregate reasonably possible losses beyond amounts accrued are immaterial to expected future annual results of operations, liquidity, and financial position. These calculations have been made without consideration of any potential recovery from third parties.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Commitments for construction and acquisition of property, plant, and equipment for Williams, Transco, and NWP are approximately $4.3 billion, $414 million, and $57 million, respectively at December 31, 2025. A significant portion of the Williams commitment relates to acquisition of long-lead time equipment for the data center power innovation projects, which are backed by reimbursement from the customer if the equipment order is cancelled.</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Commitments for Gas &amp; NGL Marketing Services pipeline transportation capacity and storage capacity are approximately $974 million at December 31, 2025, a majority of which is expected to be paid over the next five years. Actual payments for Gas &amp; NGL Marketing Services were approximately $301 million in 2025, $293 million in 2024, and $244 million in 2023 for pipeline transportation capacity and storage capacity.</w:t>
      </w:r>
    </w:p>
    <w:p>
      <w:pPr>
        <w:spacing w:after="0" w:line="1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has also entered a long-term LNG purchase obligation at market-based prices for approximately 10 percent of the volumes produced by Louisiana LNG, expected to begin in 2029. It is expected that the purchased LNG can be sold at market-based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Segment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Williams’ reportable segments are Transmission, Power &amp; Gulf; Northeast G&amp;P; West; and Gas &amp; NGL Marketing Services. All remaining business activities are included in Other. (See Note 1 – Description of Business, Basis of Presentation,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Measurement</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Williams’ CODM is the Chief Executive Officer. Williams’ CODM primarily utilizes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its measure of segment profit and loss, to evaluate performance and make decisions on capital allocation and human resources. Such evaluation includes periodic comparisons of actual performance versus historical and budget, as well as projections of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Williams defines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of reportable segments as follows:</w:t>
      </w:r>
    </w:p>
    <w:p>
      <w:pPr>
        <w:spacing w:after="0" w:line="185"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(loss) before income taxes </w:t>
      </w:r>
      <w:r>
        <w:rPr>
          <w:rFonts w:ascii="Times New Roman" w:cs="Times New Roman" w:eastAsia="Times New Roman" w:hAnsi="Times New Roman"/>
          <w:sz w:val="18"/>
          <w:szCs w:val="18"/>
          <w:color w:val="auto"/>
        </w:rPr>
        <w:t>excluding:</w:t>
      </w:r>
    </w:p>
    <w:p>
      <w:pPr>
        <w:spacing w:after="0" w:line="18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from upstream operations, corporate, and other business activities;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depletion, and amortization expenses;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earnings (losses);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investing income (loss)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net;</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and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expense associated with AROs for nonregulated operations.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measure is further adjusted to include Williams’ proportionate share (based on ownership interest) of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from its equity-method investments, including its indirect share from interests owned by equity-method investees, calculated consistently with the definition described above.</w:t>
      </w:r>
    </w:p>
    <w:p>
      <w:pPr>
        <w:spacing w:after="0" w:line="14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Significant noncash items which are components of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may include net unrealized gain (loss) from commodity derivatives within </w:t>
      </w:r>
      <w:r>
        <w:rPr>
          <w:rFonts w:ascii="Times New Roman" w:cs="Times New Roman" w:eastAsia="Times New Roman" w:hAnsi="Times New Roman"/>
          <w:sz w:val="18"/>
          <w:szCs w:val="18"/>
          <w:i w:val="1"/>
          <w:iCs w:val="1"/>
          <w:color w:val="auto"/>
        </w:rPr>
        <w:t>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net unrealized gain (loss) from commodity derivatives within</w:t>
      </w:r>
      <w:r>
        <w:rPr>
          <w:rFonts w:ascii="Times New Roman" w:cs="Times New Roman" w:eastAsia="Times New Roman" w:hAnsi="Times New Roman"/>
          <w:sz w:val="18"/>
          <w:szCs w:val="18"/>
          <w:i w:val="1"/>
          <w:iCs w:val="1"/>
          <w:color w:val="auto"/>
        </w:rPr>
        <w:t xml:space="preserve"> Net processing commodity expenses </w:t>
      </w:r>
      <w:r>
        <w:rPr>
          <w:rFonts w:ascii="Times New Roman" w:cs="Times New Roman" w:eastAsia="Times New Roman" w:hAnsi="Times New Roman"/>
          <w:sz w:val="18"/>
          <w:szCs w:val="18"/>
          <w:color w:val="auto"/>
        </w:rPr>
        <w:t>for Williams’ Gas &amp; NGL Marketing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 charges associated with lower of cost or net realizable value adjustments to the Gas &amp; NGL Marketing Services segment inventory within </w:t>
      </w: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(for natural gas marketing inventory as these sales are presented net of the related costs) and</w:t>
      </w:r>
      <w:r>
        <w:rPr>
          <w:rFonts w:ascii="Times New Roman" w:cs="Times New Roman" w:eastAsia="Times New Roman" w:hAnsi="Times New Roman"/>
          <w:sz w:val="18"/>
          <w:szCs w:val="18"/>
          <w:i w:val="1"/>
          <w:iCs w:val="1"/>
          <w:color w:val="auto"/>
        </w:rPr>
        <w:t xml:space="preserve"> Product costs </w:t>
      </w:r>
      <w:r>
        <w:rPr>
          <w:rFonts w:ascii="Times New Roman" w:cs="Times New Roman" w:eastAsia="Times New Roman" w:hAnsi="Times New Roman"/>
          <w:sz w:val="18"/>
          <w:szCs w:val="18"/>
          <w:color w:val="auto"/>
        </w:rPr>
        <w:t>(for NGL marketing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impairments or write-offs of certain assets within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color w:val="auto"/>
        </w:rPr>
        <w:t>Operating income (loss)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primarily represent transportation services provided to Williams’ marketing business and gathering services provided to its upstream oil and gas properties. Intersegment </w:t>
      </w:r>
      <w:r>
        <w:rPr>
          <w:rFonts w:ascii="Times New Roman" w:cs="Times New Roman" w:eastAsia="Times New Roman" w:hAnsi="Times New Roman"/>
          <w:sz w:val="18"/>
          <w:szCs w:val="18"/>
          <w:i w:val="1"/>
          <w:iCs w:val="1"/>
          <w:color w:val="auto"/>
        </w:rPr>
        <w:t>Product sales</w:t>
      </w:r>
      <w:r>
        <w:rPr>
          <w:rFonts w:ascii="Times New Roman" w:cs="Times New Roman" w:eastAsia="Times New Roman" w:hAnsi="Times New Roman"/>
          <w:sz w:val="18"/>
          <w:szCs w:val="18"/>
          <w:color w:val="auto"/>
        </w:rPr>
        <w:t xml:space="preserve"> primarily represent the sale of natural gas and NGLs from Williams’ natural gas processing plants and its oil and gas properties to its marketing business.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Segment assets include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tables present revenues,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significant expenses, and certain segment assets measures: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Transmission, Power</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Pr>
          <w:p>
            <w:pPr>
              <w:spacing w:after="0"/>
              <w:rPr>
                <w:sz w:val="11"/>
                <w:szCs w:val="11"/>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&amp; Gulf</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Services (1)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8,332</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89"/>
        </w:trPr>
        <w:tc>
          <w:tcPr>
            <w:tcW w:w="5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service revenues</w:t>
            </w:r>
          </w:p>
        </w:tc>
        <w:tc>
          <w:tcPr>
            <w:tcW w:w="4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8,672</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3,123</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product sales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96"/>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4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0"/>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12,633</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revenues:</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 from upstream operations, corporate, and other business activities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(loss) from commodity derivatives for upstream operations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Eliminations</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consolidated revenues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line="133" w:lineRule="exact"/>
              <w:rPr>
                <w:sz w:val="20"/>
                <w:szCs w:val="20"/>
                <w:color w:val="auto"/>
              </w:rPr>
            </w:pPr>
            <w:r>
              <w:rPr>
                <w:rFonts w:ascii="Times New Roman" w:cs="Times New Roman" w:eastAsia="Times New Roman" w:hAnsi="Times New Roman"/>
                <w:sz w:val="14"/>
                <w:szCs w:val="14"/>
                <w:color w:val="auto"/>
              </w:rPr>
              <w:t>Segment costs and expenses and Proportional Modified EBITDA of equity-method</w:t>
            </w: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0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0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unrealized gain (loss) from commodity derivatives within Net processing</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commodity expenses</w:t>
            </w:r>
          </w:p>
        </w:tc>
        <w:tc>
          <w:tcPr>
            <w:tcW w:w="4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or write-off of certain assets (6)</w:t>
            </w:r>
          </w:p>
        </w:tc>
        <w:tc>
          <w:tcPr>
            <w:tcW w:w="4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Modified EBITDA of reportable segments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7,297</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from upstream operations, corporate, and other business activities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depletion, and amortization expenses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0" w:type="dxa"/>
            <w:vAlign w:val="bottom"/>
          </w:tcPr>
          <w:p>
            <w:pPr>
              <w:spacing w:after="0"/>
              <w:rPr>
                <w:sz w:val="1"/>
                <w:szCs w:val="1"/>
                <w:color w:val="auto"/>
              </w:rPr>
            </w:pPr>
          </w:p>
        </w:tc>
      </w:tr>
      <w:tr>
        <w:trPr>
          <w:trHeight w:val="321"/>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18"/>
        </w:trPr>
        <w:tc>
          <w:tcPr>
            <w:tcW w:w="5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Equity-method investments by reportable segment</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equity-method investments</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equity-method investments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assets</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51,763</w:t>
            </w: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assets, deferred charges, and other</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Assets of upstream operations, corporate, and other business activities</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5,122</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Additions to long-lived assets of upstream operations, corporate, and other business activities</w:t>
            </w: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additions to long-lived assets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4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488" w:gutter="0" w:footer="0" w:header="0"/>
          <w:type w:val="continuous"/>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Transmission, Power</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Pr>
          <w:p>
            <w:pPr>
              <w:spacing w:after="0"/>
              <w:rPr>
                <w:sz w:val="11"/>
                <w:szCs w:val="11"/>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&amp; Gulf</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Services (1)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2024</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7,615</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9"/>
        </w:trPr>
        <w:tc>
          <w:tcPr>
            <w:tcW w:w="5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service revenues</w:t>
            </w:r>
          </w:p>
        </w:tc>
        <w:tc>
          <w:tcPr>
            <w:tcW w:w="4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7,877</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product sales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6"/>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4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89"/>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11,111</w:t>
            </w:r>
          </w:p>
        </w:tc>
        <w:tc>
          <w:tcPr>
            <w:tcW w:w="0" w:type="dxa"/>
            <w:vAlign w:val="bottom"/>
          </w:tcPr>
          <w:p>
            <w:pPr>
              <w:spacing w:after="0"/>
              <w:rPr>
                <w:sz w:val="1"/>
                <w:szCs w:val="1"/>
                <w:color w:val="auto"/>
              </w:rPr>
            </w:pPr>
          </w:p>
        </w:tc>
      </w:tr>
      <w:tr>
        <w:trPr>
          <w:trHeight w:val="21"/>
        </w:trPr>
        <w:tc>
          <w:tcPr>
            <w:tcW w:w="5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revenues:</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 from upstream operations, corporate, and other business activities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(loss) from commodity derivatives for upstream operations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Eliminations</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consolidated revenues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line="133" w:lineRule="exact"/>
              <w:rPr>
                <w:sz w:val="20"/>
                <w:szCs w:val="20"/>
                <w:color w:val="auto"/>
              </w:rPr>
            </w:pPr>
            <w:r>
              <w:rPr>
                <w:rFonts w:ascii="Times New Roman" w:cs="Times New Roman" w:eastAsia="Times New Roman" w:hAnsi="Times New Roman"/>
                <w:sz w:val="14"/>
                <w:szCs w:val="14"/>
                <w:color w:val="auto"/>
              </w:rPr>
              <w:t>Segment costs and expenses and Proportional Modified EBITDA of equity-method</w:t>
            </w: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0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0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unrealized gain (loss) from commodity derivatives within Net processing</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commodity expenses</w:t>
            </w:r>
          </w:p>
        </w:tc>
        <w:tc>
          <w:tcPr>
            <w:tcW w:w="4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Modified EBITDA of reportable segments</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6,419</w:t>
            </w: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Contributions from upstream operations, corporate, and other business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depletion, and amortization expenses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314"/>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18"/>
        </w:trPr>
        <w:tc>
          <w:tcPr>
            <w:tcW w:w="5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90"/>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0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Equity-method investments by reportable segment</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equity-method investments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0"/>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equity-method investments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0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assets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12,144</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48,257</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w:t>
            </w: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Regulatory assets, deferred charges, and other</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of upstream operations, corporate, and other business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0" w:type="dxa"/>
            <w:vAlign w:val="bottom"/>
          </w:tcPr>
          <w:p>
            <w:pPr>
              <w:spacing w:after="0"/>
              <w:rPr>
                <w:sz w:val="1"/>
                <w:szCs w:val="1"/>
                <w:color w:val="auto"/>
              </w:rPr>
            </w:pPr>
          </w:p>
        </w:tc>
      </w:tr>
      <w:tr>
        <w:trPr>
          <w:trHeight w:val="190"/>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54,532</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50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long-lived assets of upstream operations, corporate, and other business activities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0" w:type="dxa"/>
            <w:vAlign w:val="bottom"/>
          </w:tcPr>
          <w:p>
            <w:pPr>
              <w:spacing w:after="0"/>
              <w:rPr>
                <w:sz w:val="1"/>
                <w:szCs w:val="1"/>
                <w:color w:val="auto"/>
              </w:rPr>
            </w:pPr>
          </w:p>
        </w:tc>
      </w:tr>
      <w:tr>
        <w:trPr>
          <w:trHeight w:val="190"/>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additions to long-lived assets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0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68" w:gutter="0" w:footer="0" w:header="0"/>
          <w:type w:val="continuous"/>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Transmission, Power</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Pr>
          <w:p>
            <w:pPr>
              <w:spacing w:after="0"/>
              <w:rPr>
                <w:sz w:val="11"/>
                <w:szCs w:val="11"/>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&amp; Gulf</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Services (1)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2023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7,011</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89"/>
        </w:trPr>
        <w:tc>
          <w:tcPr>
            <w:tcW w:w="50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service revenues</w:t>
            </w:r>
          </w:p>
        </w:tc>
        <w:tc>
          <w:tcPr>
            <w:tcW w:w="4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7,257</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product sales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96"/>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4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189"/>
        </w:trPr>
        <w:tc>
          <w:tcPr>
            <w:tcW w:w="50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11,196</w:t>
            </w:r>
          </w:p>
        </w:tc>
        <w:tc>
          <w:tcPr>
            <w:tcW w:w="0" w:type="dxa"/>
            <w:vAlign w:val="bottom"/>
          </w:tcPr>
          <w:p>
            <w:pPr>
              <w:spacing w:after="0"/>
              <w:rPr>
                <w:sz w:val="1"/>
                <w:szCs w:val="1"/>
                <w:color w:val="auto"/>
              </w:rPr>
            </w:pPr>
          </w:p>
        </w:tc>
      </w:tr>
      <w:tr>
        <w:trPr>
          <w:trHeight w:val="21"/>
        </w:trPr>
        <w:tc>
          <w:tcPr>
            <w:tcW w:w="5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revenues:</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 from upstream operations, corporate, and other business activities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(loss) from commodity derivatives for upstream operations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Eliminations</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consolidated revenues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line="133" w:lineRule="exact"/>
              <w:rPr>
                <w:sz w:val="20"/>
                <w:szCs w:val="20"/>
                <w:color w:val="auto"/>
              </w:rPr>
            </w:pPr>
            <w:r>
              <w:rPr>
                <w:rFonts w:ascii="Times New Roman" w:cs="Times New Roman" w:eastAsia="Times New Roman" w:hAnsi="Times New Roman"/>
                <w:sz w:val="14"/>
                <w:szCs w:val="14"/>
                <w:color w:val="auto"/>
              </w:rPr>
              <w:t>Segment costs and expenses and Proportional Modified EBITDA of equity-method</w:t>
            </w: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50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0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Net unrealized gain (loss) from commodity derivatives within Net processing</w:t>
            </w:r>
          </w:p>
        </w:tc>
        <w:tc>
          <w:tcPr>
            <w:tcW w:w="42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commodity expenses</w:t>
            </w:r>
          </w:p>
        </w:tc>
        <w:tc>
          <w:tcPr>
            <w:tcW w:w="4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or write-off of certain assets</w:t>
            </w:r>
          </w:p>
        </w:tc>
        <w:tc>
          <w:tcPr>
            <w:tcW w:w="4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sale of business (7)</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Modified EBITDA of reportable segments</w:t>
            </w: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7,172</w:t>
            </w: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Contributions from upstream operations, corporate, and other business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Unallocated Net gain from Energy Transfer litigation judgment (8)</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depletion, and amortization expenses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321"/>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18"/>
        </w:trPr>
        <w:tc>
          <w:tcPr>
            <w:tcW w:w="50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Equity-method investments by reportable segment</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equity-method investments</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equity-method investments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assets</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45,289</w:t>
            </w: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Regulatory assets, deferred charges, and other</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Assets of upstream operations, corporate, and other business activities</w:t>
            </w:r>
          </w:p>
        </w:tc>
        <w:tc>
          <w:tcPr>
            <w:tcW w:w="4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52,627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Additions to long-lived assets of upstream operations, corporate, and other business activities</w:t>
            </w: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additions to long-lived assets</w:t>
            </w: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w:t>
      </w:r>
    </w:p>
    <w:p>
      <w:pPr>
        <w:spacing w:after="0" w:line="13" w:lineRule="exact"/>
        <w:rPr>
          <w:sz w:val="20"/>
          <w:szCs w:val="20"/>
          <w:color w:val="auto"/>
        </w:rPr>
      </w:pPr>
    </w:p>
    <w:p>
      <w:pPr>
        <w:ind w:left="340" w:hanging="332"/>
        <w:spacing w:after="0" w:line="262" w:lineRule="auto"/>
        <w:tabs>
          <w:tab w:leader="none" w:pos="4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Williams is acting as agent for natural gas marketing customers or engages in energy trading activities, the resulting revenues are presented net of the related costs of those activities.</w:t>
      </w:r>
    </w:p>
    <w:p>
      <w:pPr>
        <w:sectPr>
          <w:pgSz w:w="11900" w:h="16838" w:orient="portrait"/>
          <w:cols w:equalWidth="0" w:num="1">
            <w:col w:w="11240"/>
          </w:cols>
          <w:pgMar w:left="320" w:top="121" w:right="339" w:bottom="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 w:gutter="0" w:footer="0" w:header="0"/>
          <w:type w:val="continuous"/>
        </w:sectPr>
      </w:pPr>
    </w:p>
    <w:bookmarkStart w:id="191" w:name="page192"/>
    <w:bookmarkEnd w:id="191"/>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40" w:hanging="332"/>
        <w:spacing w:after="0" w:line="266" w:lineRule="auto"/>
        <w:tabs>
          <w:tab w:leader="none" w:pos="4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records transactions that qualify as commodity derivatives at fair value with changes in fair value recognized in earnings in the period of change and characterized as unrealized gains or losses. Gains and losses from commodity derivatives held for energy trading purposes are presented on a net basis in revenue.</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42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operating and administrative expenses primarily include payroll, maintenance and operating costs and taxes, and general and administrative expenses, including acquisition and transition-related expenses. It also includes project execution, information technology, finance and accounting, real estate and aviation, central engineering services, safety and operational discipline, supply chain and digital transformation, corporate strategic development, human resources, legal and government affairs, and executive and audit support services costs which are centrally managed and allocated to segments.</w:t>
      </w:r>
    </w:p>
    <w:p>
      <w:pPr>
        <w:spacing w:after="0" w:line="12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Recoverable power, transportation and storage costs are charges incurred which are reimbursable pursuant to FERC stipulations or customer contracts.</w:t>
      </w:r>
    </w:p>
    <w:p>
      <w:pPr>
        <w:spacing w:after="0" w:line="182" w:lineRule="exact"/>
        <w:rPr>
          <w:rFonts w:ascii="Times New Roman" w:cs="Times New Roman" w:eastAsia="Times New Roman" w:hAnsi="Times New Roman"/>
          <w:sz w:val="17"/>
          <w:szCs w:val="17"/>
          <w:color w:val="auto"/>
        </w:rPr>
      </w:pPr>
    </w:p>
    <w:p>
      <w:pPr>
        <w:ind w:left="400" w:hanging="392"/>
        <w:spacing w:after="0"/>
        <w:tabs>
          <w:tab w:leader="none" w:pos="4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income (expenses) primarily includes equity AFUDC and regulatory credits and charges related to Williams’ regulated operations.</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52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or write-off of certain assets primarily includes a $25 million write-off of certain compression assets within the West segment in September 2025 and a $176 million impairment of certain gas gathering assets within the West segment in December 2025 (Note 16 – Fair Value Measurements, Guarantees, and Concentration of Credit Risk).</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47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sale of business reflects a gain recognized on the sale of certain liquids pipelines in the Gulf Coast region in September 2023 (Note 3 – Acquisitions and Divestitures).</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45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 from Energy Transfer litigation judgment resulted from a favorable ruling in November 2023 (Note 1 – Description of Business, Basis of Presentation, and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Transco manages and evaluates its business as a single reportable segment. Transco’s CODM is the Senior Vice President, Transmission, Power &amp; Gulf. Transco’s CODM determines resource allocation, measures and evaluates segment operating performance based upon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as reported on the Statement of Net Income.</w:t>
      </w:r>
    </w:p>
    <w:p>
      <w:pPr>
        <w:spacing w:after="0" w:line="1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Significant expenses within net income include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which are each separately presented on Transco’s Statement of Net Income. Other segment items within net income include natural gas product costs; depreciation and amortization expenses; taxes, other than income taxes; interest expense; interest income; other income (expense) – net; and AFUDC.</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Transco’s segment assets include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as presented on the Balance Sheet.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NWP</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NWP manages and evaluates its business as a single reportable segment. NWP’s CODM is the Senior Vice President, Transmission, Power &amp; Gulf. NWP’s CODM determines resource allocation, measures and evaluates segment operating performance based upon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as reported on the Statement of Net Income.</w:t>
      </w:r>
    </w:p>
    <w:p>
      <w:pPr>
        <w:spacing w:after="0" w:line="1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Significant expenses within net income include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which are each separately presented on NWP’s Statement of Net Income. Other segment items within net income include depreciation and amortization expenses; taxes, other than income taxes; interest expense; other income (expense) – net; and AFUDC.</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NWP’s segment assets include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as presented on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Dividends to Common Stockholders</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27, 2026, Williams’ board of directors approved a regular quarterly dividend to common stockholders of $0.525 per share payable on March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Charged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2"/>
                <w:szCs w:val="12"/>
                <w:color w:val="auto"/>
              </w:rPr>
            </w:pPr>
          </w:p>
        </w:tc>
        <w:tc>
          <w:tcPr>
            <w:tcW w:w="1120" w:type="dxa"/>
            <w:vAlign w:val="bottom"/>
          </w:tcPr>
          <w:p>
            <w:pPr>
              <w:jc w:val="center"/>
              <w:ind w:right="161"/>
              <w:spacing w:after="0" w:line="146"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To Costs and</w:t>
            </w:r>
          </w:p>
        </w:tc>
        <w:tc>
          <w:tcPr>
            <w:tcW w:w="180" w:type="dxa"/>
            <w:vAlign w:val="bottom"/>
          </w:tcPr>
          <w:p>
            <w:pPr>
              <w:spacing w:after="0"/>
              <w:rPr>
                <w:sz w:val="12"/>
                <w:szCs w:val="12"/>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2"/>
                <w:szCs w:val="1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jc w:val="right"/>
              <w:ind w:right="48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Deferred tax asset valuation allowance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jc w:val="right"/>
              <w:ind w:right="48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Deferred tax asset valuation allowance (1)</w:t>
            </w:r>
          </w:p>
        </w:tc>
        <w:tc>
          <w:tcPr>
            <w:tcW w:w="180" w:type="dxa"/>
            <w:vAlign w:val="bottom"/>
          </w:tcPr>
          <w:p>
            <w:pPr>
              <w:spacing w:after="0"/>
              <w:rPr>
                <w:sz w:val="19"/>
                <w:szCs w:val="19"/>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jc w:val="right"/>
              <w:ind w:right="48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8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Deferred tax asset valuation allowance (1)</w:t>
            </w:r>
          </w:p>
        </w:tc>
        <w:tc>
          <w:tcPr>
            <w:tcW w:w="180" w:type="dxa"/>
            <w:vAlign w:val="bottom"/>
          </w:tcPr>
          <w:p>
            <w:pPr>
              <w:spacing w:after="0"/>
              <w:rPr>
                <w:sz w:val="20"/>
                <w:szCs w:val="20"/>
                <w:color w:val="auto"/>
              </w:rPr>
            </w:pPr>
          </w:p>
        </w:tc>
        <w:tc>
          <w:tcPr>
            <w:tcW w:w="10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0"/>
                <w:szCs w:val="20"/>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400" w:hanging="392"/>
        <w:spacing w:after="0"/>
        <w:tabs>
          <w:tab w:leader="none" w:pos="4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Deducted from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management, including the Principal Executive Officer and Principal Financial Officer, does not expect that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Williams monitors the Disclosure Controls and Internal Controls and makes modifications as necessary; Williams’ intent in this regard is that the Disclosure Controls and Internal Controls will be modified as systems change and conditions warrant.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Williams’ Disclosure Controls was performed as of the end of the period covered by this report. This evaluation was performed under the supervision and with the 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purchased Rimrock as part of the Rimrock Asset Purchase on January 31, 2025. Rimrock’s total revenues constituted approximately 2 percent of total revenues as shown in Williams’ consolidated financial statements for the year ended December 31, 2025. Rimrock’s total assets constituted approximately 1 percent of total assets as shown in Williams’ consolidated financial statements at December 31, 2025. Williams has excluded Rimrock’s disclosure controls and procedures that are subsumed by their internal control over financial reporting from the scope of management’s assessment of the effectiveness of Williams’ disclosure controls and procedures. This exclusion is in accordance with the guidance issued by the Staff of the Securities and Exchange Commission that an assessment of recent business combinations may be omitted from management’s assessment of internal control over financial reporting for one year following the acquisition.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fourth quarter of 2025 that have materially affected, or are reasonably likely to materially affect, Williams’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 - 15(f) and 15d</w:t>
      </w:r>
    </w:p>
    <w:p>
      <w:pPr>
        <w:spacing w:after="0" w:line="27" w:lineRule="exact"/>
        <w:rPr>
          <w:sz w:val="20"/>
          <w:szCs w:val="20"/>
          <w:color w:val="auto"/>
        </w:rPr>
      </w:pPr>
    </w:p>
    <w:p>
      <w:pPr>
        <w:ind w:firstLine="8"/>
        <w:spacing w:after="0" w:line="260" w:lineRule="auto"/>
        <w:tabs>
          <w:tab w:leader="none" w:pos="1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under the Exchange Act). Williams’ internal control over financial reporting is designed to provide reasonable assurance to management and the board of directors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preparation and fair presentation of financial statements in accordance with accounting principles generally accepted in the United States. Williams’ internal control over financial reporting includes those policies and procedures that (i) pertain to the maintenance of records that, in reasonable detail, accurately and fairly reflect the transactions and dispositions of assets; (ii) provide reasonable assurance that transactions are recorded as to permit preparation of financial statements in accordance with generally accepted accounting principles, and that receipts and expenditures are being made only in accordance with authorization of management and the board of directors; and (iii) provide reasonable assurance regarding prevention or timely detection of unauthorized acquisition, use or disposition of assets that could have a material effect on Williams’ financial statements.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Williams’ management, including the Principal Executive Officer and Principal Financial Officer, Williams assessed the effectiveness of the internal control over financial reporting at December 31, 2025, based 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Based on the assessment, which excluded Rimrock’s internal control over financial reporting as previously discussed, it was concluded that, at December 31, 2025, Williams’ internal control over financial reporting was effective.</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Ernst &amp; Young LLP, Williams’ independent registered public accounting firm, has audited the internal control over financial reporting, as stated in their report which is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Williams Companies,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have audited The Williams Companies, Inc.’s internal control over financial reporting as of December 31, 2025, based on criteria established in Internal Control-Integrated Framework issued by the Committee of Sponsoring Organizations of the Treadway Commission (2013 framework) (the COSO criteria). In our opinion, The Williams Companies, Inc. (the Company) maintained, in all material respects, effective internal control over financial reporting as of December 31, 2025, based on the COSO criteria.</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a group of natural gas gathering and processing assets purchased from Rimrock Energy Partners, LLC (Rimrock), which is included in the 2025 consolidated financial statements of the Company and constituted approximately one percent of total assets as of December 31, 2025. Our audit of internal control over financial reporting of the Company also did not include an evaluation of the internal control over financial reporting of Rimrock.</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the Company as of December 31, 2025 and 2024, the related consolidated statements of income, comprehensive income (loss), changes in equity and cash flows for each of the three years in the period ended December 31, 2025, and the related notes and the financial statement schedule listed in the index at Item 15(a) and our report dated February 24, 2026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7" w:name="page198"/>
    <w:bookmarkEnd w:id="197"/>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Transco’s management, including the Principal Executive Officer and Principal Financial Officer, does not expect that the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Transco monitors the Disclosure Controls and Internal Controls and makes modifications as necessary; Transco’s intent in this regard is that the Disclosure Controls and Internal Controls will be modified as systems change and conditions warrant.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Transco’s Disclosure Controls was performed as of the end of the period covered by this report. This evaluation was performed under the supervision and with the 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fourth quarter of 2025 that have materially affected, or are reasonably likely to materially affect, Transco’s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 - 15(f) and 15d</w:t>
      </w:r>
    </w:p>
    <w:p>
      <w:pPr>
        <w:spacing w:after="0" w:line="27" w:lineRule="exact"/>
        <w:rPr>
          <w:sz w:val="20"/>
          <w:szCs w:val="20"/>
          <w:color w:val="auto"/>
        </w:rPr>
      </w:pPr>
    </w:p>
    <w:p>
      <w:pPr>
        <w:jc w:val="both"/>
        <w:ind w:firstLine="8"/>
        <w:spacing w:after="0" w:line="252" w:lineRule="auto"/>
        <w:tabs>
          <w:tab w:leader="none" w:pos="11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under the Exchange Act). Transco’s internal control over financial reporting is designed to provide reasonable assurance to management regarding the preparation and fair presentation of financial statements in accordance with accounting principles generally accepted in the United States. Transco’s internal control over financial reporting includes those policies and procedures that (i) pertain to the maintenance of records that, in reasonable detail, accurately and fairly reflect the transactions and dispositions of assets; (ii) provide reasonable assurance that transactions are recorded as to permit preparation of financial statements in accordance with generally accepted accounting principles, and that the receipts and expenditures are being made only in accordance with authorization of management; and (iii) provide reasonable assurance regarding prevention or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8" w:name="page199"/>
    <w:bookmarkEnd w:id="19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detection of unauthorized acquisition, use or disposition of assets that could have a material effect on Transco’s financial statements.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Transco’s management, including the Principal Executive Officer and Principal Financial Officer, Transco assessed the effectiveness of internal control over financial reporting at December 31, 2025, based 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Based on the assessment, it was concluded that, at December 31, 2025, Transco’s internal control over financial reporting was effective.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NWP’s management, including the Principal Executive Officer and Principal Financial Officer, does not expect that the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NWP monitors the Disclosure Controls and Internal Controls and makes modifications as necessary; NWP’s intent in this regard is that the Disclosure Controls and Internal Controls will be modified as systems change and conditions warrant.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NWP’s Disclosure Controls was performed as of the end of the period covered by this report. This evaluation was performed under the supervision and with the participation of NWP’s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fourth quarter of 2025 that have materially affected, or are reasonably likely to materially affect, NWP’s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 - 15(f) and 15d</w:t>
      </w:r>
    </w:p>
    <w:p>
      <w:pPr>
        <w:spacing w:after="0" w:line="27" w:lineRule="exact"/>
        <w:rPr>
          <w:sz w:val="20"/>
          <w:szCs w:val="20"/>
          <w:color w:val="auto"/>
        </w:rPr>
      </w:pPr>
    </w:p>
    <w:p>
      <w:pPr>
        <w:jc w:val="both"/>
        <w:ind w:firstLine="8"/>
        <w:spacing w:after="0" w:line="253" w:lineRule="auto"/>
        <w:tabs>
          <w:tab w:leader="none" w:pos="10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under the Exchange Act). NWP’s internal control over financial reporting is designed to provide reasonable assurance to management regarding the preparation and fair presentation of financial statements in accordance with accounting principles generally accepted in the United States. NWP’s internal control over financial reporting includes those policies and procedures that (i) pertain to the maintenance of records that, in reasonable detail, accurately and fairly reflect the transactions and dispositions of assets; (ii)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reasonable assurance that transactions are recorded as to permit preparation of financial statements in accordance with generally accepted accounting principles, and that receipts and expenditures are being made only in accordance with authorization of management; and (iii) provide reasonable assurance regarding prevention or timely detection of unauthorized acquisition, use or disposition of assets that could have a material effect on NWP’s financial statements.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and the circumvention or overriding of controls. Therefore, even those systems determined to be effective can provide only reasonable assurance with respect to financial statement preparation and presentation.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NWP’s management, including the Principal Executive Officer and Principal Financial Officer, NWP assessed the effectiveness of the internal control over financial reporting at December 31, 2025, based on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Based on the assessment, it was concluded that, at December 31, 2025, NWP’s internal control over financial reporting was effective.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Director</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20, 2026, Stacey Doré notified Williams that she has elected not to stand for re-election and will depart Williams’ Board of Directors when her term expires on April 28, 2026. Ms. Doré is a member of the Audit Committee and Governance and Sustainability Committee. Following Ms. Doré’s departure, the size of Williams’ Board of Directors will be reduced to eleven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Williams adopted or terminated a “Rule 10b5-1 trading arrangement,” and no director or officer of Williams adopted or terminated a “non-Rule 10b5-1 trading arrangement,” as each term is defined in Item 408(a)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48"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Since Transco and NWP meet the conditions set forth in General Instructions (I)(1)(a) and (b) of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information required by Items 10, 11, 12, and 13, is omitted for Transco and NWP.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34"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information regarding Williams’ directors and nominees for director required by Item 401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will be presented under the heading “Election of Directors” in Williams’ definitive proxy statement prepared for the solicitation of proxies in connection with its Annual Meeting of Stockholders to be held April 28, 2026, which shall be filed no later than March 19, 2026 (“Proxy Statement”), which information is incorporated by reference herein.</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regarding Williams’ executive officers required by Item 401 of Regulation S-K is presented at the end of Part I herein and captioned “Information About Williams’ Executive Officers,” as permitted by General Instruction G(3) and the Instruction to Item 401 of Regulation S-K.</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Information required by paragraphs (c), (d)(4) and (d)(5) of Item 407 of Regulation S-K will be included under the heading “Questions and Answers About the Annual Meeting and Voting” and “Corporate Governance” in the Proxy Statement,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53"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Information regarding Williams’ insider trading policy required by Item 408 of Regulation S-K will be included under the headings “Executing on Effective Corporate Governance” and “Mitigating Risk in Williams’ Compensation Programs” in the Proxy Statement, which information is incorporated by reference herein. Williams has adopted The Williams Policy on Securities Trading (“Securities Trading Policy”) that is applicable to Williams’ directors, officers, employees, and “any other person providing services to Williams who is aware of Material Nonpublic Information relating to Williams or other public companies,” as well as “family members of persons covered by this policy, others living in their households, and entities that are directed by or subject to their influence or control.” A copy of the Securities Trading Policy is filed as Exhibit 19.1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Williams complies with applicable laws, rules, regulations and listing standards when it transacts in its own securities.</w:t>
      </w:r>
    </w:p>
    <w:p>
      <w:pPr>
        <w:spacing w:after="0" w:line="1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Williams’ Corporate Governance Guidelines, the charters for each of Williams’ board committees, and Williams’ Code of Business Conduct applicable to all employees, including Williams’ Chief Executive Officer, Chief Financial Officer, and Chief Accounting Officer, or persons performing similar functions, are available on Williams’ Internet website at </w:t>
      </w:r>
      <w:r>
        <w:rPr>
          <w:rFonts w:ascii="Times New Roman" w:cs="Times New Roman" w:eastAsia="Times New Roman" w:hAnsi="Times New Roman"/>
          <w:sz w:val="18"/>
          <w:szCs w:val="18"/>
          <w:i w:val="1"/>
          <w:iCs w:val="1"/>
          <w:color w:val="auto"/>
        </w:rPr>
        <w:t>www.williams.com.</w:t>
      </w:r>
      <w:r>
        <w:rPr>
          <w:rFonts w:ascii="Times New Roman" w:cs="Times New Roman" w:eastAsia="Times New Roman" w:hAnsi="Times New Roman"/>
          <w:sz w:val="18"/>
          <w:szCs w:val="18"/>
          <w:color w:val="auto"/>
        </w:rPr>
        <w:t xml:space="preserve"> Williams will provide, free of charge, a copy of Williams’ Code of Business Conduct or any of its other corporate documents listed above upon written request to Williams’ Corporate Secretary at Williams, One Williams Center, Suite 4700, Tulsa, Oklahoma 74172. We intend to disclose any amendments to or waivers, in each case, of the Code of Business Conduct on behalf of Williams’ Chief Executive Officer, Chief Financial Officer, Chief Accounting Officer, and persons performing similar functions on the corporate governance section of Williams’ Internet website at </w:t>
      </w:r>
      <w:r>
        <w:rPr>
          <w:rFonts w:ascii="Times New Roman" w:cs="Times New Roman" w:eastAsia="Times New Roman" w:hAnsi="Times New Roman"/>
          <w:sz w:val="18"/>
          <w:szCs w:val="18"/>
          <w:i w:val="1"/>
          <w:iCs w:val="1"/>
          <w:color w:val="auto"/>
        </w:rPr>
        <w:t>www.williams.com</w:t>
      </w:r>
      <w:r>
        <w:rPr>
          <w:rFonts w:ascii="Times New Roman" w:cs="Times New Roman" w:eastAsia="Times New Roman" w:hAnsi="Times New Roman"/>
          <w:sz w:val="18"/>
          <w:szCs w:val="18"/>
          <w:color w:val="auto"/>
        </w:rPr>
        <w:t>, promptly following the date of any such amendment or waiver.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information required by Item 402 and paragraphs (e)(4) and (e)(5) of Item 407 of Regulation S-K regarding executive compensation will be presented under the headings “Compensation Discussion and Analysis,” “Executive Compensation Tables and Other Information,” “Director Compensation For Fiscal Year 2025,” “Compensation and Management Development Committee Report,” and “Compensation and Management Development Committee Interlocks and Insider Participation” in the Proxy Statement, which information is incorporated by reference herein. Notwithstanding the foregoing, the information provided under the heading “Compensation and Management Development Committee Report” in the Proxy Statement is furnished and shall not be deemed to be filed for purposes of Section 18 of the Exchange Act, is not subject to the liabilities of that section and is not deemed incorporated by reference in any filing under the Securities Act.</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408(x) regarding policies and practices related to the grant of certain equity awards close in time to the release of material nonpublic information will be presented under the heading “Compensation Discussion and Analysis” in the Proxy Statement, which information is incorporated by reference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regarding securities authorized for issuance under equity compensation plans required by Item 201(d) of Regulation S-K and the security ownership of certain beneficial owners and management required by Item 403 of Regulation S-K will be presented under the headings “Securities Authorized For Issuance Under Equity Compensation Plans” and “Security Ownership of Certain Beneficial Owners and Management” in the Proxy Statement, which information is incorporated by reference herein.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regarding certain relationships and related transactions required by Item 404 and Item 407(a) of Regulation S-K will be presented under the heading “Election of Directors” in the Proxy Statement,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regarding Williams’ principal accounting fees and services required by Item 9(e) of Schedule 14A will be presented under the heading “Principal Accountant Fees and Services” in the Proxy Statement, which information is incorporated by reference herein. Fees for professional services provided by Transco and NWP’s independent registered public accounting firm in each of the last two fiscal years in each of the following categories are (in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6"/>
        </w:trPr>
        <w:tc>
          <w:tcPr>
            <w:tcW w:w="7980" w:type="dxa"/>
            <w:vAlign w:val="bottom"/>
          </w:tcPr>
          <w:p>
            <w:pPr>
              <w:spacing w:after="0"/>
              <w:rPr>
                <w:sz w:val="16"/>
                <w:szCs w:val="16"/>
                <w:color w:val="auto"/>
              </w:rPr>
            </w:pP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2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79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547"/>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tc>
        <w:tc>
          <w:tcPr>
            <w:tcW w:w="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193"/>
        </w:trPr>
        <w:tc>
          <w:tcPr>
            <w:tcW w:w="7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2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1140" w:type="dxa"/>
            <w:vAlign w:val="bottom"/>
            <w:tcBorders>
              <w:top w:val="single" w:sz="8" w:color="auto"/>
            </w:tcBorders>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1140" w:type="dxa"/>
            <w:vAlign w:val="bottom"/>
            <w:tcBorders>
              <w:bottom w:val="single" w:sz="8" w:color="auto"/>
            </w:tcBorders>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Fees for audit services include fees associated with the annual audit, the reviews for Transco and NWP’s quarterly reports on Form 10-Q, the reviews for other SEC and FERC filings, and accounting consultation.</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wholly owned subsidiaries of Williams, Transco and NWP do not have separate audit committees. The Williams Audit Committee is responsible for the appointment, compensation, retention, and oversight of Ernst &amp; Young LLP (EY) as such appointment relates to Transco, NWP, and Williams’ other subsidiaries. The Williams Audit Committee is responsible for overseeing the determination of fees associated with EY’s audit of Transco and NWP’s financial statements. The Williams Audit Committee has established a policy regarding pre-approval of all audit and non-audit services provided by EY to Williams and its subsidiaries. On an ongoing basis, management presents specific projects and categories of service, including projects and categories of service relating to Transco and NWP, to the Williams Audit Committee to request advance approval. The Williams Audit Committee reviews those requests and advises management if the Williams Audit Committee approves the engagement of EY. On a periodic basis, management reports to the Williams Audit Committee regarding the actual spending for such projects and services compared to the approved amounts. The Williams Audit Committee may also delegate the authority to pre-approve audit and permitted non-audit services, excluding services related to internal control over financial reporting, to a subcommittee of one or more committee members, provided that any such pre-approvals are reported on at a subsequent Williams Audit Committee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5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Covered by report of independent auditors (PCAOB ID: 42):</w:t>
            </w: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520" w:type="dxa"/>
            <w:vAlign w:val="bottom"/>
            <w:gridSpan w:val="10"/>
            <w:vMerge w:val="continue"/>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7100" w:type="dxa"/>
            <w:vAlign w:val="bottom"/>
            <w:tcBorders>
              <w:bottom w:val="single" w:sz="8" w:color="0000FF"/>
            </w:tcBorders>
            <w:gridSpan w:val="5"/>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Consolidated statement of income for each year in the three-year period ended December 31, 2025</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gridSpan w:val="3"/>
          </w:tcPr>
          <w:p>
            <w:pPr>
              <w:jc w:val="center"/>
              <w:ind w:left="172"/>
              <w:spacing w:after="0" w:line="202" w:lineRule="exact"/>
              <w:rPr>
                <w:sz w:val="20"/>
                <w:szCs w:val="20"/>
                <w:color w:val="auto"/>
              </w:rPr>
            </w:pPr>
            <w:r>
              <w:rPr>
                <w:rFonts w:ascii="Times New Roman" w:cs="Times New Roman" w:eastAsia="Times New Roman" w:hAnsi="Times New Roman"/>
                <w:sz w:val="18"/>
                <w:szCs w:val="18"/>
                <w:color w:val="0000FF"/>
                <w:w w:val="99"/>
              </w:rPr>
              <w:t>95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68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 of comprehensive income (loss) for each year in the three-year period ended December 31, 2025</w:t>
            </w: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8680" w:type="dxa"/>
            <w:vAlign w:val="bottom"/>
            <w:tcBorders>
              <w:bottom w:val="single" w:sz="8" w:color="0000FF"/>
            </w:tcBorders>
            <w:gridSpan w:val="8"/>
            <w:vMerge w:val="continue"/>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0000FF"/>
                <w:w w:val="99"/>
              </w:rPr>
              <w:t>96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 at December 31, 2025 and 2024</w:t>
            </w:r>
          </w:p>
        </w:tc>
        <w:tc>
          <w:tcPr>
            <w:tcW w:w="30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4320" w:type="dxa"/>
            <w:vAlign w:val="bottom"/>
            <w:tcBorders>
              <w:bottom w:val="single" w:sz="8" w:color="0000FF"/>
            </w:tcBorders>
            <w:gridSpan w:val="4"/>
            <w:vMerge w:val="continue"/>
          </w:tcPr>
          <w:p>
            <w:pPr>
              <w:spacing w:after="0"/>
              <w:rPr>
                <w:sz w:val="18"/>
                <w:szCs w:val="18"/>
                <w:color w:val="auto"/>
              </w:rPr>
            </w:pPr>
          </w:p>
        </w:tc>
        <w:tc>
          <w:tcPr>
            <w:tcW w:w="30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44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0000FF"/>
                <w:w w:val="99"/>
              </w:rPr>
              <w:t>97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4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 of changes in equity for each year in the three-year period ended December 31, 2025</w:t>
            </w:r>
          </w:p>
        </w:tc>
        <w:tc>
          <w:tcPr>
            <w:tcW w:w="2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7840" w:type="dxa"/>
            <w:vAlign w:val="bottom"/>
            <w:tcBorders>
              <w:bottom w:val="single" w:sz="8" w:color="0000FF"/>
            </w:tcBorders>
            <w:gridSpan w:val="7"/>
            <w:vMerge w:val="continue"/>
          </w:tcPr>
          <w:p>
            <w:pPr>
              <w:spacing w:after="0"/>
              <w:rPr>
                <w:sz w:val="18"/>
                <w:szCs w:val="18"/>
                <w:color w:val="auto"/>
              </w:rPr>
            </w:pPr>
          </w:p>
        </w:tc>
        <w:tc>
          <w:tcPr>
            <w:tcW w:w="2360" w:type="dxa"/>
            <w:vAlign w:val="bottom"/>
            <w:gridSpan w:val="2"/>
          </w:tcPr>
          <w:p>
            <w:pPr>
              <w:spacing w:after="0"/>
              <w:rPr>
                <w:sz w:val="18"/>
                <w:szCs w:val="18"/>
                <w:color w:val="auto"/>
              </w:rPr>
            </w:pPr>
          </w:p>
        </w:tc>
        <w:tc>
          <w:tcPr>
            <w:tcW w:w="44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0000FF"/>
                <w:w w:val="99"/>
              </w:rPr>
              <w:t>98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34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 of cash flows for each year in the three-year period ended December 31, 2025</w:t>
            </w:r>
          </w:p>
        </w:tc>
        <w:tc>
          <w:tcPr>
            <w:tcW w:w="28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7340" w:type="dxa"/>
            <w:vAlign w:val="bottom"/>
            <w:tcBorders>
              <w:bottom w:val="single" w:sz="8" w:color="0000FF"/>
            </w:tcBorders>
            <w:gridSpan w:val="6"/>
            <w:vMerge w:val="continue"/>
          </w:tcPr>
          <w:p>
            <w:pPr>
              <w:spacing w:after="0"/>
              <w:rPr>
                <w:sz w:val="18"/>
                <w:szCs w:val="18"/>
                <w:color w:val="auto"/>
              </w:rPr>
            </w:pPr>
          </w:p>
        </w:tc>
        <w:tc>
          <w:tcPr>
            <w:tcW w:w="2860" w:type="dxa"/>
            <w:vAlign w:val="bottom"/>
            <w:gridSpan w:val="3"/>
          </w:tcPr>
          <w:p>
            <w:pPr>
              <w:spacing w:after="0"/>
              <w:rPr>
                <w:sz w:val="18"/>
                <w:szCs w:val="18"/>
                <w:color w:val="auto"/>
              </w:rPr>
            </w:pPr>
          </w:p>
        </w:tc>
        <w:tc>
          <w:tcPr>
            <w:tcW w:w="44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0000FF"/>
                <w:w w:val="99"/>
              </w:rPr>
              <w:t>99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Combined Notes to Financial Statements</w:t>
            </w:r>
          </w:p>
        </w:tc>
        <w:tc>
          <w:tcPr>
            <w:tcW w:w="60" w:type="dxa"/>
            <w:vAlign w:val="bottom"/>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2960" w:type="dxa"/>
            <w:vAlign w:val="bottom"/>
            <w:tcBorders>
              <w:bottom w:val="single" w:sz="8" w:color="0000FF"/>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7180" w:type="dxa"/>
            <w:vAlign w:val="bottom"/>
            <w:gridSpan w:val="6"/>
          </w:tcPr>
          <w:p>
            <w:pPr>
              <w:spacing w:after="0"/>
              <w:rPr>
                <w:sz w:val="18"/>
                <w:szCs w:val="18"/>
                <w:color w:val="auto"/>
              </w:rPr>
            </w:pPr>
          </w:p>
        </w:tc>
        <w:tc>
          <w:tcPr>
            <w:tcW w:w="480" w:type="dxa"/>
            <w:vAlign w:val="bottom"/>
            <w:gridSpan w:val="4"/>
          </w:tcPr>
          <w:p>
            <w:pPr>
              <w:jc w:val="center"/>
              <w:ind w:left="132"/>
              <w:spacing w:after="0"/>
              <w:rPr>
                <w:sz w:val="20"/>
                <w:szCs w:val="20"/>
                <w:color w:val="auto"/>
              </w:rPr>
            </w:pPr>
            <w:r>
              <w:rPr>
                <w:rFonts w:ascii="Times New Roman" w:cs="Times New Roman" w:eastAsia="Times New Roman" w:hAnsi="Times New Roman"/>
                <w:sz w:val="18"/>
                <w:szCs w:val="18"/>
                <w:color w:val="0000FF"/>
                <w:w w:val="96"/>
              </w:rPr>
              <w:t>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200" w:type="dxa"/>
            <w:vAlign w:val="bottom"/>
            <w:gridSpan w:val="9"/>
            <w:vMerge w:val="restart"/>
          </w:tcPr>
          <w:p>
            <w:pPr>
              <w:ind w:left="20"/>
              <w:spacing w:after="0"/>
              <w:rPr>
                <w:sz w:val="20"/>
                <w:szCs w:val="20"/>
                <w:color w:val="auto"/>
              </w:rPr>
            </w:pPr>
            <w:r>
              <w:rPr>
                <w:rFonts w:ascii="Times New Roman" w:cs="Times New Roman" w:eastAsia="Times New Roman" w:hAnsi="Times New Roman"/>
                <w:sz w:val="18"/>
                <w:szCs w:val="18"/>
                <w:color w:val="auto"/>
              </w:rPr>
              <w:t>Schedule for each year in the three-year period ended December 31, 2025:</w:t>
            </w:r>
          </w:p>
        </w:tc>
        <w:tc>
          <w:tcPr>
            <w:tcW w:w="22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0200" w:type="dxa"/>
            <w:vAlign w:val="bottom"/>
            <w:gridSpan w:val="9"/>
            <w:vMerge w:val="continue"/>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II — Valuation and qualifying accounts</w:t>
            </w:r>
          </w:p>
        </w:tc>
        <w:tc>
          <w:tcPr>
            <w:tcW w:w="7180" w:type="dxa"/>
            <w:vAlign w:val="bottom"/>
            <w:gridSpan w:val="6"/>
          </w:tcPr>
          <w:p>
            <w:pPr>
              <w:spacing w:after="0"/>
              <w:rPr>
                <w:sz w:val="19"/>
                <w:szCs w:val="19"/>
                <w:color w:val="auto"/>
              </w:rPr>
            </w:pPr>
          </w:p>
        </w:tc>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191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is not present in amounts sufficient to require submission of the schedule, or because the information required is included in the financial statements and notes thereto.</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3 and (b). The exhibits listed below are filed as part of this annual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11"/>
          </w:tcPr>
          <w:p>
            <w:pPr>
              <w:ind w:left="32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gridSpan w:val="11"/>
            <w:vMerge w:val="restart"/>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80" w:type="dxa"/>
            <w:vAlign w:val="bottom"/>
            <w:tcBorders>
              <w:bottom w:val="single" w:sz="8" w:color="auto"/>
            </w:tcBorders>
            <w:gridSpan w:val="11"/>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7">
              <w:r>
                <w:rPr>
                  <w:rFonts w:ascii="Times New Roman" w:cs="Times New Roman" w:eastAsia="Times New Roman" w:hAnsi="Times New Roman"/>
                  <w:sz w:val="18"/>
                  <w:szCs w:val="18"/>
                  <w:color w:val="0000FF"/>
                </w:rPr>
                <w:t>Amended and Restated Certificate of Incorporation, (filed on May 26, 2010, as Exhibit 3.(i)1 to The Williams Companies Inc.’s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current report on Form 8-K (File No. 001-04174)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8">
              <w:r>
                <w:rPr>
                  <w:rFonts w:ascii="Times New Roman" w:cs="Times New Roman" w:eastAsia="Times New Roman" w:hAnsi="Times New Roman"/>
                  <w:sz w:val="18"/>
                  <w:szCs w:val="18"/>
                  <w:color w:val="0000FF"/>
                </w:rPr>
                <w:t>Certificate of Designations of Series B Preferred Stock of the Williams Companies, Inc. (filed on July17, 2018, as Exhibit 3.1 to The</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Williams Companies, Inc.’s current report on Form 8-K (File No. 001-04174) and Incorporated herein by reference).</w:t>
              </w:r>
            </w:hyperlink>
          </w:p>
        </w:tc>
        <w:tc>
          <w:tcPr>
            <w:tcW w:w="12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9">
              <w:r>
                <w:rPr>
                  <w:rFonts w:ascii="Times New Roman" w:cs="Times New Roman" w:eastAsia="Times New Roman" w:hAnsi="Times New Roman"/>
                  <w:sz w:val="18"/>
                  <w:szCs w:val="18"/>
                  <w:color w:val="0000FF"/>
                </w:rPr>
                <w:t>Certificate of Amendment dated August 10, 2018 (filed on August 10, 2018, as Exhibit 3.1 to The Williams Companies, Inc.’s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current report on Form 8-K (File No. 001-04174)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0">
              <w:r>
                <w:rPr>
                  <w:rFonts w:ascii="Times New Roman" w:cs="Times New Roman" w:eastAsia="Times New Roman" w:hAnsi="Times New Roman"/>
                  <w:sz w:val="18"/>
                  <w:szCs w:val="18"/>
                  <w:color w:val="0000FF"/>
                </w:rPr>
                <w:t>By-laws of The Williams Companies, Inc., as last amended effective October 25, 2022 (filed on October 31, 2022, as Exhibit 3.4 to</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The Williams Companies Inc.’s quarterly report on Form 10-Q (File No. 001-04174) and incorporated herein by reference).</w:t>
              </w:r>
            </w:hyperlink>
          </w:p>
        </w:tc>
        <w:tc>
          <w:tcPr>
            <w:tcW w:w="76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120" w:type="dxa"/>
            <w:vAlign w:val="bottom"/>
            <w:gridSpan w:val="13"/>
          </w:tcPr>
          <w:p>
            <w:pPr>
              <w:jc w:val="right"/>
              <w:ind w:righ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1">
              <w:r>
                <w:rPr>
                  <w:rFonts w:ascii="Times New Roman" w:cs="Times New Roman" w:eastAsia="Times New Roman" w:hAnsi="Times New Roman"/>
                  <w:sz w:val="18"/>
                  <w:szCs w:val="18"/>
                  <w:color w:val="0000FF"/>
                </w:rPr>
                <w:t>Senior Indenture, dated February 25, 1997, between MAPCO Inc. and Bank One Trust Company, N.A. (formerly The First National</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6"/>
          </w:tcPr>
          <w:p>
            <w:pPr>
              <w:jc w:val="right"/>
              <w:ind w:right="20"/>
              <w:spacing w:after="0" w:line="15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Bank of Chicago), as Trustee (filed on February 25, 1997, as Exhibit 4.5.1 to MAPCO Inc.’s Amendment No. l to registration</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8"/>
          </w:tcPr>
          <w:p>
            <w:pPr>
              <w:spacing w:after="0" w:line="15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statement on Form S-3 (File No. 333-20837) and incorporated herein by reference).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300" w:type="dxa"/>
            <w:vAlign w:val="bottom"/>
            <w:gridSpan w:val="25"/>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300" w:type="dxa"/>
            <w:vAlign w:val="bottom"/>
            <w:tcBorders>
              <w:bottom w:val="single" w:sz="8" w:color="auto"/>
            </w:tcBorders>
            <w:gridSpan w:val="2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3">
              <w:r>
                <w:rPr>
                  <w:rFonts w:ascii="Times New Roman" w:cs="Times New Roman" w:eastAsia="Times New Roman" w:hAnsi="Times New Roman"/>
                  <w:sz w:val="18"/>
                  <w:szCs w:val="18"/>
                  <w:color w:val="0000FF"/>
                </w:rPr>
                <w:t>Supplemental Indenture No. 2, dated March 5, 1997, between MAPCO Inc. and Bank One Trust Company, N.A. (formerly The First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15"/>
          </w:tcPr>
          <w:p>
            <w:pPr>
              <w:jc w:val="right"/>
              <w:ind w:right="120"/>
              <w:spacing w:after="0" w:line="156"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National Bank of Chicago), as Trustee (filed on March 4, 1998, as Exhibit 4(p) to MAPCO Inc.’s annual report on Form 10-K for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32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the fiscal year ended December 31, 1997 (File No. 001-05254) and incorporated herein by reference).</w:t>
              </w:r>
            </w:hyperlink>
          </w:p>
        </w:tc>
        <w:tc>
          <w:tcPr>
            <w:tcW w:w="256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4">
              <w:r>
                <w:rPr>
                  <w:rFonts w:ascii="Times New Roman" w:cs="Times New Roman" w:eastAsia="Times New Roman" w:hAnsi="Times New Roman"/>
                  <w:sz w:val="18"/>
                  <w:szCs w:val="18"/>
                  <w:color w:val="0000FF"/>
                </w:rPr>
                <w:t>Supplemental Indenture No. 3, dated March 31, 1998, among MAPCO Inc., Williams Holdings of Delaware, Inc. and Bank One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5"/>
          </w:tcPr>
          <w:p>
            <w:pPr>
              <w:jc w:val="right"/>
              <w:ind w:right="320"/>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Trust Company, N.A. (formerly The First National Bank of Chicago), as Trustee (filed on March 30, 1999, as Exhibit 4(J)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bottom w:val="single" w:sz="8" w:color="0000FF"/>
            </w:tcBorders>
            <w:gridSpan w:val="14"/>
          </w:tcPr>
          <w:p>
            <w:pPr>
              <w:jc w:val="right"/>
              <w:ind w:right="100"/>
              <w:spacing w:after="0" w:line="169"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Williams Holdings of Delaware, Inc.’s annual report on Form 10-K for the fiscal year ended December 31, 1998 (File No. 000-</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26"/>
          </w:tcPr>
          <w:p>
            <w:pPr>
              <w:spacing w:after="0" w:line="15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20555)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5">
              <w:r>
                <w:rPr>
                  <w:rFonts w:ascii="Times New Roman" w:cs="Times New Roman" w:eastAsia="Times New Roman" w:hAnsi="Times New Roman"/>
                  <w:sz w:val="18"/>
                  <w:szCs w:val="18"/>
                  <w:color w:val="0000FF"/>
                </w:rPr>
                <w:t>Fourth Supplemental Indenture, dated as of July 31, 1999, among Williams Holdings of Delaware, Inc., The Williams Companies,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6"/>
          </w:tcPr>
          <w:p>
            <w:pPr>
              <w:jc w:val="right"/>
              <w:ind w:right="140"/>
              <w:spacing w:after="0" w:line="15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Inc. and Bank One Trust Company, N.A. (formerly The First National Bank of Chicago), as Trustee (filed on March 28, 2000,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2"/>
          </w:tcPr>
          <w:p>
            <w:pPr>
              <w:jc w:val="right"/>
              <w:ind w:right="60"/>
              <w:spacing w:after="0" w:line="169"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Exhibit 4(q) to The Williams Companies, Inc.’s annual report on Form 10-K (File No. 001-04174) and incorporated herein by</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255">
              <w:r>
                <w:rPr>
                  <w:rFonts w:ascii="Times New Roman" w:cs="Times New Roman" w:eastAsia="Times New Roman" w:hAnsi="Times New Roman"/>
                  <w:sz w:val="18"/>
                  <w:szCs w:val="18"/>
                  <w:color w:val="0000FF"/>
                  <w:w w:val="98"/>
                </w:rPr>
                <w:t>reference).</w:t>
              </w:r>
            </w:hyperlink>
          </w:p>
        </w:tc>
        <w:tc>
          <w:tcPr>
            <w:tcW w:w="87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6">
              <w:r>
                <w:rPr>
                  <w:rFonts w:ascii="Times New Roman" w:cs="Times New Roman" w:eastAsia="Times New Roman" w:hAnsi="Times New Roman"/>
                  <w:sz w:val="18"/>
                  <w:szCs w:val="18"/>
                  <w:color w:val="0000FF"/>
                </w:rPr>
                <w:t>Fifth Supplemental Indenture, dated as of February 1, 2010,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0"/>
          </w:tcPr>
          <w:p>
            <w:pPr>
              <w:jc w:val="right"/>
              <w:ind w:right="20"/>
              <w:spacing w:after="0" w:line="15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Mellon Trust Company, N.A. (filed on February 2, 2010, as Exhibit 4.3 to The Williams Companies, Inc.’s current report on Form</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8-K (File No. 001-04174) and incorporated herein by reference).</w:t>
              </w:r>
            </w:hyperlink>
          </w:p>
        </w:tc>
        <w:tc>
          <w:tcPr>
            <w:tcW w:w="5160" w:type="dxa"/>
            <w:vAlign w:val="bottom"/>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7">
              <w:r>
                <w:rPr>
                  <w:rFonts w:ascii="Times New Roman" w:cs="Times New Roman" w:eastAsia="Times New Roman" w:hAnsi="Times New Roman"/>
                  <w:sz w:val="18"/>
                  <w:szCs w:val="18"/>
                  <w:color w:val="0000FF"/>
                </w:rPr>
                <w:t>Fifth Supplemental Indenture between The Williams Companies, Inc. and Bank One Trust Company, N.A., as Trustee, dated as of</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4"/>
          </w:tcPr>
          <w:p>
            <w:pPr>
              <w:jc w:val="right"/>
              <w:ind w:right="300"/>
              <w:spacing w:after="0" w:line="156" w:lineRule="exact"/>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January 17, 2001 (filed on March 12, 2001, as Exhibit 4(k) to The Williams Companies, Inc.’s annual report on Form 10-K (File No.</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57">
              <w:r>
                <w:rPr>
                  <w:rFonts w:ascii="Times New Roman" w:cs="Times New Roman" w:eastAsia="Times New Roman" w:hAnsi="Times New Roman"/>
                  <w:sz w:val="18"/>
                  <w:szCs w:val="18"/>
                  <w:color w:val="0000FF"/>
                  <w:w w:val="99"/>
                </w:rPr>
                <w:t>001-04174) and incorporated herein by reference).</w:t>
              </w:r>
            </w:hyperlink>
          </w:p>
        </w:tc>
        <w:tc>
          <w:tcPr>
            <w:tcW w:w="616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8">
              <w:r>
                <w:rPr>
                  <w:rFonts w:ascii="Times New Roman" w:cs="Times New Roman" w:eastAsia="Times New Roman" w:hAnsi="Times New Roman"/>
                  <w:sz w:val="18"/>
                  <w:szCs w:val="18"/>
                  <w:color w:val="0000FF"/>
                </w:rPr>
                <w:t>Seventh Supplemental Indenture, dated March 19, 2002, between The Williams Companies, Inc. as Issuer and Bank One Trust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8"/>
          </w:tcPr>
          <w:p>
            <w:pPr>
              <w:jc w:val="right"/>
              <w:ind w:right="180"/>
              <w:spacing w:after="0" w:line="156" w:lineRule="exact"/>
              <w:rPr>
                <w:rFonts w:ascii="Times New Roman" w:cs="Times New Roman" w:eastAsia="Times New Roman" w:hAnsi="Times New Roman"/>
                <w:sz w:val="18"/>
                <w:szCs w:val="18"/>
                <w:color w:val="0000FF"/>
                <w:w w:val="99"/>
              </w:rPr>
            </w:pPr>
            <w:hyperlink r:id="rId258">
              <w:r>
                <w:rPr>
                  <w:rFonts w:ascii="Times New Roman" w:cs="Times New Roman" w:eastAsia="Times New Roman" w:hAnsi="Times New Roman"/>
                  <w:sz w:val="18"/>
                  <w:szCs w:val="18"/>
                  <w:color w:val="0000FF"/>
                  <w:w w:val="99"/>
                </w:rPr>
                <w:t>Company, National Association, as Trustee (filed on May 9, 2002, as Exhibit 4.1 to The Williams Companies, Inc.’s quarterly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on Form 10-Q (File No. 001-04174) and incorporated 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1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9">
              <w:r>
                <w:rPr>
                  <w:rFonts w:ascii="Times New Roman" w:cs="Times New Roman" w:eastAsia="Times New Roman" w:hAnsi="Times New Roman"/>
                  <w:sz w:val="18"/>
                  <w:szCs w:val="18"/>
                  <w:color w:val="0000FF"/>
                </w:rPr>
                <w:t>Eleventh Supplemental Indenture, dated as of February 1, 2010,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3"/>
          </w:tcPr>
          <w:p>
            <w:pPr>
              <w:jc w:val="right"/>
              <w:ind w:right="280"/>
              <w:spacing w:after="0" w:line="15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Mellon Trust Company, N.A. (filed on February 2, 2010, as Exhibit 4.1 to The Williams Companies, Inc.’s current report on Form</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59">
              <w:r>
                <w:rPr>
                  <w:rFonts w:ascii="Times New Roman" w:cs="Times New Roman" w:eastAsia="Times New Roman" w:hAnsi="Times New Roman"/>
                  <w:sz w:val="18"/>
                  <w:szCs w:val="18"/>
                  <w:color w:val="0000FF"/>
                  <w:w w:val="99"/>
                </w:rPr>
                <w:t>8-K (File No. 001-04174) and incorporated herein by reference).</w:t>
              </w:r>
            </w:hyperlink>
          </w:p>
        </w:tc>
        <w:tc>
          <w:tcPr>
            <w:tcW w:w="516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0">
              <w:r>
                <w:rPr>
                  <w:rFonts w:ascii="Times New Roman" w:cs="Times New Roman" w:eastAsia="Times New Roman" w:hAnsi="Times New Roman"/>
                  <w:sz w:val="18"/>
                  <w:szCs w:val="18"/>
                  <w:color w:val="0000FF"/>
                </w:rPr>
                <w:t>Indenture, dated December 18, 2012, between The Williams Companies, Inc. and The Bank of New York Mellon Trust Company,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1"/>
          </w:tcPr>
          <w:p>
            <w:pPr>
              <w:jc w:val="right"/>
              <w:ind w:right="40"/>
              <w:spacing w:after="0" w:line="15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N.A. as trustee (filed on December 20, 2012, as Exhibit 4.1 to The Williams Companies, Inc.’s current report on Form 8-K (File No.</w:t>
              </w:r>
            </w:hyperlink>
          </w:p>
        </w:tc>
        <w:tc>
          <w:tcPr>
            <w:tcW w:w="40" w:type="dxa"/>
            <w:vAlign w:val="bottom"/>
            <w:tcBorders>
              <w:bottom w:val="single" w:sz="8" w:color="0000FF"/>
            </w:tcBorders>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001-04174) and incorporated herein by reference).</w:t>
              </w:r>
            </w:hyperlink>
          </w:p>
        </w:tc>
        <w:tc>
          <w:tcPr>
            <w:tcW w:w="6000" w:type="dxa"/>
            <w:vAlign w:val="bottom"/>
            <w:gridSpan w:val="10"/>
          </w:tcPr>
          <w:p>
            <w:pPr>
              <w:spacing w:after="0"/>
              <w:rPr>
                <w:sz w:val="14"/>
                <w:szCs w:val="14"/>
                <w:color w:val="auto"/>
              </w:rPr>
            </w:pPr>
          </w:p>
        </w:tc>
        <w:tc>
          <w:tcPr>
            <w:tcW w:w="1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1">
              <w:r>
                <w:rPr>
                  <w:rFonts w:ascii="Times New Roman" w:cs="Times New Roman" w:eastAsia="Times New Roman" w:hAnsi="Times New Roman"/>
                  <w:sz w:val="18"/>
                  <w:szCs w:val="18"/>
                  <w:color w:val="0000FF"/>
                </w:rPr>
                <w:t>Second Supplemental Indenture, dated as of June 24, 2014,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9"/>
          </w:tcPr>
          <w:p>
            <w:pPr>
              <w:jc w:val="right"/>
              <w:ind w:right="220"/>
              <w:spacing w:after="0" w:line="15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Mellon Trust Company, N.A., as trustee (filed on June 24, 2014, as Exhibit 4.1 to The Williams Companies, Inc.’s current report on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61">
              <w:r>
                <w:rPr>
                  <w:rFonts w:ascii="Times New Roman" w:cs="Times New Roman" w:eastAsia="Times New Roman" w:hAnsi="Times New Roman"/>
                  <w:sz w:val="18"/>
                  <w:szCs w:val="18"/>
                  <w:color w:val="0000FF"/>
                  <w:w w:val="99"/>
                </w:rPr>
                <w:t>Form 8-K (File No. 001-04174) and incorporated herein by reference).</w:t>
              </w:r>
            </w:hyperlink>
          </w:p>
        </w:tc>
        <w:tc>
          <w:tcPr>
            <w:tcW w:w="4440" w:type="dxa"/>
            <w:vAlign w:val="bottom"/>
            <w:tcBorders>
              <w:top w:val="single" w:sz="8" w:color="0000FF"/>
            </w:tcBorders>
            <w:gridSpan w:val="3"/>
          </w:tcPr>
          <w:p>
            <w:pPr>
              <w:spacing w:after="0"/>
              <w:rPr>
                <w:sz w:val="14"/>
                <w:szCs w:val="14"/>
                <w:color w:val="auto"/>
              </w:rPr>
            </w:pPr>
          </w:p>
        </w:tc>
        <w:tc>
          <w:tcPr>
            <w:tcW w:w="240" w:type="dxa"/>
            <w:vAlign w:val="bottom"/>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2">
              <w:r>
                <w:rPr>
                  <w:rFonts w:ascii="Times New Roman" w:cs="Times New Roman" w:eastAsia="Times New Roman" w:hAnsi="Times New Roman"/>
                  <w:sz w:val="18"/>
                  <w:szCs w:val="18"/>
                  <w:color w:val="0000FF"/>
                </w:rPr>
                <w:t>Third Supplemental Indenture, dated as of May 14, 2020,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7"/>
          </w:tcPr>
          <w:p>
            <w:pPr>
              <w:jc w:val="right"/>
              <w:ind w:right="380"/>
              <w:spacing w:after="0" w:line="15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Mellon Trust Company, N.A., as trustee (filed on May 14, 2020, as Exhibit 4.1 to The Williams Companies, Inc.’s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Form 8-K (File No. 001-04174) and incorporated herein by reference).</w:t>
              </w:r>
            </w:hyperlink>
          </w:p>
        </w:tc>
        <w:tc>
          <w:tcPr>
            <w:tcW w:w="4440" w:type="dxa"/>
            <w:vAlign w:val="bottom"/>
            <w:tcBorders>
              <w:top w:val="single" w:sz="8" w:color="0000FF"/>
            </w:tcBorders>
            <w:gridSpan w:val="3"/>
          </w:tcPr>
          <w:p>
            <w:pPr>
              <w:spacing w:after="0"/>
              <w:rPr>
                <w:sz w:val="14"/>
                <w:szCs w:val="14"/>
                <w:color w:val="auto"/>
              </w:rPr>
            </w:pPr>
          </w:p>
        </w:tc>
        <w:tc>
          <w:tcPr>
            <w:tcW w:w="240" w:type="dxa"/>
            <w:vAlign w:val="bottom"/>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0380" w:type="dxa"/>
            <w:vAlign w:val="bottom"/>
            <w:gridSpan w:val="30"/>
          </w:tcPr>
          <w:p>
            <w:pPr>
              <w:jc w:val="right"/>
              <w:ind w:righ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3">
              <w:r>
                <w:rPr>
                  <w:rFonts w:ascii="Times New Roman" w:cs="Times New Roman" w:eastAsia="Times New Roman" w:hAnsi="Times New Roman"/>
                  <w:sz w:val="18"/>
                  <w:szCs w:val="18"/>
                  <w:color w:val="0000FF"/>
                </w:rPr>
                <w:t>Fourth Supplemental Indenture, dated as of March 2, 2021,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20"/>
          </w:tcPr>
          <w:p>
            <w:pPr>
              <w:jc w:val="right"/>
              <w:ind w:right="220"/>
              <w:spacing w:after="0" w:line="156"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Mellon Trust Company, N.A., as trustee (filed on March 2, 2021, as Exhibit 4.1 to The Williams Companies, Inc.’s current report on</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Form 8-K (File No. 001-04174)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460" w:type="dxa"/>
            <w:vAlign w:val="bottom"/>
            <w:gridSpan w:val="22"/>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7460" w:type="dxa"/>
            <w:vAlign w:val="bottom"/>
            <w:tcBorders>
              <w:bottom w:val="single" w:sz="8" w:color="auto"/>
            </w:tcBorders>
            <w:gridSpan w:val="2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5">
              <w:r>
                <w:rPr>
                  <w:rFonts w:ascii="Times New Roman" w:cs="Times New Roman" w:eastAsia="Times New Roman" w:hAnsi="Times New Roman"/>
                  <w:sz w:val="18"/>
                  <w:szCs w:val="18"/>
                  <w:color w:val="0000FF"/>
                </w:rPr>
                <w:t>Fifth Supplemental Indenture, dated as of October 8, 2021,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Mellon Trust Company, N.A., as trustee (filed on October 8, 2021, as Exhibit 4.1 to The Williams Companies, Inc.’s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gridSpan w:val="9"/>
          </w:tcPr>
          <w:p>
            <w:pPr>
              <w:spacing w:after="0" w:line="169"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on Form 8-K (File No. 001-04174) and incorporated herein by reference)</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6">
              <w:r>
                <w:rPr>
                  <w:rFonts w:ascii="Times New Roman" w:cs="Times New Roman" w:eastAsia="Times New Roman" w:hAnsi="Times New Roman"/>
                  <w:sz w:val="18"/>
                  <w:szCs w:val="18"/>
                  <w:color w:val="0000FF"/>
                </w:rPr>
                <w:t>Sixth Supplemental Indenture, dated as of August 8, 2022,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Mellon Trust Company, N.A., as trustee (filed on August 8, 2022, as Exhibit 4.1 to The Williams Companies, Inc.’s current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on Form 8-K (File No. 001-04174) and incorporated herein by reference).</w:t>
              </w:r>
            </w:hyperlink>
          </w:p>
        </w:tc>
        <w:tc>
          <w:tcPr>
            <w:tcW w:w="4500" w:type="dxa"/>
            <w:vAlign w:val="bottom"/>
            <w:tcBorders>
              <w:top w:val="single" w:sz="8" w:color="0000FF"/>
            </w:tcBorders>
            <w:gridSpan w:val="1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7">
              <w:r>
                <w:rPr>
                  <w:rFonts w:ascii="Times New Roman" w:cs="Times New Roman" w:eastAsia="Times New Roman" w:hAnsi="Times New Roman"/>
                  <w:sz w:val="18"/>
                  <w:szCs w:val="18"/>
                  <w:color w:val="0000FF"/>
                </w:rPr>
                <w:t>Seventh Supplemental Indenture, dated as of March 2, 2023,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Mellon Trust Company, N.A., as trustee (filed on March 2, 2023, as Exhibit 4.1 to The Williams Companies, Inc.’s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67">
              <w:r>
                <w:rPr>
                  <w:rFonts w:ascii="Times New Roman" w:cs="Times New Roman" w:eastAsia="Times New Roman" w:hAnsi="Times New Roman"/>
                  <w:sz w:val="18"/>
                  <w:szCs w:val="18"/>
                  <w:color w:val="0000FF"/>
                  <w:w w:val="99"/>
                </w:rPr>
                <w:t>Form 8-K (File No. 001-04174) and incorporated herein by reference).</w:t>
              </w:r>
            </w:hyperlink>
          </w:p>
        </w:tc>
        <w:tc>
          <w:tcPr>
            <w:tcW w:w="466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8">
              <w:r>
                <w:rPr>
                  <w:rFonts w:ascii="Times New Roman" w:cs="Times New Roman" w:eastAsia="Times New Roman" w:hAnsi="Times New Roman"/>
                  <w:sz w:val="18"/>
                  <w:szCs w:val="18"/>
                  <w:color w:val="0000FF"/>
                </w:rPr>
                <w:t>Eighth Supplemental Indenture, dated as of August 10, 2023,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Mellon Trust Company, N.A., as trustee (filed on August 10, 2023, as Exhibit 4.1 to The Williams Companies, Inc.’s current report</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68">
              <w:r>
                <w:rPr>
                  <w:rFonts w:ascii="Times New Roman" w:cs="Times New Roman" w:eastAsia="Times New Roman" w:hAnsi="Times New Roman"/>
                  <w:sz w:val="18"/>
                  <w:szCs w:val="18"/>
                  <w:color w:val="0000FF"/>
                  <w:w w:val="99"/>
                </w:rPr>
                <w:t>on Form 8-K (File No. 001-04174) and incorporated herein by reference).</w:t>
              </w:r>
            </w:hyperlink>
          </w:p>
        </w:tc>
        <w:tc>
          <w:tcPr>
            <w:tcW w:w="438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4.17</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9">
              <w:r>
                <w:rPr>
                  <w:rFonts w:ascii="Times New Roman" w:cs="Times New Roman" w:eastAsia="Times New Roman" w:hAnsi="Times New Roman"/>
                  <w:sz w:val="18"/>
                  <w:szCs w:val="18"/>
                  <w:color w:val="0000FF"/>
                </w:rPr>
                <w:t>Ninth Supplemental Indenture, dated as of January 5, 2024,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Mellon Trust Company, N.A., as trustee (filed on January 5, 2024, as Exhibit 4.1 to The Williams Companies, Inc.’s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on Form 8-K (File No. 001-04174) and incorporated herein by reference).</w:t>
              </w:r>
            </w:hyperlink>
          </w:p>
        </w:tc>
        <w:tc>
          <w:tcPr>
            <w:tcW w:w="44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4.18</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0">
              <w:r>
                <w:rPr>
                  <w:rFonts w:ascii="Times New Roman" w:cs="Times New Roman" w:eastAsia="Times New Roman" w:hAnsi="Times New Roman"/>
                  <w:sz w:val="18"/>
                  <w:szCs w:val="18"/>
                  <w:color w:val="0000FF"/>
                </w:rPr>
                <w:t>Tenth Supplemental Indenture, dated as of August 13, 2024,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Mellon Trust Company, N.A., as trustee (filed on August 13, 2024, as Exhibit 4.1 to The Williams Companies, Inc.’s current report</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70">
              <w:r>
                <w:rPr>
                  <w:rFonts w:ascii="Times New Roman" w:cs="Times New Roman" w:eastAsia="Times New Roman" w:hAnsi="Times New Roman"/>
                  <w:sz w:val="18"/>
                  <w:szCs w:val="18"/>
                  <w:color w:val="0000FF"/>
                  <w:w w:val="99"/>
                </w:rPr>
                <w:t>on Form 8-K (File No. 001-04174) and incorporated herein by reference).</w:t>
              </w:r>
            </w:hyperlink>
          </w:p>
        </w:tc>
        <w:tc>
          <w:tcPr>
            <w:tcW w:w="438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1">
              <w:r>
                <w:rPr>
                  <w:rFonts w:ascii="Times New Roman" w:cs="Times New Roman" w:eastAsia="Times New Roman" w:hAnsi="Times New Roman"/>
                  <w:sz w:val="18"/>
                  <w:szCs w:val="18"/>
                  <w:color w:val="0000FF"/>
                </w:rPr>
                <w:t>Eleventh Supplemental Indenture, dated as of January 9, 2025, between The Williams Companies, Inc.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Mellon Trust Company, N.A., as trustee (filed on January 10, 2025, as Exhibit 4.1 to The Williams Companies, Inc.’s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2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271">
              <w:r>
                <w:rPr>
                  <w:rFonts w:ascii="Times New Roman" w:cs="Times New Roman" w:eastAsia="Times New Roman" w:hAnsi="Times New Roman"/>
                  <w:sz w:val="18"/>
                  <w:szCs w:val="18"/>
                  <w:color w:val="0000FF"/>
                  <w:w w:val="99"/>
                </w:rPr>
                <w:t>on Form 8-K (File No. 001-04174) and incorporated herein by reference).</w:t>
              </w:r>
            </w:hyperlink>
          </w:p>
        </w:tc>
        <w:tc>
          <w:tcPr>
            <w:tcW w:w="436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2">
              <w:r>
                <w:rPr>
                  <w:rFonts w:ascii="Times New Roman" w:cs="Times New Roman" w:eastAsia="Times New Roman" w:hAnsi="Times New Roman"/>
                  <w:sz w:val="18"/>
                  <w:szCs w:val="18"/>
                  <w:color w:val="0000FF"/>
                </w:rPr>
                <w:t>Twelfth Supplemental Indenture, dated as of June 30, 2025,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Mellon Trust Company, N.A., as trustee (filed on June 30, 2025, as Exhibit 4.1 to The Williams Companies, Inc.’s current report on</w:t>
              </w:r>
            </w:hyperlink>
          </w:p>
        </w:tc>
        <w:tc>
          <w:tcPr>
            <w:tcW w:w="80" w:type="dxa"/>
            <w:vAlign w:val="bottom"/>
            <w:tcBorders>
              <w:bottom w:val="single" w:sz="8" w:color="0000FF"/>
            </w:tcBorders>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Form 8-K (File No. 001-04174) and incorporated herein by reference).</w:t>
              </w:r>
            </w:hyperlink>
          </w:p>
        </w:tc>
        <w:tc>
          <w:tcPr>
            <w:tcW w:w="4700" w:type="dxa"/>
            <w:vAlign w:val="bottom"/>
            <w:gridSpan w:val="16"/>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4.21</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3">
              <w:r>
                <w:rPr>
                  <w:rFonts w:ascii="Times New Roman" w:cs="Times New Roman" w:eastAsia="Times New Roman" w:hAnsi="Times New Roman"/>
                  <w:sz w:val="18"/>
                  <w:szCs w:val="18"/>
                  <w:color w:val="0000FF"/>
                </w:rPr>
                <w:t>Thirteenth Supplemental Indenture, dated as of January 8, 2026,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Mellon Trust Company, N.A., as trustee (filed on January 8, 2026, as Exhibit 4.1 to The Williams Companies, Inc.’s current report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on From 8-K (File No. 001-04174) and incorporated herein by reference.</w:t>
              </w:r>
            </w:hyperlink>
          </w:p>
        </w:tc>
        <w:tc>
          <w:tcPr>
            <w:tcW w:w="4420" w:type="dxa"/>
            <w:vAlign w:val="bottom"/>
            <w:tcBorders>
              <w:top w:val="single" w:sz="8" w:color="0000FF"/>
            </w:tcBorders>
            <w:gridSpan w:val="10"/>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4.22</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4">
              <w:r>
                <w:rPr>
                  <w:rFonts w:ascii="Times New Roman" w:cs="Times New Roman" w:eastAsia="Times New Roman" w:hAnsi="Times New Roman"/>
                  <w:sz w:val="18"/>
                  <w:szCs w:val="18"/>
                  <w:color w:val="0000FF"/>
                </w:rPr>
                <w:t>Indenture, dated as of February 9, 2010, between Williams Partners L.P. and The Bank of New York Mellon Trust Company, N.A.</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(filed on February 10, 2010, as Exhibit 4.1 to The Williams Companies, Inc.’s current report on Form 8-K (File No. 001-04174) and</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4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1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4.23</w:t>
            </w:r>
          </w:p>
        </w:tc>
        <w:tc>
          <w:tcPr>
            <w:tcW w:w="1034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5">
              <w:r>
                <w:rPr>
                  <w:rFonts w:ascii="Times New Roman" w:cs="Times New Roman" w:eastAsia="Times New Roman" w:hAnsi="Times New Roman"/>
                  <w:sz w:val="18"/>
                  <w:szCs w:val="18"/>
                  <w:color w:val="0000FF"/>
                </w:rPr>
                <w:t>First Supplemental Indenture, dated as of February 2, 2015, between Williams Partners L.P. and The Bank of New York Mellon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Trust Company, N.A. (filed on February 3, 2015, as Exhibit 4.5 to Williams Partners L.P.’s current report on Form 8-K (File No.</w:t>
              </w:r>
            </w:hyperlink>
          </w:p>
        </w:tc>
        <w:tc>
          <w:tcPr>
            <w:tcW w:w="60" w:type="dxa"/>
            <w:vAlign w:val="bottom"/>
            <w:tcBorders>
              <w:top w:val="single" w:sz="8" w:color="0000FF"/>
            </w:tcBorders>
            <w:gridSpan w:val="3"/>
          </w:tcPr>
          <w:p>
            <w:pPr>
              <w:spacing w:after="0"/>
              <w:rPr>
                <w:sz w:val="13"/>
                <w:szCs w:val="13"/>
                <w:color w:val="auto"/>
              </w:rPr>
            </w:pPr>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275">
        <w:r>
          <w:rPr>
            <w:rFonts w:ascii="Times New Roman" w:cs="Times New Roman" w:eastAsia="Times New Roman" w:hAnsi="Times New Roman"/>
            <w:sz w:val="18"/>
            <w:szCs w:val="18"/>
            <w:u w:val="single" w:color="auto"/>
            <w:color w:val="0000FF"/>
          </w:rPr>
          <w:t>001-34831)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60" w:type="dxa"/>
            <w:vAlign w:val="bottom"/>
            <w:gridSpan w:val="20"/>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960" w:type="dxa"/>
            <w:vAlign w:val="bottom"/>
            <w:tcBorders>
              <w:bottom w:val="single" w:sz="8" w:color="auto"/>
            </w:tcBorders>
            <w:gridSpan w:val="20"/>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7">
              <w:r>
                <w:rPr>
                  <w:rFonts w:ascii="Times New Roman" w:cs="Times New Roman" w:eastAsia="Times New Roman" w:hAnsi="Times New Roman"/>
                  <w:sz w:val="18"/>
                  <w:szCs w:val="18"/>
                  <w:color w:val="0000FF"/>
                </w:rPr>
                <w:t>Second Supplemental Indenture, dated as of August 10, 2018,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Mellon Trust Company, N.A. (filed on August 10, 2018, as Exhibit 4.2 to The Williams Companies, Inc.’s current report on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K (File No. 001-04174)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8">
              <w:r>
                <w:rPr>
                  <w:rFonts w:ascii="Times New Roman" w:cs="Times New Roman" w:eastAsia="Times New Roman" w:hAnsi="Times New Roman"/>
                  <w:sz w:val="18"/>
                  <w:szCs w:val="18"/>
                  <w:color w:val="0000FF"/>
                </w:rPr>
                <w:t>Indenture, dated as of November 9, 2010, between Williams Partners L.P. and The Bank of New York Mellon Trust Company, N.A.,</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as trustee (filed on November 12, 2010, as Exhibit 4.1 to Williams Partners L.P.’s current report on Form 8-K (File No. 001-32599)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278">
              <w:r>
                <w:rPr>
                  <w:rFonts w:ascii="Times New Roman" w:cs="Times New Roman" w:eastAsia="Times New Roman" w:hAnsi="Times New Roman"/>
                  <w:sz w:val="18"/>
                  <w:szCs w:val="18"/>
                  <w:color w:val="0000FF"/>
                  <w:w w:val="99"/>
                </w:rPr>
                <w:t>and incorporated herein by reference).</w:t>
              </w:r>
            </w:hyperlink>
          </w:p>
        </w:tc>
        <w:tc>
          <w:tcPr>
            <w:tcW w:w="7120" w:type="dxa"/>
            <w:vAlign w:val="bottom"/>
            <w:gridSpan w:val="2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9">
              <w:r>
                <w:rPr>
                  <w:rFonts w:ascii="Times New Roman" w:cs="Times New Roman" w:eastAsia="Times New Roman" w:hAnsi="Times New Roman"/>
                  <w:sz w:val="18"/>
                  <w:szCs w:val="18"/>
                  <w:color w:val="0000FF"/>
                </w:rPr>
                <w:t>Fifth Supplemental Indenture, dated as of March 4, 2014, between Williams Partners L.P. and The Bank of New York Mellon Trust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Company, N.A., as trustee (filed on March 4, 2014, as Exhibit 4.1 to Williams Partners L.P.’s current report on Form 8-K (File No.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79">
              <w:r>
                <w:rPr>
                  <w:rFonts w:ascii="Times New Roman" w:cs="Times New Roman" w:eastAsia="Times New Roman" w:hAnsi="Times New Roman"/>
                  <w:sz w:val="18"/>
                  <w:szCs w:val="18"/>
                  <w:color w:val="0000FF"/>
                  <w:w w:val="99"/>
                </w:rPr>
                <w:t>001-32599) and incorporated herein by reference).</w:t>
              </w:r>
            </w:hyperlink>
          </w:p>
        </w:tc>
        <w:tc>
          <w:tcPr>
            <w:tcW w:w="5900" w:type="dxa"/>
            <w:vAlign w:val="bottom"/>
            <w:tcBorders>
              <w:top w:val="single" w:sz="8" w:color="0000FF"/>
            </w:tcBorders>
            <w:gridSpan w:val="3"/>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40" w:type="dxa"/>
            <w:vAlign w:val="bottom"/>
            <w:tcBorders>
              <w:top w:val="single" w:sz="8" w:color="0000FF"/>
            </w:tcBorders>
            <w:gridSpan w:val="2"/>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4.27</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0">
              <w:r>
                <w:rPr>
                  <w:rFonts w:ascii="Times New Roman" w:cs="Times New Roman" w:eastAsia="Times New Roman" w:hAnsi="Times New Roman"/>
                  <w:sz w:val="18"/>
                  <w:szCs w:val="18"/>
                  <w:color w:val="0000FF"/>
                </w:rPr>
                <w:t>Sixth Supplemental Indenture, dated as of June 27, 2014, between Williams Partners L.P. and The Bank of New York Mellon Trust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Company, N.A., as trustee (filed on June 27, 2014, as Exhibit_4.1 to Williams Partners L.P.’s current report on Form 8-K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001-32599) and incorporated herein by reference).</w:t>
              </w:r>
            </w:hyperlink>
          </w:p>
        </w:tc>
        <w:tc>
          <w:tcPr>
            <w:tcW w:w="5900" w:type="dxa"/>
            <w:vAlign w:val="bottom"/>
            <w:tcBorders>
              <w:top w:val="single" w:sz="8" w:color="0000FF"/>
            </w:tcBorders>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1">
              <w:r>
                <w:rPr>
                  <w:rFonts w:ascii="Times New Roman" w:cs="Times New Roman" w:eastAsia="Times New Roman" w:hAnsi="Times New Roman"/>
                  <w:sz w:val="18"/>
                  <w:szCs w:val="18"/>
                  <w:color w:val="0000FF"/>
                </w:rPr>
                <w:t>Seventh Supplemental Indenture, dated as of February 2, 2015, between Williams Partners L.P. and The Bank of New York Mellon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Trust Company, N.A. (filed on February 3, 2015, as Exhibit_4.4 to Williams Partners L.P.’s current report on Form 8-K (File 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81">
              <w:r>
                <w:rPr>
                  <w:rFonts w:ascii="Times New Roman" w:cs="Times New Roman" w:eastAsia="Times New Roman" w:hAnsi="Times New Roman"/>
                  <w:sz w:val="18"/>
                  <w:szCs w:val="18"/>
                  <w:color w:val="0000FF"/>
                  <w:w w:val="99"/>
                </w:rPr>
                <w:t>001-34831) and incorporated herein by reference).</w:t>
              </w:r>
            </w:hyperlink>
          </w:p>
        </w:tc>
        <w:tc>
          <w:tcPr>
            <w:tcW w:w="61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2">
              <w:r>
                <w:rPr>
                  <w:rFonts w:ascii="Times New Roman" w:cs="Times New Roman" w:eastAsia="Times New Roman" w:hAnsi="Times New Roman"/>
                  <w:sz w:val="18"/>
                  <w:szCs w:val="18"/>
                  <w:color w:val="0000FF"/>
                </w:rPr>
                <w:t>Eighth Supplemental Indenture, dated as of March 3, 2015, between Williams Partners L.P. and The Bank of New York Mellon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Trust Company, N.A., as trustee (filed on March 3, 2015, as Exhibit 4.1 to Williams Partners L.P.’s current report on Form 8-K (File</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gridSpan w:val="17"/>
          </w:tcPr>
          <w:p>
            <w:pPr>
              <w:spacing w:after="0" w:line="169" w:lineRule="exact"/>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No. 001-34831)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3">
              <w:r>
                <w:rPr>
                  <w:rFonts w:ascii="Times New Roman" w:cs="Times New Roman" w:eastAsia="Times New Roman" w:hAnsi="Times New Roman"/>
                  <w:sz w:val="18"/>
                  <w:szCs w:val="18"/>
                  <w:color w:val="0000FF"/>
                </w:rPr>
                <w:t>Ninth Supplemental Indenture, dated as of June 5, 2017, between Williams Partners L.P. and The Bank of New York Mellon Trust</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Company, N.A., as trustee (filed on June 5, 2017, as Exhibit 4.1 to Williams Partners L.P.’s current report on Form 8-K (File No.</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83">
              <w:r>
                <w:rPr>
                  <w:rFonts w:ascii="Times New Roman" w:cs="Times New Roman" w:eastAsia="Times New Roman" w:hAnsi="Times New Roman"/>
                  <w:sz w:val="18"/>
                  <w:szCs w:val="18"/>
                  <w:color w:val="0000FF"/>
                  <w:w w:val="99"/>
                </w:rPr>
                <w:t>001-34831) and incorporated herein by reference).</w:t>
              </w:r>
            </w:hyperlink>
          </w:p>
        </w:tc>
        <w:tc>
          <w:tcPr>
            <w:tcW w:w="5940" w:type="dxa"/>
            <w:vAlign w:val="bottom"/>
            <w:tcBorders>
              <w:top w:val="single" w:sz="8" w:color="0000FF"/>
            </w:tcBorders>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4">
              <w:r>
                <w:rPr>
                  <w:rFonts w:ascii="Times New Roman" w:cs="Times New Roman" w:eastAsia="Times New Roman" w:hAnsi="Times New Roman"/>
                  <w:sz w:val="18"/>
                  <w:szCs w:val="18"/>
                  <w:color w:val="0000FF"/>
                </w:rPr>
                <w:t>Tenth Supplemental Indenture, dated as of March 5, 2018, between Williams Partners L.P. and The Bank of New York Mellon Trust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Company, N.A., as trustee (filed on March 5, 2018, as Exhibit 4.1 to Williams Partners L.P.’s current report on Form 8-K (File No.</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284">
              <w:r>
                <w:rPr>
                  <w:rFonts w:ascii="Times New Roman" w:cs="Times New Roman" w:eastAsia="Times New Roman" w:hAnsi="Times New Roman"/>
                  <w:sz w:val="18"/>
                  <w:szCs w:val="18"/>
                  <w:color w:val="0000FF"/>
                  <w:w w:val="99"/>
                </w:rPr>
                <w:t>001-34831) and incorporated herein by reference).</w:t>
              </w:r>
            </w:hyperlink>
          </w:p>
        </w:tc>
        <w:tc>
          <w:tcPr>
            <w:tcW w:w="6080" w:type="dxa"/>
            <w:vAlign w:val="bottom"/>
            <w:tcBorders>
              <w:top w:val="single" w:sz="8" w:color="0000FF"/>
            </w:tcBorders>
            <w:gridSpan w:val="1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4.32</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5">
              <w:r>
                <w:rPr>
                  <w:rFonts w:ascii="Times New Roman" w:cs="Times New Roman" w:eastAsia="Times New Roman" w:hAnsi="Times New Roman"/>
                  <w:sz w:val="18"/>
                  <w:szCs w:val="18"/>
                  <w:color w:val="0000FF"/>
                </w:rPr>
                <w:t>Eleventh Supplemental Indenture, dated as of August 10, 2018, between The Williams Companies Inc. and The Bank of New York</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Mellon Trust Company, N.A. (filed on August 10, 2018, as Exhibit 4.1 to The Williams Companies, Inc.’s current report on Form 8-</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K (File No. 001-04174)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4.33</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6">
              <w:r>
                <w:rPr>
                  <w:rFonts w:ascii="Times New Roman" w:cs="Times New Roman" w:eastAsia="Times New Roman" w:hAnsi="Times New Roman"/>
                  <w:sz w:val="18"/>
                  <w:szCs w:val="18"/>
                  <w:color w:val="0000FF"/>
                </w:rPr>
                <w:t>Indenture, dated as of April 3, 2017, between Northwest Pipeline LLC and The Bank of New York Mellon Trust Company, N.A., as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trustee (filed on April 3, 2017, as Exhibit 4.1 to Northwest Pipeline’s current report on Form 8-K (File No. 001-07414) and</w:t>
              </w:r>
            </w:hyperlink>
          </w:p>
        </w:tc>
        <w:tc>
          <w:tcPr>
            <w:tcW w:w="40" w:type="dxa"/>
            <w:vAlign w:val="bottom"/>
            <w:tcBorders>
              <w:bottom w:val="single" w:sz="8" w:color="0000FF"/>
            </w:tcBorders>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gridSpan w:val="13"/>
          </w:tcPr>
          <w:p>
            <w:pPr>
              <w:spacing w:after="0" w:line="169"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incorporated herein by reference).</w:t>
              </w:r>
            </w:hyperlink>
          </w:p>
        </w:tc>
        <w:tc>
          <w:tcPr>
            <w:tcW w:w="1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360" w:type="dxa"/>
            <w:vAlign w:val="bottom"/>
            <w:gridSpan w:val="1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4.34</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7">
              <w:r>
                <w:rPr>
                  <w:rFonts w:ascii="Times New Roman" w:cs="Times New Roman" w:eastAsia="Times New Roman" w:hAnsi="Times New Roman"/>
                  <w:sz w:val="18"/>
                  <w:szCs w:val="18"/>
                  <w:color w:val="0000FF"/>
                </w:rPr>
                <w:t>Senior Indenture, dated as of July 15, 1996, between Transcontinental Gas Pipe Line Corporation and Citibank, N.A., as Trustee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(filed on April 2, 1996, as Exhibit 4.1 to Transcontinental Gas Pipe Line Corporation’s registration statement on Form S-3 (File No.</w:t>
              </w:r>
            </w:hyperlink>
          </w:p>
        </w:tc>
        <w:tc>
          <w:tcPr>
            <w:tcW w:w="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287">
        <w:r>
          <w:rPr>
            <w:rFonts w:ascii="Times New Roman" w:cs="Times New Roman" w:eastAsia="Times New Roman" w:hAnsi="Times New Roman"/>
            <w:sz w:val="18"/>
            <w:szCs w:val="18"/>
            <w:u w:val="single" w:color="auto"/>
            <w:color w:val="0000FF"/>
          </w:rPr>
          <w:t>333-02155)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0" w:type="dxa"/>
            <w:vAlign w:val="bottom"/>
            <w:gridSpan w:val="24"/>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5800" w:type="dxa"/>
            <w:vAlign w:val="bottom"/>
            <w:tcBorders>
              <w:bottom w:val="single" w:sz="8" w:color="auto"/>
            </w:tcBorders>
            <w:gridSpan w:val="2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4.35</w:t>
            </w:r>
          </w:p>
        </w:tc>
        <w:tc>
          <w:tcPr>
            <w:tcW w:w="1034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9">
              <w:r>
                <w:rPr>
                  <w:rFonts w:ascii="Times New Roman" w:cs="Times New Roman" w:eastAsia="Times New Roman" w:hAnsi="Times New Roman"/>
                  <w:sz w:val="18"/>
                  <w:szCs w:val="18"/>
                  <w:color w:val="0000FF"/>
                </w:rPr>
                <w:t>Indenture, dated as of August 12, 2011, between Transcontinental Gas Pipe Line Company, LLC and The Bank of New York Mellon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Trust Company, N.A., as trustee (filed on August 12, 2011, as Exhibit 4.1 to Transcontinental Gas Pipe Line Company, LLC’s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560" w:type="dxa"/>
            <w:vAlign w:val="bottom"/>
            <w:gridSpan w:val="16"/>
          </w:tcPr>
          <w:p>
            <w:pPr>
              <w:spacing w:after="0" w:line="169"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current report on Form 8-K (File No. 001-07584)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4.36</w:t>
            </w:r>
          </w:p>
        </w:tc>
        <w:tc>
          <w:tcPr>
            <w:tcW w:w="1034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0">
              <w:r>
                <w:rPr>
                  <w:rFonts w:ascii="Times New Roman" w:cs="Times New Roman" w:eastAsia="Times New Roman" w:hAnsi="Times New Roman"/>
                  <w:sz w:val="18"/>
                  <w:szCs w:val="18"/>
                  <w:color w:val="0000FF"/>
                </w:rPr>
                <w:t>Indenture, dated as of July 13, 2012, between Transcontinental Gas Pipe Line Company, LLC and The Bank of New York Mellon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Trust Company, N.A., as trustee (filed on July 16, 2012, as Exhibit 4.1 to Transcontinental Gas Pipe Line Company, LLC’s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4"/>
              </w:rPr>
            </w:pPr>
            <w:hyperlink r:id="rId290">
              <w:r>
                <w:rPr>
                  <w:rFonts w:ascii="Times New Roman" w:cs="Times New Roman" w:eastAsia="Times New Roman" w:hAnsi="Times New Roman"/>
                  <w:sz w:val="18"/>
                  <w:szCs w:val="18"/>
                  <w:color w:val="0000FF"/>
                  <w:w w:val="94"/>
                </w:rPr>
                <w:t>report on Form 8-K (File No. 001-07584) and incorporated</w:t>
              </w:r>
            </w:hyperlink>
          </w:p>
        </w:tc>
        <w:tc>
          <w:tcPr>
            <w:tcW w:w="1700" w:type="dxa"/>
            <w:vAlign w:val="bottom"/>
            <w:tcBorders>
              <w:bottom w:val="single" w:sz="8" w:color="0000FF"/>
            </w:tcBorders>
            <w:gridSpan w:val="3"/>
          </w:tcPr>
          <w:p>
            <w:pPr>
              <w:ind w:left="200"/>
              <w:spacing w:after="0" w:line="169" w:lineRule="exact"/>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herein by reference).</w:t>
              </w:r>
            </w:hyperlink>
          </w:p>
        </w:tc>
        <w:tc>
          <w:tcPr>
            <w:tcW w:w="394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4.37</w:t>
            </w:r>
          </w:p>
        </w:tc>
        <w:tc>
          <w:tcPr>
            <w:tcW w:w="1034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1">
              <w:r>
                <w:rPr>
                  <w:rFonts w:ascii="Times New Roman" w:cs="Times New Roman" w:eastAsia="Times New Roman" w:hAnsi="Times New Roman"/>
                  <w:sz w:val="18"/>
                  <w:szCs w:val="18"/>
                  <w:color w:val="0000FF"/>
                </w:rPr>
                <w:t>Indenture, dated as of March 15, 2018, between Transcontinental Gas Pipe Line Company, LLC and The Bank of New York Mellon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Trust Company, N.A., as trustee (filed on March 15, 2018, as Exhibit 4.1 to The Williams Companies, Inc.’s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8"/>
              </w:rPr>
            </w:pPr>
            <w:hyperlink r:id="rId291">
              <w:r>
                <w:rPr>
                  <w:rFonts w:ascii="Times New Roman" w:cs="Times New Roman" w:eastAsia="Times New Roman" w:hAnsi="Times New Roman"/>
                  <w:sz w:val="18"/>
                  <w:szCs w:val="18"/>
                  <w:color w:val="0000FF"/>
                  <w:w w:val="98"/>
                </w:rPr>
                <w:t>8-K (File No. 001-04174) and incorporated herein by reference).</w:t>
              </w:r>
            </w:hyperlink>
          </w:p>
        </w:tc>
        <w:tc>
          <w:tcPr>
            <w:tcW w:w="514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w:t>
            </w:r>
          </w:p>
        </w:tc>
        <w:tc>
          <w:tcPr>
            <w:tcW w:w="1034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2">
              <w:r>
                <w:rPr>
                  <w:rFonts w:ascii="Times New Roman" w:cs="Times New Roman" w:eastAsia="Times New Roman" w:hAnsi="Times New Roman"/>
                  <w:sz w:val="18"/>
                  <w:szCs w:val="18"/>
                  <w:color w:val="0000FF"/>
                </w:rPr>
                <w:t>Indenture, dated as of May 8, 2020, between Transcontinental Gas Pipe Line Company, LLC and The Bank of New York Mellon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Trust Company, N.A., as trustee (filed on May 8, 2020, as Exhibit 4.1 to The Williams Companies, Inc.’s current report on Form 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5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K (File No. 001-04174) and incorporated herein by reference).</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4.39</w:t>
            </w:r>
          </w:p>
        </w:tc>
        <w:tc>
          <w:tcPr>
            <w:tcW w:w="1034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3">
              <w:r>
                <w:rPr>
                  <w:rFonts w:ascii="Times New Roman" w:cs="Times New Roman" w:eastAsia="Times New Roman" w:hAnsi="Times New Roman"/>
                  <w:sz w:val="18"/>
                  <w:szCs w:val="18"/>
                  <w:u w:val="single" w:color="auto"/>
                  <w:color w:val="0000FF"/>
                </w:rPr>
                <w:t>Indenture,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dated as of November 20, 2025, between Transcontinental Gas Pipe Line Company, LLC and The Bank of New York</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Mellon Trust Company, N.A., as trustee (filed on November 20, 2025, as Exhibit 4.1 to The Williams Companies, Inc.’s current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74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8"/>
              </w:rPr>
            </w:pPr>
            <w:hyperlink r:id="rId293">
              <w:r>
                <w:rPr>
                  <w:rFonts w:ascii="Times New Roman" w:cs="Times New Roman" w:eastAsia="Times New Roman" w:hAnsi="Times New Roman"/>
                  <w:sz w:val="18"/>
                  <w:szCs w:val="18"/>
                  <w:color w:val="0000FF"/>
                  <w:w w:val="98"/>
                </w:rPr>
                <w:t>report on Form 8-K (File No. 001-04174) and incorporated herein by reference).</w:t>
              </w:r>
            </w:hyperlink>
          </w:p>
        </w:tc>
        <w:tc>
          <w:tcPr>
            <w:tcW w:w="3980" w:type="dxa"/>
            <w:vAlign w:val="bottom"/>
            <w:gridSpan w:val="15"/>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w:t>
            </w:r>
          </w:p>
        </w:tc>
        <w:tc>
          <w:tcPr>
            <w:tcW w:w="1034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4">
              <w:r>
                <w:rPr>
                  <w:rFonts w:ascii="Times New Roman" w:cs="Times New Roman" w:eastAsia="Times New Roman" w:hAnsi="Times New Roman"/>
                  <w:sz w:val="18"/>
                  <w:szCs w:val="18"/>
                  <w:color w:val="0000FF"/>
                </w:rPr>
                <w:t>Indenture, dated August 17, 1998, between Questar Pipeline Company and Wells Fargo Bank, N.A., as successor trustee (filed 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August 17, 1998, as Exhibit 4.01 to the Questar Pipeline Company’s Registration Statement on Form S-3 (File No. 333-61621) and</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700" w:type="dxa"/>
            <w:vAlign w:val="bottom"/>
            <w:gridSpan w:val="23"/>
          </w:tcPr>
          <w:p>
            <w:pPr>
              <w:spacing w:after="0" w:line="169"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incorporated herein by reference.</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4.41</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Officer’s Certificate (including the form of Questar Pipeline Company’s 4.875% Senior Notes due 2041) (filed on December 6,</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2011, as Exhibit 4.1 to the Questar Pipeline Company’s current report on Form 8-K (File No. 001-14147) and incorporated herein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0" w:type="dxa"/>
            <w:vAlign w:val="bottom"/>
            <w:gridSpan w:val="28"/>
          </w:tcPr>
          <w:p>
            <w:pPr>
              <w:spacing w:after="0" w:line="169"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reference)</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4.42</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Dominion Energy Questar Pipeline Note Purchase Agreement (filed on February 21, 2024, as Exhibit 4.39 to The Williams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Companies, Inc.’s annual report on Form 10-K (File No. 001-04174)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4.43</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680" w:type="dxa"/>
            <w:vAlign w:val="bottom"/>
            <w:tcBorders>
              <w:top w:val="single" w:sz="8" w:color="0000FF"/>
            </w:tcBorders>
            <w:gridSpan w:val="12"/>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Description of Securities</w:t>
              </w:r>
            </w:hyperlink>
            <w:r>
              <w:rPr>
                <w:rFonts w:ascii="Times New Roman" w:cs="Times New Roman" w:eastAsia="Times New Roman" w:hAnsi="Times New Roman"/>
                <w:sz w:val="18"/>
                <w:szCs w:val="18"/>
                <w:color w:val="000000"/>
              </w:rPr>
              <w:t>.</w:t>
            </w:r>
          </w:p>
        </w:tc>
        <w:tc>
          <w:tcPr>
            <w:tcW w:w="21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034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8">
              <w:r>
                <w:rPr>
                  <w:rFonts w:ascii="Times New Roman" w:cs="Times New Roman" w:eastAsia="Times New Roman" w:hAnsi="Times New Roman"/>
                  <w:sz w:val="18"/>
                  <w:szCs w:val="18"/>
                  <w:color w:val="0000FF"/>
                </w:rPr>
                <w:t>The Williams Companies Amended and Restated Retirement Restoration Plan amended effective as of January 1, 2024, (filed 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February 21, 2024, as Exhibit 10.1 to The Williams Companies, Inc.’s annual report on Form 10-K (File No. 001-04174)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incorporated herein by reference).</w:t>
              </w:r>
            </w:hyperlink>
          </w:p>
        </w:tc>
        <w:tc>
          <w:tcPr>
            <w:tcW w:w="18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40" w:type="dxa"/>
            <w:vAlign w:val="bottom"/>
            <w:gridSpan w:val="30"/>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Form of Director and Officer Indemnification Agreement (filed on September 24, 2008, as Exhibit 10.1 to The Williams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Companies, Inc.’s current report on Form 8-K (File No. 001-04174) and incorporated herein by reference).</w:t>
              </w:r>
            </w:hyperlink>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00" w:type="dxa"/>
            <w:vAlign w:val="bottom"/>
            <w:gridSpan w:val="9"/>
            <w:shd w:val="clear" w:color="auto" w:fill="0000FF"/>
          </w:tcPr>
          <w:p>
            <w:pPr>
              <w:spacing w:after="0" w:line="20" w:lineRule="exact"/>
              <w:rPr>
                <w:sz w:val="1"/>
                <w:szCs w:val="1"/>
                <w:color w:val="auto"/>
              </w:rPr>
            </w:pPr>
          </w:p>
        </w:tc>
        <w:tc>
          <w:tcPr>
            <w:tcW w:w="220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034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0">
              <w:r>
                <w:rPr>
                  <w:rFonts w:ascii="Times New Roman" w:cs="Times New Roman" w:eastAsia="Times New Roman" w:hAnsi="Times New Roman"/>
                  <w:sz w:val="18"/>
                  <w:szCs w:val="18"/>
                  <w:color w:val="0000FF"/>
                </w:rPr>
                <w:t>Form of 2013 Restricted Stock Unit Agreement among Williams and certain nonmanagement directors (filed on February 26, 2014,</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as Exhibit 10.11 to The Williams Companies, Inc.’s annual report on Form 10-K (File No. 001-04174) and incorporated herein by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0"/>
              </w:rPr>
            </w:pPr>
            <w:hyperlink r:id="rId300">
              <w:r>
                <w:rPr>
                  <w:rFonts w:ascii="Times New Roman" w:cs="Times New Roman" w:eastAsia="Times New Roman" w:hAnsi="Times New Roman"/>
                  <w:sz w:val="18"/>
                  <w:szCs w:val="18"/>
                  <w:color w:val="0000FF"/>
                  <w:w w:val="90"/>
                </w:rPr>
                <w:t>reference).</w:t>
              </w:r>
            </w:hyperlink>
          </w:p>
        </w:tc>
        <w:tc>
          <w:tcPr>
            <w:tcW w:w="9040" w:type="dxa"/>
            <w:vAlign w:val="bottom"/>
            <w:tcBorders>
              <w:top w:val="single" w:sz="8" w:color="0000FF"/>
            </w:tcBorders>
            <w:gridSpan w:val="24"/>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0340" w:type="dxa"/>
            <w:vAlign w:val="bottom"/>
            <w:gridSpan w:val="3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1">
              <w:r>
                <w:rPr>
                  <w:rFonts w:ascii="Times New Roman" w:cs="Times New Roman" w:eastAsia="Times New Roman" w:hAnsi="Times New Roman"/>
                  <w:sz w:val="18"/>
                  <w:szCs w:val="18"/>
                  <w:color w:val="0000FF"/>
                </w:rPr>
                <w:t>Form of 2014 Restricted Stock Unit Agreement among Williams and certain nonmanagement directors (filed on February 25, 2015,</w:t>
              </w:r>
            </w:hyperlink>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2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as Exhibit 10.12 to The Williams Companies, Inc.’s annual report on Form 10-K (File No. 001-04174) and incorporated herein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0"/>
              </w:rPr>
            </w:pPr>
            <w:hyperlink r:id="rId301">
              <w:r>
                <w:rPr>
                  <w:rFonts w:ascii="Times New Roman" w:cs="Times New Roman" w:eastAsia="Times New Roman" w:hAnsi="Times New Roman"/>
                  <w:sz w:val="18"/>
                  <w:szCs w:val="18"/>
                  <w:color w:val="0000FF"/>
                  <w:w w:val="90"/>
                </w:rPr>
                <w:t>reference).</w:t>
              </w:r>
            </w:hyperlink>
          </w:p>
        </w:tc>
        <w:tc>
          <w:tcPr>
            <w:tcW w:w="8900" w:type="dxa"/>
            <w:vAlign w:val="bottom"/>
            <w:tcBorders>
              <w:top w:val="single" w:sz="8" w:color="0000FF"/>
            </w:tcBorders>
            <w:gridSpan w:val="17"/>
          </w:tcPr>
          <w:p>
            <w:pPr>
              <w:spacing w:after="0"/>
              <w:rPr>
                <w:sz w:val="13"/>
                <w:szCs w:val="13"/>
                <w:color w:val="auto"/>
              </w:rPr>
            </w:pP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60" w:type="dxa"/>
            <w:vAlign w:val="bottom"/>
            <w:gridSpan w:val="19"/>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660" w:type="dxa"/>
            <w:vAlign w:val="bottom"/>
            <w:tcBorders>
              <w:bottom w:val="single" w:sz="8" w:color="auto"/>
            </w:tcBorders>
            <w:gridSpan w:val="1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3">
              <w:r>
                <w:rPr>
                  <w:rFonts w:ascii="Times New Roman" w:cs="Times New Roman" w:eastAsia="Times New Roman" w:hAnsi="Times New Roman"/>
                  <w:sz w:val="18"/>
                  <w:szCs w:val="18"/>
                  <w:color w:val="0000FF"/>
                </w:rPr>
                <w:t>Form of 2015 Nonqualified Stock Option Agreement among Williams and certain employees and officers (filed on February 25,</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2015, as Exhibit 10.17 to The Williams Companies, Inc.’s annual report on Form 10-K (File No. 001-04174) and incorporated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303">
              <w:r>
                <w:rPr>
                  <w:rFonts w:ascii="Times New Roman" w:cs="Times New Roman" w:eastAsia="Times New Roman" w:hAnsi="Times New Roman"/>
                  <w:sz w:val="18"/>
                  <w:szCs w:val="18"/>
                  <w:color w:val="0000FF"/>
                  <w:w w:val="99"/>
                </w:rPr>
                <w:t>herein by reference).</w:t>
              </w:r>
            </w:hyperlink>
          </w:p>
        </w:tc>
        <w:tc>
          <w:tcPr>
            <w:tcW w:w="82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24"/>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Form of 2016 Time-Based Restricted Stock Unit Agreement among Williams and certain non-management directors (filed on</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February 22, 2017, as Exhibit 10.21 to The Williams Companies, Inc.’s annual report on Form 10-K (File No. 001-04174)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4"/>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Form of 2016 Nonqualified Stock Option Agreement among Williams and certain employees and officers (filed on February 22,</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2017, as Exhibit 10.22 to The Williams Companies, Inc.’s annual report on Form 10-K (File No. 001-04174) and incorporated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herein by reference).</w:t>
              </w:r>
            </w:hyperlink>
          </w:p>
        </w:tc>
        <w:tc>
          <w:tcPr>
            <w:tcW w:w="82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24"/>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Form of 2017 Time-Based Restricted Stock Unit Agreement among Williams and certain non-management directors (filed 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February 22, 2017, as Exhibit 10.24 to The Williams Companies, Inc.’s annual report on Form 10-K (File No. 001-04174)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4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2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4"/>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Form of 2017 Nonqualified Stock Option Agreement among Williams and certain employees and officers (filed on February 22,</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2017, as Exhibit 10.25 to The Williams Companies, Inc.’s annual report on Form 10-K (File No. 001-04174) and incorporated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307">
              <w:r>
                <w:rPr>
                  <w:rFonts w:ascii="Times New Roman" w:cs="Times New Roman" w:eastAsia="Times New Roman" w:hAnsi="Times New Roman"/>
                  <w:sz w:val="18"/>
                  <w:szCs w:val="18"/>
                  <w:color w:val="0000FF"/>
                  <w:w w:val="99"/>
                </w:rPr>
                <w:t>herein by reference).</w:t>
              </w:r>
            </w:hyperlink>
          </w:p>
        </w:tc>
        <w:tc>
          <w:tcPr>
            <w:tcW w:w="82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8">
              <w:r>
                <w:rPr>
                  <w:rFonts w:ascii="Times New Roman" w:cs="Times New Roman" w:eastAsia="Times New Roman" w:hAnsi="Times New Roman"/>
                  <w:sz w:val="18"/>
                  <w:szCs w:val="18"/>
                  <w:color w:val="0000FF"/>
                </w:rPr>
                <w:t>Form of 2018 Nonqualified Stock Option Agreement among Williams and certain employees and officers (filed on May 3, 2018, as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Exhibit 10.5 to The Williams Companies, Inc.’s quarterly report on Form 10-Q (File No. 001-04174)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308">
              <w:r>
                <w:rPr>
                  <w:rFonts w:ascii="Times New Roman" w:cs="Times New Roman" w:eastAsia="Times New Roman" w:hAnsi="Times New Roman"/>
                  <w:sz w:val="18"/>
                  <w:szCs w:val="18"/>
                  <w:color w:val="0000FF"/>
                  <w:w w:val="98"/>
                </w:rPr>
                <w:t>reference).</w:t>
              </w:r>
            </w:hyperlink>
          </w:p>
        </w:tc>
        <w:tc>
          <w:tcPr>
            <w:tcW w:w="9100" w:type="dxa"/>
            <w:vAlign w:val="bottom"/>
            <w:gridSpan w:val="2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24"/>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Form of 2018 Time-Based Restricted Stock Unit Agreement among Williams and certain non-management directors (filed on</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August 2, 2018, as Exhibit 10.2 to The Williams Companies, Inc.’s quarterly report on Form 10-Q (File No. 001-04174) and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gridSpan w:val="22"/>
          </w:tcPr>
          <w:p>
            <w:pPr>
              <w:spacing w:after="0" w:line="169"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incorporated herein by reference).</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0">
              <w:r>
                <w:rPr>
                  <w:rFonts w:ascii="Times New Roman" w:cs="Times New Roman" w:eastAsia="Times New Roman" w:hAnsi="Times New Roman"/>
                  <w:sz w:val="18"/>
                  <w:szCs w:val="18"/>
                  <w:color w:val="0000FF"/>
                </w:rPr>
                <w:t>Form of 2019 Time-Based Restricted Stock Unit Agreement among Williams and certain non-management directors (filed on May</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2, 2019, as Exhibit 10.4 to The Williams Companies, Inc.’s quarterly report on Form 10-Q (File No. 001-04174) and incorporated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herein by reference).</w:t>
              </w:r>
            </w:hyperlink>
          </w:p>
        </w:tc>
        <w:tc>
          <w:tcPr>
            <w:tcW w:w="8300" w:type="dxa"/>
            <w:vAlign w:val="bottom"/>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1">
              <w:r>
                <w:rPr>
                  <w:rFonts w:ascii="Times New Roman" w:cs="Times New Roman" w:eastAsia="Times New Roman" w:hAnsi="Times New Roman"/>
                  <w:sz w:val="18"/>
                  <w:szCs w:val="18"/>
                  <w:color w:val="0000FF"/>
                </w:rPr>
                <w:t>Form of 2020 Time-Based Restricted Stock Unit Agreement among The Williams Companies, Inc. and certain non-management</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directors (filed on May 4, 2020, as Exhibit 10.4 to The Williams Companies, Inc.’s quarterly report on Form 10-Q (File No. 001-</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04174) and incorporated herein by reference).</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2">
              <w:r>
                <w:rPr>
                  <w:rFonts w:ascii="Times New Roman" w:cs="Times New Roman" w:eastAsia="Times New Roman" w:hAnsi="Times New Roman"/>
                  <w:sz w:val="18"/>
                  <w:szCs w:val="18"/>
                  <w:color w:val="0000FF"/>
                </w:rPr>
                <w:t>Form of Time-Based Restricted Stock Unit Agreement among The Williams Companies, Inc. and certain employees and officers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(filed on February 28, 2022, as Exhibit 10.31 to The Williams Companies, Inc.’s annual report on Form 10-K (File No.001-04174)</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and incorporated herein by reference).</w:t>
              </w:r>
            </w:hyperlink>
          </w:p>
        </w:tc>
        <w:tc>
          <w:tcPr>
            <w:tcW w:w="68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340" w:type="dxa"/>
            <w:vAlign w:val="bottom"/>
            <w:gridSpan w:val="26"/>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3">
              <w:r>
                <w:rPr>
                  <w:rFonts w:ascii="Times New Roman" w:cs="Times New Roman" w:eastAsia="Times New Roman" w:hAnsi="Times New Roman"/>
                  <w:sz w:val="18"/>
                  <w:szCs w:val="18"/>
                  <w:color w:val="0000FF"/>
                </w:rPr>
                <w:t>Form of Time-Based Restricted Stock Unit Agreement among The Williams Companies, Inc. and certain non-management directors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(filed on February 24, 2021, as Exhibit 10.29 to The Williams Companies, Inc.’s annual report on Form 10-K (File No. 001-04174)</w:t>
              </w:r>
            </w:hyperlink>
          </w:p>
        </w:tc>
        <w:tc>
          <w:tcPr>
            <w:tcW w:w="100" w:type="dxa"/>
            <w:vAlign w:val="bottom"/>
            <w:tcBorders>
              <w:bottom w:val="single" w:sz="8" w:color="0000FF"/>
            </w:tcBorders>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and incorporated herein by reference).</w:t>
              </w:r>
            </w:hyperlink>
          </w:p>
        </w:tc>
        <w:tc>
          <w:tcPr>
            <w:tcW w:w="7000" w:type="dxa"/>
            <w:vAlign w:val="bottom"/>
            <w:gridSpan w:val="13"/>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24"/>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Form of Performance-Based Restricted Stock Unit Agreement among The Williams Companies, Inc. and certain employees and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officers (filed on February 28, 2022, as Exhibit 10.33 to The Williams Companies, Inc.’s annual report on Form 10-K (File No.001-</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04174) and incorporated herein by reference.</w:t>
              </w:r>
            </w:hyperlink>
          </w:p>
        </w:tc>
        <w:tc>
          <w:tcPr>
            <w:tcW w:w="2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5"/>
            <w:shd w:val="clear" w:color="auto" w:fill="0000FF"/>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24"/>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of Two-Year Ratable Restricted Stock Unit Agreement among The Williams Companies, Inc. and certain employees and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officers (filed on May 3, 2023, as Exhibit 10.1 to The Williams Companies, Inc.’s quarterly report on Form 10-Q (File No. 001-</w:t>
              </w:r>
            </w:hyperlink>
          </w:p>
        </w:tc>
        <w:tc>
          <w:tcPr>
            <w:tcW w:w="40" w:type="dxa"/>
            <w:vAlign w:val="bottom"/>
            <w:tcBorders>
              <w:top w:val="single" w:sz="8" w:color="0000FF"/>
            </w:tcBorders>
            <w:gridSpan w:val="2"/>
          </w:tcPr>
          <w:p>
            <w:pPr>
              <w:spacing w:after="0"/>
              <w:rPr>
                <w:sz w:val="13"/>
                <w:szCs w:val="13"/>
                <w:color w:val="auto"/>
              </w:rPr>
            </w:pPr>
          </w:p>
        </w:tc>
        <w:tc>
          <w:tcPr>
            <w:tcW w:w="30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315">
        <w:r>
          <w:rPr>
            <w:rFonts w:ascii="Times New Roman" w:cs="Times New Roman" w:eastAsia="Times New Roman" w:hAnsi="Times New Roman"/>
            <w:sz w:val="18"/>
            <w:szCs w:val="18"/>
            <w:u w:val="single" w:color="auto"/>
            <w:color w:val="0000FF"/>
          </w:rPr>
          <w:t>04174)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0" w:type="dxa"/>
            <w:vAlign w:val="bottom"/>
            <w:gridSpan w:val="2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000" w:type="dxa"/>
            <w:vAlign w:val="bottom"/>
            <w:tcBorders>
              <w:bottom w:val="single" w:sz="8" w:color="auto"/>
            </w:tcBorders>
            <w:gridSpan w:val="2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900" w:type="dxa"/>
            <w:vAlign w:val="bottom"/>
            <w:gridSpan w:val="26"/>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Three-Year Ratable Restricted Stock Unit Agreement among The Williams Companies, Inc. and certain employees and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officers (filed on May 3, 2023, as Exhibit 10.2 to The Williams Companies, Inc.’s quarterly report on Form 10-Q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04174)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8">
              <w:r>
                <w:rPr>
                  <w:rFonts w:ascii="Times New Roman" w:cs="Times New Roman" w:eastAsia="Times New Roman" w:hAnsi="Times New Roman"/>
                  <w:sz w:val="18"/>
                  <w:szCs w:val="18"/>
                  <w:color w:val="0000FF"/>
                </w:rPr>
                <w:t>Form of 2024 Performance-Based Restricted Stock Unit Award between The Williams Companies, Inc. and certain employees and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officers (filed on May 6, 2024, as Exhibit 10.1 to The Williams Companies, Inc.’s quarterly report on Form 10-Q (File No. 001-</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gridSpan w:val="24"/>
          </w:tcPr>
          <w:p>
            <w:pPr>
              <w:spacing w:after="0" w:line="169"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04174)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19">
              <w:r>
                <w:rPr>
                  <w:rFonts w:ascii="Times New Roman" w:cs="Times New Roman" w:eastAsia="Times New Roman" w:hAnsi="Times New Roman"/>
                  <w:sz w:val="18"/>
                  <w:szCs w:val="18"/>
                  <w:color w:val="0000FF"/>
                </w:rPr>
                <w:t>Form A of Performance-Based Restricted Stock Unit Agreement between The Williams Companies, Inc. and certain employees and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officers for awards granted as of February 2025 or later (filed on May 5, 2025, as Exhibit 10.1 to The Williams Companies, Inc.’s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quarterly report on Form 10-Q (File No. 001-04174) and incorporated herein by reference.</w:t>
              </w:r>
            </w:hyperlink>
          </w:p>
        </w:tc>
        <w:tc>
          <w:tcPr>
            <w:tcW w:w="316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0">
              <w:r>
                <w:rPr>
                  <w:rFonts w:ascii="Times New Roman" w:cs="Times New Roman" w:eastAsia="Times New Roman" w:hAnsi="Times New Roman"/>
                  <w:sz w:val="18"/>
                  <w:szCs w:val="18"/>
                  <w:color w:val="0000FF"/>
                </w:rPr>
                <w:t>Form B of Performance-Based Restricted Stock Unit Agreement between The Williams Companies, Inc. and certain employees and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officers for awards granted as of February 2025 or later (filed on May 5, 2025, as Exhibit 10.2 to The Williams Companies, Inc.’s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quarterly report on Form 10-Q (File No. 001-04174) and incorporated herein by reference.</w:t>
              </w:r>
            </w:hyperlink>
          </w:p>
        </w:tc>
        <w:tc>
          <w:tcPr>
            <w:tcW w:w="320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1">
              <w:r>
                <w:rPr>
                  <w:rFonts w:ascii="Times New Roman" w:cs="Times New Roman" w:eastAsia="Times New Roman" w:hAnsi="Times New Roman"/>
                  <w:sz w:val="18"/>
                  <w:szCs w:val="18"/>
                  <w:color w:val="0000FF"/>
                </w:rPr>
                <w:t>Form of Restricted Stock Unit Award Agreement between The Williams Companies, Inc. and certain employees and officer for</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awards granted as of February 2025 or later (filed on May 5, 2025, as Exhibit 10.3 to The Williams Companies, Inc.’s quarterly</w:t>
              </w:r>
            </w:hyperlink>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26"/>
          </w:tcPr>
          <w:p>
            <w:pPr>
              <w:spacing w:after="0" w:line="169"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report on Form 10-Q (File No. 001-04174) and incorporated herein by reference.</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2">
              <w:r>
                <w:rPr>
                  <w:rFonts w:ascii="Times New Roman" w:cs="Times New Roman" w:eastAsia="Times New Roman" w:hAnsi="Times New Roman"/>
                  <w:sz w:val="18"/>
                  <w:szCs w:val="18"/>
                  <w:color w:val="0000FF"/>
                </w:rPr>
                <w:t>Form of Two-Year Ratable Restricted Stock Unit Agreement between The Williams Companies, Inc. and certain employees and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officers for awards granted as of February 2025 or later (filed on May 5, 2025, as Exhibit 10.4 to The Williams Companies, Inc.’s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quarterly report on Form 10-Q (File No. 001-04174) and incorporated herein by reference.</w:t>
              </w:r>
            </w:hyperlink>
          </w:p>
        </w:tc>
        <w:tc>
          <w:tcPr>
            <w:tcW w:w="3200" w:type="dxa"/>
            <w:vAlign w:val="bottom"/>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10.24§</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3">
              <w:r>
                <w:rPr>
                  <w:rFonts w:ascii="Times New Roman" w:cs="Times New Roman" w:eastAsia="Times New Roman" w:hAnsi="Times New Roman"/>
                  <w:sz w:val="18"/>
                  <w:szCs w:val="18"/>
                  <w:color w:val="0000FF"/>
                </w:rPr>
                <w:t>Form of Three-Year Ratable Restricted Stock Unit Agreement between The Williams Companies, Inc. and certain employees and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officers for award granted as of February 2025 or later (filed on May 5, 2025, as Exhibit 10.5 to The Williams Companies, Inc.’s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quarterly report on Form 10-Q (File No. 001-04174) and incorporated herein by reference.</w:t>
              </w:r>
            </w:hyperlink>
          </w:p>
        </w:tc>
        <w:tc>
          <w:tcPr>
            <w:tcW w:w="3060" w:type="dxa"/>
            <w:vAlign w:val="bottom"/>
            <w:tcBorders>
              <w:top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10.25§</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900" w:type="dxa"/>
            <w:vAlign w:val="bottom"/>
            <w:gridSpan w:val="26"/>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Retention Agreement dated July 14, 2025, between Williams WPC-I, LLC, and Robert Wingo (filed on November 3, 2025, as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Exhibit 10.1 to The Williams Companies, Inc.’s quarterly report on Form 10-Q (File No. 001-004174)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324">
              <w:r>
                <w:rPr>
                  <w:rFonts w:ascii="Times New Roman" w:cs="Times New Roman" w:eastAsia="Times New Roman" w:hAnsi="Times New Roman"/>
                  <w:sz w:val="18"/>
                  <w:szCs w:val="18"/>
                  <w:color w:val="0000FF"/>
                  <w:w w:val="97"/>
                </w:rPr>
                <w:t>reference.</w:t>
              </w:r>
            </w:hyperlink>
          </w:p>
        </w:tc>
        <w:tc>
          <w:tcPr>
            <w:tcW w:w="892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5">
              <w:r>
                <w:rPr>
                  <w:rFonts w:ascii="Times New Roman" w:cs="Times New Roman" w:eastAsia="Times New Roman" w:hAnsi="Times New Roman"/>
                  <w:sz w:val="18"/>
                  <w:szCs w:val="18"/>
                  <w:color w:val="0000FF"/>
                </w:rPr>
                <w:t>Change in Control and Restrictive Covenant Agreement between certain executive officers (Tier One Executives) and The Williams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Companies, Inc. (filed on February 24, 2020, as Exhibit 10.29 to The Williams Companies, Inc.’s annual report on Form 10-K (File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No. 001-04174) and incorporated herein by reference).</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5680" w:type="dxa"/>
            <w:vAlign w:val="bottom"/>
            <w:tcBorders>
              <w:left w:val="single" w:sz="8" w:color="0000FF"/>
            </w:tcBorders>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6">
              <w:r>
                <w:rPr>
                  <w:rFonts w:ascii="Times New Roman" w:cs="Times New Roman" w:eastAsia="Times New Roman" w:hAnsi="Times New Roman"/>
                  <w:sz w:val="18"/>
                  <w:szCs w:val="18"/>
                  <w:color w:val="0000FF"/>
                </w:rPr>
                <w:t>Change in Control and Restrictive Covenant Agreement between certain executive officers (Tier Two Executives) and The Williams</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Companies, Inc. (filed on February 24, 2020, as Exhibit 10.30 to The Williams Companies, Inc.’s annual report on Form 10-K (File</w:t>
              </w:r>
            </w:hyperlink>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No. 001-04174) and incorporated herein by reference)</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5800" w:type="dxa"/>
            <w:vAlign w:val="bottom"/>
            <w:gridSpan w:val="1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10.28§</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7">
              <w:r>
                <w:rPr>
                  <w:rFonts w:ascii="Times New Roman" w:cs="Times New Roman" w:eastAsia="Times New Roman" w:hAnsi="Times New Roman"/>
                  <w:sz w:val="18"/>
                  <w:szCs w:val="18"/>
                  <w:color w:val="0000FF"/>
                </w:rPr>
                <w:t>The Williams Companies, Inc. Executive Severance Pay Plan, as amended and restated, effective August 1, 2022 (filed October 31,</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2022, as Exhibit 10.1 to The Williams Companies, Inc.’s quarterly report on Form 10-Q (File No. 001-04174) and incorporated</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herein by reference).</w:t>
              </w:r>
            </w:hyperlink>
          </w:p>
        </w:tc>
        <w:tc>
          <w:tcPr>
            <w:tcW w:w="8220" w:type="dxa"/>
            <w:vAlign w:val="bottom"/>
            <w:tcBorders>
              <w:top w:val="single" w:sz="8" w:color="0000FF"/>
            </w:tcBorders>
            <w:gridSpan w:val="15"/>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10.29§</w:t>
            </w:r>
          </w:p>
        </w:tc>
        <w:tc>
          <w:tcPr>
            <w:tcW w:w="1034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28">
              <w:r>
                <w:rPr>
                  <w:rFonts w:ascii="Times New Roman" w:cs="Times New Roman" w:eastAsia="Times New Roman" w:hAnsi="Times New Roman"/>
                  <w:sz w:val="18"/>
                  <w:szCs w:val="18"/>
                  <w:color w:val="0000FF"/>
                </w:rPr>
                <w:t>The Williams Companies, Inc. 2007 Incentive Plan as amended and restated effective October 26, 2021 (filed on November 1, 2021,</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as Exhibit 10.9 to The Williams Companies, Inc.’s quarterly report on Form 10-Q (File No. 001-04174) and incorporated herein by</w:t>
              </w:r>
            </w:hyperlink>
          </w:p>
        </w:tc>
        <w:tc>
          <w:tcPr>
            <w:tcW w:w="60" w:type="dxa"/>
            <w:vAlign w:val="bottom"/>
            <w:tcBorders>
              <w:top w:val="single" w:sz="8" w:color="0000FF"/>
            </w:tcBorders>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bl>
    <w:p>
      <w:pPr>
        <w:ind w:left="1660"/>
        <w:spacing w:after="0"/>
        <w:rPr>
          <w:rFonts w:ascii="Times New Roman" w:cs="Times New Roman" w:eastAsia="Times New Roman" w:hAnsi="Times New Roman"/>
          <w:sz w:val="18"/>
          <w:szCs w:val="18"/>
          <w:u w:val="single" w:color="auto"/>
          <w:color w:val="0000FF"/>
        </w:rPr>
      </w:pPr>
      <w:hyperlink r:id="rId328">
        <w:r>
          <w:rPr>
            <w:rFonts w:ascii="Times New Roman" w:cs="Times New Roman" w:eastAsia="Times New Roman" w:hAnsi="Times New Roman"/>
            <w:sz w:val="18"/>
            <w:szCs w:val="18"/>
            <w:u w:val="single" w:color="auto"/>
            <w:color w:val="0000FF"/>
          </w:rPr>
          <w:t>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5400" w:type="dxa"/>
            <w:vAlign w:val="bottom"/>
            <w:tcBorders>
              <w:bottom w:val="single" w:sz="8" w:color="auto"/>
            </w:tcBorders>
            <w:gridSpan w:val="1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0180" w:type="dxa"/>
            <w:vAlign w:val="bottom"/>
            <w:gridSpan w:val="2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0">
              <w:r>
                <w:rPr>
                  <w:rFonts w:ascii="Times New Roman" w:cs="Times New Roman" w:eastAsia="Times New Roman" w:hAnsi="Times New Roman"/>
                  <w:sz w:val="18"/>
                  <w:szCs w:val="18"/>
                  <w:color w:val="0000FF"/>
                </w:rPr>
                <w:t>Amended and Restated Credit Agreement dated as of October 8, 2021, between The Williams Companies, Inc., Northwest Pipeline</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LLC, and Transcontinental Gas Pipe Line Company, LLC, as borrowers, the lenders named therein, and Wells Fargo Bank,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gridSpan w:val="17"/>
          </w:tcPr>
          <w:p>
            <w:pPr>
              <w:spacing w:after="0" w:line="169"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Association, as Administrative Agent (filed on October 8, 2021, as Exhibit 10.1 to The Williams Companies, Inc.’s current report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Form 8-K (File No. 001-04174) and incorporated herein by reference).</w:t>
              </w:r>
            </w:hyperlink>
          </w:p>
        </w:tc>
        <w:tc>
          <w:tcPr>
            <w:tcW w:w="45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0180" w:type="dxa"/>
            <w:vAlign w:val="bottom"/>
            <w:gridSpan w:val="2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1">
              <w:r>
                <w:rPr>
                  <w:rFonts w:ascii="Times New Roman" w:cs="Times New Roman" w:eastAsia="Times New Roman" w:hAnsi="Times New Roman"/>
                  <w:sz w:val="18"/>
                  <w:szCs w:val="18"/>
                  <w:color w:val="0000FF"/>
                </w:rPr>
                <w:t>Form of Commercial Paper Dealer Agreement, dated as of August 10, 2018, between The Williams Companies, Inc., as Issuer, and</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the Dealer party thereto (filed on August 10, 2018, as Exhibit 10.1 to The Williams Companies, Inc.’s current report on Form 8-K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(File No. 001-04174) and incorporated herein by reference).</w:t>
              </w:r>
            </w:hyperlink>
          </w:p>
        </w:tc>
        <w:tc>
          <w:tcPr>
            <w:tcW w:w="5240" w:type="dxa"/>
            <w:vAlign w:val="bottom"/>
            <w:tcBorders>
              <w:top w:val="single" w:sz="8" w:color="0000FF"/>
            </w:tcBorders>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0180" w:type="dxa"/>
            <w:vAlign w:val="bottom"/>
            <w:gridSpan w:val="2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2">
              <w:r>
                <w:rPr>
                  <w:rFonts w:ascii="Times New Roman" w:cs="Times New Roman" w:eastAsia="Times New Roman" w:hAnsi="Times New Roman"/>
                  <w:sz w:val="18"/>
                  <w:szCs w:val="18"/>
                  <w:color w:val="0000FF"/>
                </w:rPr>
                <w:t>Credit Agreement dated as of December 1, 2025, among Northwest Pipeline LLC, as borrower, the lenders named therein, and PNC</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Bank, National Association, as Administrative Agent (filed on December 1, 2025, as Exhibit 10.1 to The Williams Companies,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4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Inc.’s current report on Form 8-K (File No. 001-07414) and incorporated herein by</w:t>
              </w:r>
            </w:hyperlink>
          </w:p>
        </w:tc>
        <w:tc>
          <w:tcPr>
            <w:tcW w:w="35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19.1*</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Williams Policy on Securities Trading.</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Subsidiaries of the registrant.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23.1*</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Public Accounting Firm, Ernst &amp; Young LLP.</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3"/>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Chief Executive Officer pursuant to Rules 13a-l4(a) and 15d-14(a) promulgated under the Securities Exchange</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601(b)(3l) of Regulation S-K, as adopted pursuant to Section 302 of the Sarbanes-Oxley Act of</w:t>
            </w: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17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Chief Financial Officer pursuant to Rules 13a-14(a) and l5d-l4(a) promulgated under the Securities Exchange</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601(b)(31) of Regulation S-K, as adopted pursuant to Section 302 of the Sarbanes-Oxley Act of</w:t>
            </w: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17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6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Chief Executive Officer and the Chief Financial Officer pursuant to 18 U.S.C. Section 1350, as adopted pursuant</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0180" w:type="dxa"/>
            <w:vAlign w:val="bottom"/>
            <w:gridSpan w:val="22"/>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3">
              <w:r>
                <w:rPr>
                  <w:rFonts w:ascii="Times New Roman" w:cs="Times New Roman" w:eastAsia="Times New Roman" w:hAnsi="Times New Roman"/>
                  <w:sz w:val="18"/>
                  <w:szCs w:val="18"/>
                  <w:color w:val="0000FF"/>
                </w:rPr>
                <w:t>The Williams Companies, Inc. Financial Statement Compensation Recoupment Policy (filed on February 21, 2024, as Exhibit 97.1</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to The Williams Companies, Inc.’s current report on Form 10-K (File No. 001-04174) and incorporated herein by reference).</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980" w:type="dxa"/>
            <w:vAlign w:val="bottom"/>
            <w:gridSpan w:val="10"/>
            <w:shd w:val="clear" w:color="auto" w:fill="0000FF"/>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XBRL Taxonomy Extension Schema.</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XBRL Taxonomy Extension Calculation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XBRL Taxonomy Extension Definition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XBRL Taxonomy Extension Label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  XBRL Taxonomy Extension Presentation Linkbase.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960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9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The cover page interactive data file does not appear in the interactive data file because its XBRL</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tags are embedded within the inline XBRL document (contained in Exhibit 101).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60" w:hanging="281"/>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40"/>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3" w:lineRule="exact"/>
        <w:rPr>
          <w:sz w:val="20"/>
          <w:szCs w:val="20"/>
          <w:color w:val="auto"/>
        </w:rPr>
      </w:pPr>
    </w:p>
    <w:p>
      <w:pPr>
        <w:ind w:left="460" w:hanging="281"/>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5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Covered by report of independent auditors (PCAOB ID: 42):</w:t>
            </w: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500" w:type="dxa"/>
            <w:vAlign w:val="bottom"/>
            <w:gridSpan w:val="7"/>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6400" w:type="dxa"/>
            <w:vAlign w:val="bottom"/>
            <w:tcBorders>
              <w:bottom w:val="single" w:sz="8" w:color="0000FF"/>
            </w:tcBorders>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Statement of net income for each year in the three-year period ended December 31, 2025</w:t>
            </w:r>
          </w:p>
        </w:tc>
        <w:tc>
          <w:tcPr>
            <w:tcW w:w="1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gridSpan w:val="4"/>
          </w:tcPr>
          <w:p>
            <w:pPr>
              <w:ind w:left="220"/>
              <w:spacing w:after="0" w:line="202" w:lineRule="exact"/>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Balance sheet at December 31, 2025 and 2024</w:t>
            </w:r>
          </w:p>
        </w:tc>
        <w:tc>
          <w:tcPr>
            <w:tcW w:w="3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3340" w:type="dxa"/>
            <w:vAlign w:val="bottom"/>
            <w:tcBorders>
              <w:bottom w:val="single" w:sz="8" w:color="0000FF"/>
            </w:tcBorders>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Statement of changes in member’s equity for each year in the three-year period ended December 31, 2025</w:t>
            </w: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7640" w:type="dxa"/>
            <w:vAlign w:val="bottom"/>
            <w:tcBorders>
              <w:bottom w:val="single" w:sz="8" w:color="0000FF"/>
            </w:tcBorders>
            <w:gridSpan w:val="5"/>
            <w:vMerge w:val="continue"/>
          </w:tcPr>
          <w:p>
            <w:pPr>
              <w:spacing w:after="0"/>
              <w:rPr>
                <w:sz w:val="18"/>
                <w:szCs w:val="18"/>
                <w:color w:val="auto"/>
              </w:rPr>
            </w:pPr>
          </w:p>
        </w:tc>
        <w:tc>
          <w:tcPr>
            <w:tcW w:w="2540" w:type="dxa"/>
            <w:vAlign w:val="bottom"/>
          </w:tcPr>
          <w:p>
            <w:pPr>
              <w:spacing w:after="0"/>
              <w:rPr>
                <w:sz w:val="18"/>
                <w:szCs w:val="18"/>
                <w:color w:val="auto"/>
              </w:rPr>
            </w:pPr>
          </w:p>
        </w:tc>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Statement of cash flows for each year in the three-year period ended December 31, 2025</w:t>
            </w:r>
          </w:p>
        </w:tc>
        <w:tc>
          <w:tcPr>
            <w:tcW w:w="3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6380" w:type="dxa"/>
            <w:vAlign w:val="bottom"/>
            <w:tcBorders>
              <w:bottom w:val="single" w:sz="8" w:color="0000FF"/>
            </w:tcBorders>
            <w:gridSpan w:val="3"/>
            <w:vMerge w:val="continue"/>
          </w:tcPr>
          <w:p>
            <w:pPr>
              <w:spacing w:after="0"/>
              <w:rPr>
                <w:sz w:val="18"/>
                <w:szCs w:val="18"/>
                <w:color w:val="auto"/>
              </w:rPr>
            </w:pPr>
          </w:p>
        </w:tc>
        <w:tc>
          <w:tcPr>
            <w:tcW w:w="3800" w:type="dxa"/>
            <w:vAlign w:val="bottom"/>
            <w:gridSpan w:val="3"/>
          </w:tcPr>
          <w:p>
            <w:pPr>
              <w:spacing w:after="0"/>
              <w:rPr>
                <w:sz w:val="18"/>
                <w:szCs w:val="18"/>
                <w:color w:val="auto"/>
              </w:rPr>
            </w:pPr>
          </w:p>
        </w:tc>
        <w:tc>
          <w:tcPr>
            <w:tcW w:w="7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Combined Notes to Financial Statements</w:t>
            </w:r>
          </w:p>
        </w:tc>
        <w:tc>
          <w:tcPr>
            <w:tcW w:w="72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2960" w:type="dxa"/>
            <w:vAlign w:val="bottom"/>
            <w:tcBorders>
              <w:bottom w:val="single" w:sz="8" w:color="0000FF"/>
            </w:tcBorders>
            <w:vMerge w:val="continue"/>
          </w:tcPr>
          <w:p>
            <w:pPr>
              <w:spacing w:after="0"/>
              <w:rPr>
                <w:sz w:val="18"/>
                <w:szCs w:val="18"/>
                <w:color w:val="auto"/>
              </w:rPr>
            </w:pPr>
          </w:p>
        </w:tc>
        <w:tc>
          <w:tcPr>
            <w:tcW w:w="7220" w:type="dxa"/>
            <w:vAlign w:val="bottom"/>
            <w:gridSpan w:val="5"/>
          </w:tcPr>
          <w:p>
            <w:pPr>
              <w:spacing w:after="0"/>
              <w:rPr>
                <w:sz w:val="18"/>
                <w:szCs w:val="18"/>
                <w:color w:val="auto"/>
              </w:rPr>
            </w:pPr>
          </w:p>
        </w:tc>
        <w:tc>
          <w:tcPr>
            <w:tcW w:w="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w w:val="96"/>
              </w:rPr>
              <w:t>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is not present in amounts sufficient to require submission of the schedule, or because the information required is included in the financial statements and notes thereto.</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3 and (b). The exhibits listed below are filed as part of this annual report.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4"/>
        </w:trPr>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00" w:type="dxa"/>
            <w:vAlign w:val="bottom"/>
            <w:vMerge w:val="restart"/>
          </w:tcPr>
          <w:p>
            <w:pPr>
              <w:ind w:left="4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9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660" w:right="20" w:hanging="1089"/>
        <w:spacing w:after="0" w:line="237" w:lineRule="auto"/>
        <w:tabs>
          <w:tab w:leader="none" w:pos="1343" w:val="left"/>
        </w:tabs>
        <w:numPr>
          <w:ilvl w:val="0"/>
          <w:numId w:val="9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 </w:t>
      </w:r>
      <w:hyperlink r:id="rId336">
        <w:r>
          <w:rPr>
            <w:rFonts w:ascii="Times New Roman" w:cs="Times New Roman" w:eastAsia="Times New Roman" w:hAnsi="Times New Roman"/>
            <w:sz w:val="18"/>
            <w:szCs w:val="18"/>
            <w:u w:val="single" w:color="auto"/>
            <w:color w:val="0000FF"/>
          </w:rPr>
          <w:t>Certificate of Conversion dated December 22, 2008 and effective December 31, 2008 (filed on February 24, 2011, as Exhibit 2.1 to</w:t>
        </w:r>
      </w:hyperlink>
      <w:r>
        <w:rPr>
          <w:rFonts w:ascii="Times New Roman" w:cs="Times New Roman" w:eastAsia="Times New Roman" w:hAnsi="Times New Roman"/>
          <w:sz w:val="18"/>
          <w:szCs w:val="18"/>
          <w:color w:val="auto"/>
        </w:rPr>
        <w:t xml:space="preserve"> </w:t>
      </w:r>
      <w:hyperlink r:id="rId336">
        <w:r>
          <w:rPr>
            <w:rFonts w:ascii="Times New Roman" w:cs="Times New Roman" w:eastAsia="Times New Roman" w:hAnsi="Times New Roman"/>
            <w:sz w:val="18"/>
            <w:szCs w:val="18"/>
            <w:u w:val="single" w:color="auto"/>
            <w:color w:val="0000FF"/>
          </w:rPr>
          <w:t>our annual report on Form 10-K (File No. 001-07584) and incorporated herein by reference).</w:t>
        </w:r>
      </w:hyperlink>
    </w:p>
    <w:p>
      <w:pPr>
        <w:spacing w:after="0" w:line="93" w:lineRule="exact"/>
        <w:rPr>
          <w:rFonts w:ascii="Times New Roman" w:cs="Times New Roman" w:eastAsia="Times New Roman" w:hAnsi="Times New Roman"/>
          <w:sz w:val="18"/>
          <w:szCs w:val="18"/>
          <w:color w:val="auto"/>
        </w:rPr>
      </w:pPr>
    </w:p>
    <w:p>
      <w:pPr>
        <w:ind w:left="500"/>
        <w:spacing w:after="0"/>
        <w:tabs>
          <w:tab w:leader="none" w:pos="132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  </w:t>
      </w:r>
      <w:hyperlink r:id="rId337">
        <w:r>
          <w:rPr>
            <w:rFonts w:ascii="Times New Roman" w:cs="Times New Roman" w:eastAsia="Times New Roman" w:hAnsi="Times New Roman"/>
            <w:sz w:val="18"/>
            <w:szCs w:val="18"/>
            <w:u w:val="single" w:color="auto"/>
            <w:color w:val="0000FF"/>
          </w:rPr>
          <w:t>Certificate of Formation executed as of December 22, 2008 and effective December 31, 2008 (filed on February 24, 2011, as Exhibit</w:t>
        </w:r>
      </w:hyperlink>
    </w:p>
    <w:p>
      <w:pPr>
        <w:ind w:left="1660"/>
        <w:spacing w:after="0"/>
        <w:rPr>
          <w:rFonts w:ascii="Times New Roman" w:cs="Times New Roman" w:eastAsia="Times New Roman" w:hAnsi="Times New Roman"/>
          <w:sz w:val="18"/>
          <w:szCs w:val="18"/>
          <w:u w:val="single" w:color="auto"/>
          <w:color w:val="0000FF"/>
        </w:rPr>
      </w:pPr>
      <w:hyperlink r:id="rId337">
        <w:r>
          <w:rPr>
            <w:rFonts w:ascii="Times New Roman" w:cs="Times New Roman" w:eastAsia="Times New Roman" w:hAnsi="Times New Roman"/>
            <w:sz w:val="18"/>
            <w:szCs w:val="18"/>
            <w:u w:val="single" w:color="auto"/>
            <w:color w:val="0000FF"/>
          </w:rPr>
          <w:t>3.1 to our annual report on Form 10-K (File No. 001-07584) and incorporated herein by reference).</w:t>
        </w:r>
      </w:hyperlink>
    </w:p>
    <w:p>
      <w:pPr>
        <w:spacing w:after="0" w:line="111" w:lineRule="exact"/>
        <w:rPr>
          <w:rFonts w:ascii="Times New Roman" w:cs="Times New Roman" w:eastAsia="Times New Roman" w:hAnsi="Times New Roman"/>
          <w:sz w:val="18"/>
          <w:szCs w:val="18"/>
          <w:color w:val="auto"/>
        </w:rPr>
      </w:pPr>
    </w:p>
    <w:p>
      <w:pPr>
        <w:ind w:left="1340" w:right="20" w:hanging="1155"/>
        <w:spacing w:after="0" w:line="237"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 xml:space="preserve">— </w:t>
      </w:r>
      <w:hyperlink r:id="rId338">
        <w:r>
          <w:rPr>
            <w:rFonts w:ascii="Times New Roman" w:cs="Times New Roman" w:eastAsia="Times New Roman" w:hAnsi="Times New Roman"/>
            <w:sz w:val="18"/>
            <w:szCs w:val="18"/>
            <w:u w:val="single" w:color="auto"/>
            <w:color w:val="0000FF"/>
          </w:rPr>
          <w:t>Amended and Restated Operating Agreement of Transcontinental Gas Pipe Line Company, LLC dated February 17, 2010 (filed on</w:t>
        </w:r>
      </w:hyperlink>
      <w:r>
        <w:rPr>
          <w:rFonts w:ascii="Times New Roman" w:cs="Times New Roman" w:eastAsia="Times New Roman" w:hAnsi="Times New Roman"/>
          <w:sz w:val="18"/>
          <w:szCs w:val="18"/>
          <w:color w:val="auto"/>
        </w:rPr>
        <w:t xml:space="preserve"> </w:t>
      </w:r>
      <w:hyperlink r:id="rId338">
        <w:r>
          <w:rPr>
            <w:rFonts w:ascii="Times New Roman" w:cs="Times New Roman" w:eastAsia="Times New Roman" w:hAnsi="Times New Roman"/>
            <w:sz w:val="18"/>
            <w:szCs w:val="18"/>
            <w:u w:val="single" w:color="auto"/>
            <w:color w:val="0000FF"/>
          </w:rPr>
          <w:t>October 28, 2010, as Exhibit 3.2 to our quarterly report on Form 10-Q (File No. 001-07584) and incorporated herein by reference).</w:t>
        </w:r>
      </w:hyperlink>
    </w:p>
    <w:p>
      <w:pPr>
        <w:spacing w:after="0" w:line="104" w:lineRule="exact"/>
        <w:rPr>
          <w:sz w:val="20"/>
          <w:szCs w:val="20"/>
          <w:color w:val="auto"/>
        </w:rPr>
      </w:pPr>
    </w:p>
    <w:p>
      <w:pPr>
        <w:jc w:val="both"/>
        <w:ind w:left="1340" w:right="20" w:hanging="1200"/>
        <w:spacing w:after="0" w:line="237"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4.44</w:t>
      </w:r>
      <w:r>
        <w:rPr>
          <w:sz w:val="20"/>
          <w:szCs w:val="20"/>
          <w:color w:val="auto"/>
        </w:rPr>
        <w:tab/>
      </w:r>
      <w:r>
        <w:rPr>
          <w:rFonts w:ascii="Times New Roman" w:cs="Times New Roman" w:eastAsia="Times New Roman" w:hAnsi="Times New Roman"/>
          <w:sz w:val="18"/>
          <w:szCs w:val="18"/>
          <w:color w:val="auto"/>
        </w:rPr>
        <w:t xml:space="preserve">— </w:t>
      </w:r>
      <w:hyperlink r:id="rId287">
        <w:r>
          <w:rPr>
            <w:rFonts w:ascii="Times New Roman" w:cs="Times New Roman" w:eastAsia="Times New Roman" w:hAnsi="Times New Roman"/>
            <w:sz w:val="18"/>
            <w:szCs w:val="18"/>
            <w:u w:val="single" w:color="auto"/>
            <w:color w:val="0000FF"/>
          </w:rPr>
          <w:t>Senior Indenture dated July 15, 1996, between Transcontinental Gas Pipe Line Corporation and Citibank, N.A., as Trustee (filed on</w:t>
        </w:r>
      </w:hyperlink>
      <w:r>
        <w:rPr>
          <w:rFonts w:ascii="Times New Roman" w:cs="Times New Roman" w:eastAsia="Times New Roman" w:hAnsi="Times New Roman"/>
          <w:sz w:val="18"/>
          <w:szCs w:val="18"/>
          <w:color w:val="auto"/>
        </w:rPr>
        <w:t xml:space="preserve"> </w:t>
      </w:r>
      <w:hyperlink r:id="rId287">
        <w:r>
          <w:rPr>
            <w:rFonts w:ascii="Times New Roman" w:cs="Times New Roman" w:eastAsia="Times New Roman" w:hAnsi="Times New Roman"/>
            <w:sz w:val="18"/>
            <w:szCs w:val="18"/>
            <w:u w:val="single" w:color="auto"/>
            <w:color w:val="0000FF"/>
          </w:rPr>
          <w:t>April 2, 1996, as Exhibit 4.1 to our registration statement Form S-3 (File No. 333-02155) and incorporated herein by reference).</w:t>
        </w:r>
      </w:hyperlink>
    </w:p>
    <w:p>
      <w:pPr>
        <w:spacing w:after="0" w:line="104" w:lineRule="exact"/>
        <w:rPr>
          <w:sz w:val="20"/>
          <w:szCs w:val="20"/>
          <w:color w:val="auto"/>
        </w:rPr>
      </w:pPr>
    </w:p>
    <w:p>
      <w:pPr>
        <w:jc w:val="both"/>
        <w:ind w:left="1340" w:right="20" w:hanging="1200"/>
        <w:spacing w:after="0" w:line="22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4.45</w:t>
      </w:r>
      <w:r>
        <w:rPr>
          <w:sz w:val="20"/>
          <w:szCs w:val="20"/>
          <w:color w:val="auto"/>
        </w:rPr>
        <w:tab/>
      </w:r>
      <w:r>
        <w:rPr>
          <w:rFonts w:ascii="Times New Roman" w:cs="Times New Roman" w:eastAsia="Times New Roman" w:hAnsi="Times New Roman"/>
          <w:sz w:val="18"/>
          <w:szCs w:val="18"/>
          <w:color w:val="auto"/>
        </w:rPr>
        <w:t xml:space="preserve">— </w:t>
      </w:r>
      <w:hyperlink r:id="rId289">
        <w:r>
          <w:rPr>
            <w:rFonts w:ascii="Times New Roman" w:cs="Times New Roman" w:eastAsia="Times New Roman" w:hAnsi="Times New Roman"/>
            <w:sz w:val="18"/>
            <w:szCs w:val="18"/>
            <w:u w:val="single" w:color="auto"/>
            <w:color w:val="0000FF"/>
          </w:rPr>
          <w:t>Indenture, dated as of August 12, 2011, between Transcontinental Gas Pipe Line Company, LLC and The Bank of New York Mellon</w:t>
        </w:r>
      </w:hyperlink>
      <w:r>
        <w:rPr>
          <w:rFonts w:ascii="Times New Roman" w:cs="Times New Roman" w:eastAsia="Times New Roman" w:hAnsi="Times New Roman"/>
          <w:sz w:val="18"/>
          <w:szCs w:val="18"/>
          <w:color w:val="auto"/>
        </w:rPr>
        <w:t xml:space="preserve"> </w:t>
      </w:r>
      <w:hyperlink r:id="rId289">
        <w:r>
          <w:rPr>
            <w:rFonts w:ascii="Times New Roman" w:cs="Times New Roman" w:eastAsia="Times New Roman" w:hAnsi="Times New Roman"/>
            <w:sz w:val="18"/>
            <w:szCs w:val="18"/>
            <w:u w:val="single" w:color="auto"/>
            <w:color w:val="0000FF"/>
          </w:rPr>
          <w:t>Trust Company, N.A., as Trustee (filed on August 12, 2011, as Exhibit 4.1 to our current report on Form 8-K (File No. 001-07584)</w:t>
        </w:r>
      </w:hyperlink>
      <w:r>
        <w:rPr>
          <w:rFonts w:ascii="Times New Roman" w:cs="Times New Roman" w:eastAsia="Times New Roman" w:hAnsi="Times New Roman"/>
          <w:sz w:val="18"/>
          <w:szCs w:val="18"/>
          <w:u w:val="single" w:color="auto"/>
          <w:color w:val="0000FF"/>
        </w:rPr>
        <w:t xml:space="preserve"> </w:t>
      </w:r>
      <w:hyperlink r:id="rId289">
        <w:r>
          <w:rPr>
            <w:rFonts w:ascii="Times New Roman" w:cs="Times New Roman" w:eastAsia="Times New Roman" w:hAnsi="Times New Roman"/>
            <w:sz w:val="18"/>
            <w:szCs w:val="18"/>
            <w:u w:val="single" w:color="auto"/>
            <w:color w:val="0000FF"/>
          </w:rPr>
          <w:t>and incorporated herein by reference).</w:t>
        </w:r>
      </w:hyperlink>
    </w:p>
    <w:p>
      <w:pPr>
        <w:spacing w:after="0" w:line="104" w:lineRule="exact"/>
        <w:rPr>
          <w:rFonts w:ascii="Times New Roman" w:cs="Times New Roman" w:eastAsia="Times New Roman" w:hAnsi="Times New Roman"/>
          <w:sz w:val="18"/>
          <w:szCs w:val="18"/>
          <w:color w:val="auto"/>
        </w:rPr>
      </w:pPr>
    </w:p>
    <w:p>
      <w:pPr>
        <w:jc w:val="both"/>
        <w:ind w:left="1340" w:right="20" w:hanging="1200"/>
        <w:spacing w:after="0" w:line="22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4.46</w:t>
      </w:r>
      <w:r>
        <w:rPr>
          <w:sz w:val="20"/>
          <w:szCs w:val="20"/>
          <w:color w:val="auto"/>
        </w:rPr>
        <w:tab/>
      </w:r>
      <w:r>
        <w:rPr>
          <w:rFonts w:ascii="Times New Roman" w:cs="Times New Roman" w:eastAsia="Times New Roman" w:hAnsi="Times New Roman"/>
          <w:sz w:val="18"/>
          <w:szCs w:val="18"/>
          <w:color w:val="auto"/>
        </w:rPr>
        <w:t xml:space="preserve">— </w:t>
      </w:r>
      <w:hyperlink r:id="rId290">
        <w:r>
          <w:rPr>
            <w:rFonts w:ascii="Times New Roman" w:cs="Times New Roman" w:eastAsia="Times New Roman" w:hAnsi="Times New Roman"/>
            <w:sz w:val="18"/>
            <w:szCs w:val="18"/>
            <w:u w:val="single" w:color="auto"/>
            <w:color w:val="0000FF"/>
          </w:rPr>
          <w:t>Indenture, dated as of July 13, 2012, between Transcontinental Gas Pipe Line Company, LLC and The Bank of New York Mellon</w:t>
        </w:r>
      </w:hyperlink>
      <w:r>
        <w:rPr>
          <w:rFonts w:ascii="Times New Roman" w:cs="Times New Roman" w:eastAsia="Times New Roman" w:hAnsi="Times New Roman"/>
          <w:sz w:val="18"/>
          <w:szCs w:val="18"/>
          <w:color w:val="auto"/>
        </w:rPr>
        <w:t xml:space="preserve"> </w:t>
      </w:r>
      <w:hyperlink r:id="rId290">
        <w:r>
          <w:rPr>
            <w:rFonts w:ascii="Times New Roman" w:cs="Times New Roman" w:eastAsia="Times New Roman" w:hAnsi="Times New Roman"/>
            <w:sz w:val="18"/>
            <w:szCs w:val="18"/>
            <w:u w:val="single" w:color="auto"/>
            <w:color w:val="0000FF"/>
          </w:rPr>
          <w:t>Trust Company, N.A., as Trustee (filed on July 16, 2012, as Exhibit 4.1 to our current report Form 8-K (File No. 001-07584) and</w:t>
        </w:r>
      </w:hyperlink>
      <w:r>
        <w:rPr>
          <w:rFonts w:ascii="Times New Roman" w:cs="Times New Roman" w:eastAsia="Times New Roman" w:hAnsi="Times New Roman"/>
          <w:sz w:val="18"/>
          <w:szCs w:val="18"/>
          <w:u w:val="single" w:color="auto"/>
          <w:color w:val="0000FF"/>
        </w:rPr>
        <w:t xml:space="preserve"> </w:t>
      </w:r>
      <w:hyperlink r:id="rId290">
        <w:r>
          <w:rPr>
            <w:rFonts w:ascii="Times New Roman" w:cs="Times New Roman" w:eastAsia="Times New Roman" w:hAnsi="Times New Roman"/>
            <w:sz w:val="18"/>
            <w:szCs w:val="18"/>
            <w:u w:val="single" w:color="auto"/>
            <w:color w:val="0000FF"/>
          </w:rPr>
          <w:t>incorporated herein by reference).</w:t>
        </w:r>
      </w:hyperlink>
    </w:p>
    <w:p>
      <w:pPr>
        <w:spacing w:after="0" w:line="104" w:lineRule="exact"/>
        <w:rPr>
          <w:rFonts w:ascii="Times New Roman" w:cs="Times New Roman" w:eastAsia="Times New Roman" w:hAnsi="Times New Roman"/>
          <w:sz w:val="18"/>
          <w:szCs w:val="18"/>
          <w:color w:val="auto"/>
        </w:rPr>
      </w:pPr>
    </w:p>
    <w:p>
      <w:pPr>
        <w:jc w:val="both"/>
        <w:ind w:left="1340" w:right="20" w:hanging="1200"/>
        <w:spacing w:after="0" w:line="22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4.47</w:t>
      </w:r>
      <w:r>
        <w:rPr>
          <w:sz w:val="20"/>
          <w:szCs w:val="20"/>
          <w:color w:val="auto"/>
        </w:rPr>
        <w:tab/>
      </w:r>
      <w:r>
        <w:rPr>
          <w:rFonts w:ascii="Times New Roman" w:cs="Times New Roman" w:eastAsia="Times New Roman" w:hAnsi="Times New Roman"/>
          <w:sz w:val="18"/>
          <w:szCs w:val="18"/>
          <w:color w:val="auto"/>
        </w:rPr>
        <w:t xml:space="preserve">— </w:t>
      </w:r>
      <w:hyperlink r:id="rId291">
        <w:r>
          <w:rPr>
            <w:rFonts w:ascii="Times New Roman" w:cs="Times New Roman" w:eastAsia="Times New Roman" w:hAnsi="Times New Roman"/>
            <w:sz w:val="18"/>
            <w:szCs w:val="18"/>
            <w:u w:val="single" w:color="auto"/>
            <w:color w:val="0000FF"/>
          </w:rPr>
          <w:t>Indenture, dated as of March 15, 2018, between Transcontinental Gas Pipe Line Company, LLC and The Bank of New York Mellon</w:t>
        </w:r>
      </w:hyperlink>
      <w:r>
        <w:rPr>
          <w:rFonts w:ascii="Times New Roman" w:cs="Times New Roman" w:eastAsia="Times New Roman" w:hAnsi="Times New Roman"/>
          <w:sz w:val="18"/>
          <w:szCs w:val="18"/>
          <w:color w:val="auto"/>
        </w:rPr>
        <w:t xml:space="preserve"> </w:t>
      </w:r>
      <w:hyperlink r:id="rId291">
        <w:r>
          <w:rPr>
            <w:rFonts w:ascii="Times New Roman" w:cs="Times New Roman" w:eastAsia="Times New Roman" w:hAnsi="Times New Roman"/>
            <w:sz w:val="18"/>
            <w:szCs w:val="18"/>
            <w:u w:val="single" w:color="auto"/>
            <w:color w:val="0000FF"/>
          </w:rPr>
          <w:t>Trust Company, N.A., as trustee (filed on March 15, 2018,</w:t>
        </w:r>
        <w:r>
          <w:rPr>
            <w:rFonts w:ascii="Times New Roman" w:cs="Times New Roman" w:eastAsia="Times New Roman" w:hAnsi="Times New Roman"/>
            <w:sz w:val="18"/>
            <w:szCs w:val="18"/>
            <w:color w:val="0000FF"/>
          </w:rPr>
          <w:t xml:space="preserve"> as Exhibit 4.1 to our current report on Form 8-K (File No. 001-07584)</w:t>
        </w:r>
      </w:hyperlink>
      <w:r>
        <w:rPr>
          <w:rFonts w:ascii="Times New Roman" w:cs="Times New Roman" w:eastAsia="Times New Roman" w:hAnsi="Times New Roman"/>
          <w:sz w:val="18"/>
          <w:szCs w:val="18"/>
          <w:color w:val="0000FF"/>
        </w:rPr>
        <w:t xml:space="preserve"> </w:t>
      </w:r>
      <w:hyperlink r:id="rId291">
        <w:r>
          <w:rPr>
            <w:rFonts w:ascii="Times New Roman" w:cs="Times New Roman" w:eastAsia="Times New Roman" w:hAnsi="Times New Roman"/>
            <w:sz w:val="18"/>
            <w:szCs w:val="18"/>
            <w:u w:val="single" w:color="auto"/>
            <w:color w:val="0000FF"/>
          </w:rPr>
          <w:t>and incorporated herein by reference).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3783330</wp:posOffset>
            </wp:positionH>
            <wp:positionV relativeFrom="paragraph">
              <wp:posOffset>-135890</wp:posOffset>
            </wp:positionV>
            <wp:extent cx="333438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9">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84" w:lineRule="exact"/>
        <w:rPr>
          <w:rFonts w:ascii="Times New Roman" w:cs="Times New Roman" w:eastAsia="Times New Roman" w:hAnsi="Times New Roman"/>
          <w:sz w:val="18"/>
          <w:szCs w:val="18"/>
          <w:color w:val="auto"/>
        </w:rPr>
      </w:pPr>
    </w:p>
    <w:p>
      <w:pPr>
        <w:jc w:val="both"/>
        <w:ind w:left="1340" w:right="20" w:hanging="1200"/>
        <w:spacing w:after="0" w:line="226"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4.48</w:t>
      </w:r>
      <w:r>
        <w:rPr>
          <w:sz w:val="20"/>
          <w:szCs w:val="20"/>
          <w:color w:val="auto"/>
        </w:rPr>
        <w:tab/>
      </w:r>
      <w:r>
        <w:rPr>
          <w:rFonts w:ascii="Times New Roman" w:cs="Times New Roman" w:eastAsia="Times New Roman" w:hAnsi="Times New Roman"/>
          <w:sz w:val="18"/>
          <w:szCs w:val="18"/>
          <w:color w:val="auto"/>
        </w:rPr>
        <w:t xml:space="preserve">— </w:t>
      </w:r>
      <w:hyperlink r:id="rId292">
        <w:r>
          <w:rPr>
            <w:rFonts w:ascii="Times New Roman" w:cs="Times New Roman" w:eastAsia="Times New Roman" w:hAnsi="Times New Roman"/>
            <w:sz w:val="18"/>
            <w:szCs w:val="18"/>
            <w:u w:val="single" w:color="auto"/>
            <w:color w:val="0000FF"/>
          </w:rPr>
          <w:t>Indenture, dated as of May 8, 2020, between Transcontinental Gas Pipe Line Company, LLC and The Bank of New York Mellon</w:t>
        </w:r>
      </w:hyperlink>
      <w:r>
        <w:rPr>
          <w:rFonts w:ascii="Times New Roman" w:cs="Times New Roman" w:eastAsia="Times New Roman" w:hAnsi="Times New Roman"/>
          <w:sz w:val="18"/>
          <w:szCs w:val="18"/>
          <w:color w:val="auto"/>
        </w:rPr>
        <w:t xml:space="preserve"> </w:t>
      </w:r>
      <w:hyperlink r:id="rId292">
        <w:r>
          <w:rPr>
            <w:rFonts w:ascii="Times New Roman" w:cs="Times New Roman" w:eastAsia="Times New Roman" w:hAnsi="Times New Roman"/>
            <w:sz w:val="18"/>
            <w:szCs w:val="18"/>
            <w:u w:val="single" w:color="auto"/>
            <w:color w:val="0000FF"/>
          </w:rPr>
          <w:t>Trust Company, N.A., as trustee (filed on May 8, 2020, as Exhibit 4.1 to our current report on Form 8-K (File No. 001-07584) and</w:t>
        </w:r>
      </w:hyperlink>
      <w:r>
        <w:rPr>
          <w:rFonts w:ascii="Times New Roman" w:cs="Times New Roman" w:eastAsia="Times New Roman" w:hAnsi="Times New Roman"/>
          <w:sz w:val="18"/>
          <w:szCs w:val="18"/>
          <w:u w:val="single" w:color="auto"/>
          <w:color w:val="0000FF"/>
        </w:rPr>
        <w:t xml:space="preserve"> </w:t>
      </w:r>
      <w:hyperlink r:id="rId292">
        <w:r>
          <w:rPr>
            <w:rFonts w:ascii="Times New Roman" w:cs="Times New Roman" w:eastAsia="Times New Roman" w:hAnsi="Times New Roman"/>
            <w:sz w:val="18"/>
            <w:szCs w:val="18"/>
            <w:u w:val="single" w:color="auto"/>
            <w:color w:val="0000FF"/>
          </w:rPr>
          <w:t>incorporated herein by reference).</w:t>
        </w:r>
      </w:hyperlink>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440" w:type="dxa"/>
            <w:vAlign w:val="bottom"/>
            <w:tcBorders>
              <w:bottom w:val="single" w:sz="8" w:color="auto"/>
            </w:tcBorders>
            <w:gridSpan w:val="1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4.49</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3">
              <w:r>
                <w:rPr>
                  <w:rFonts w:ascii="Times New Roman" w:cs="Times New Roman" w:eastAsia="Times New Roman" w:hAnsi="Times New Roman"/>
                  <w:sz w:val="18"/>
                  <w:szCs w:val="18"/>
                  <w:u w:val="single" w:color="auto"/>
                  <w:color w:val="0000FF"/>
                </w:rPr>
                <w:t>Indenture,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FF"/>
                </w:rPr>
                <w:t>dated as of November 20, 2025, between Transcontinental Gas Pipe Line Company, LLC and The Bank of New York</w:t>
              </w:r>
            </w:hyperlink>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96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Mellon Trust Company, N.A., as trustee (filed on November 20, 2025, as Exhibit 4.1 to our current report on Form 8-K (File No.</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bottom w:val="single" w:sz="8" w:color="0000FF"/>
            </w:tcBorders>
            <w:gridSpan w:val="5"/>
          </w:tcPr>
          <w:p>
            <w:pPr>
              <w:spacing w:after="0" w:line="149" w:lineRule="exact"/>
              <w:rPr>
                <w:rFonts w:ascii="Times New Roman" w:cs="Times New Roman" w:eastAsia="Times New Roman" w:hAnsi="Times New Roman"/>
                <w:sz w:val="17"/>
                <w:szCs w:val="17"/>
                <w:color w:val="0000FF"/>
              </w:rPr>
            </w:pPr>
            <w:hyperlink r:id="rId293">
              <w:r>
                <w:rPr>
                  <w:rFonts w:ascii="Times New Roman" w:cs="Times New Roman" w:eastAsia="Times New Roman" w:hAnsi="Times New Roman"/>
                  <w:sz w:val="17"/>
                  <w:szCs w:val="17"/>
                  <w:color w:val="0000FF"/>
                </w:rPr>
                <w:t>001-07584) and incorporated herein by reference).</w:t>
              </w:r>
            </w:hyperlink>
          </w:p>
        </w:tc>
        <w:tc>
          <w:tcPr>
            <w:tcW w:w="1540" w:type="dxa"/>
            <w:vAlign w:val="bottom"/>
            <w:gridSpan w:val="3"/>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Administrative Services Agreement, dated as of February 17, 2010, by and between Transco Pipeline Services LLC and</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Transcontinental Gas Pipe Line Company, LLC (filed on February 22, 2010, as Exhibit 10.3 to Williams Partners L.P.’s,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(File No. 001-32599) and incorporated herein by reference).</w:t>
              </w:r>
            </w:hyperlink>
          </w:p>
        </w:tc>
        <w:tc>
          <w:tcPr>
            <w:tcW w:w="542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780" w:type="dxa"/>
            <w:vAlign w:val="bottom"/>
            <w:gridSpan w:val="23"/>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Assignment Agreement dated February 13, 2013 by and between Transco Pipeline Services LLC and Williams WPC-I, LLC,</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effective January 1, 2013 (filed on February 27, 2013, as Exhibit 10.2 to our annual report on Form 10-K (File No. 001-07584)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3">
              <w:r>
                <w:rPr>
                  <w:rFonts w:ascii="Times New Roman" w:cs="Times New Roman" w:eastAsia="Times New Roman" w:hAnsi="Times New Roman"/>
                  <w:sz w:val="18"/>
                  <w:szCs w:val="18"/>
                  <w:color w:val="0000FF"/>
                </w:rPr>
                <w:t>Amended and Restated Credit Agreement dated as of October 8, 2021 between The Williams Companies, Inc., Northwest Pipeline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LLC, and Transcontinental Gas Pipeline Company, LLC, as co-borrowers, the lenders named therein, and Wells Fargo Bank,</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National Association, as Administrative Agent (filed on October 8, 2021, as Exhibit 10.1 to The Williams Companies, Inc.’s Current</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Report on Form 8-K (File No. 001-04174) and incorporated herein by reference).</w:t>
              </w:r>
            </w:hyperlink>
          </w:p>
        </w:tc>
        <w:tc>
          <w:tcPr>
            <w:tcW w:w="388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23.2*</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Public Accounting Firm, Ernst &amp; Young LLP.</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920" w:type="dxa"/>
            <w:vAlign w:val="bottom"/>
            <w:gridSpan w:val="3"/>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Rules 13a-l4(a) and 15d-14(a) promulgated under the Securities</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amended, and Item 601(b)(3l) of Regulation S-K, as adopted pursuant to Section 302 of the Sarbanes-</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Financial Officer pursuant to Rules 13a-14(a) and l5d-l4(a) promulgated under the Securities Exchange</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601(b)(31) of Regulation S-K, as adopted pursuant to Section 302 of the Sarbanes-Oxley Act of</w:t>
            </w: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98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Executive Officer and the Principal Financial Officer pursuant to 18 U.S.C. Section 1350, as adopted</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6"/>
            <w:shd w:val="clear" w:color="auto" w:fill="0000FF"/>
          </w:tcPr>
          <w:p>
            <w:pPr>
              <w:spacing w:after="0" w:line="20" w:lineRule="exact"/>
              <w:rPr>
                <w:sz w:val="1"/>
                <w:szCs w:val="1"/>
                <w:color w:val="auto"/>
              </w:rPr>
            </w:pPr>
          </w:p>
        </w:tc>
        <w:tc>
          <w:tcPr>
            <w:tcW w:w="54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7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XBRL Taxonomy Extension Schema.</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XBRL Taxonomy Extension Calculation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XBRL Taxonomy Extension Definition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XBRL Taxonomy Extension Label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XBRL Taxonomy Extension Presentation Linkbase.</w:t>
            </w:r>
          </w:p>
        </w:tc>
        <w:tc>
          <w:tcPr>
            <w:tcW w:w="0" w:type="dxa"/>
            <w:vAlign w:val="bottom"/>
          </w:tcPr>
          <w:p>
            <w:pPr>
              <w:spacing w:after="0"/>
              <w:rPr>
                <w:sz w:val="1"/>
                <w:szCs w:val="1"/>
                <w:color w:val="auto"/>
              </w:rPr>
            </w:pPr>
          </w:p>
        </w:tc>
      </w:tr>
      <w:tr>
        <w:trPr>
          <w:trHeight w:val="270"/>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The cover page interactive data file does not appear in the interactive data file because its XBRL</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 (contained in Exhibit 101).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60" w:hanging="281"/>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40"/>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and 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5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Covered by report of independent auditors (PCAOB ID: 42):</w:t>
            </w: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500" w:type="dxa"/>
            <w:vAlign w:val="bottom"/>
            <w:gridSpan w:val="7"/>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6400" w:type="dxa"/>
            <w:vAlign w:val="bottom"/>
            <w:tcBorders>
              <w:bottom w:val="single" w:sz="8" w:color="0000FF"/>
            </w:tcBorders>
            <w:gridSpan w:val="4"/>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Statement of net income for each year in the three-year period ended December 31, 2025</w:t>
            </w:r>
          </w:p>
        </w:tc>
        <w:tc>
          <w:tcPr>
            <w:tcW w:w="12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gridSpan w:val="6"/>
          </w:tcPr>
          <w:p>
            <w:pPr>
              <w:ind w:left="220"/>
              <w:spacing w:after="0" w:line="196" w:lineRule="exact"/>
              <w:rPr>
                <w:sz w:val="20"/>
                <w:szCs w:val="20"/>
                <w:color w:val="auto"/>
              </w:rPr>
            </w:pPr>
            <w:r>
              <w:rPr>
                <w:rFonts w:ascii="Times New Roman" w:cs="Times New Roman" w:eastAsia="Times New Roman" w:hAnsi="Times New Roman"/>
                <w:sz w:val="18"/>
                <w:szCs w:val="18"/>
                <w:color w:val="0000FF"/>
              </w:rPr>
              <w:t>108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Balance sheet at December 31, 2025 and 2024</w:t>
            </w:r>
          </w:p>
        </w:tc>
        <w:tc>
          <w:tcPr>
            <w:tcW w:w="30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3340" w:type="dxa"/>
            <w:vAlign w:val="bottom"/>
            <w:tcBorders>
              <w:bottom w:val="single" w:sz="8" w:color="0000FF"/>
            </w:tcBorders>
            <w:gridSpan w:val="2"/>
            <w:vMerge w:val="continue"/>
          </w:tcPr>
          <w:p>
            <w:pPr>
              <w:spacing w:after="0"/>
              <w:rPr>
                <w:sz w:val="18"/>
                <w:szCs w:val="18"/>
                <w:color w:val="auto"/>
              </w:rPr>
            </w:pPr>
          </w:p>
        </w:tc>
        <w:tc>
          <w:tcPr>
            <w:tcW w:w="30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7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Statement of changes in member’s equity for each year in the three-year period ended December 31, 2025</w:t>
            </w: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7640" w:type="dxa"/>
            <w:vAlign w:val="bottom"/>
            <w:tcBorders>
              <w:bottom w:val="single" w:sz="8" w:color="0000FF"/>
            </w:tcBorders>
            <w:gridSpan w:val="5"/>
            <w:vMerge w:val="continue"/>
          </w:tcPr>
          <w:p>
            <w:pPr>
              <w:spacing w:after="0"/>
              <w:rPr>
                <w:sz w:val="18"/>
                <w:szCs w:val="18"/>
                <w:color w:val="auto"/>
              </w:rPr>
            </w:pPr>
          </w:p>
        </w:tc>
        <w:tc>
          <w:tcPr>
            <w:tcW w:w="2540" w:type="dxa"/>
            <w:vAlign w:val="bottom"/>
          </w:tcPr>
          <w:p>
            <w:pPr>
              <w:spacing w:after="0"/>
              <w:rPr>
                <w:sz w:val="18"/>
                <w:szCs w:val="18"/>
                <w:color w:val="auto"/>
              </w:rPr>
            </w:pPr>
          </w:p>
        </w:tc>
        <w:tc>
          <w:tcPr>
            <w:tcW w:w="5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0000FF"/>
                <w:w w:val="96"/>
              </w:rPr>
              <w:t>110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0000FF"/>
                <w:w w:val="99"/>
              </w:rPr>
              <w:t>Statement of cash flows for each year in the three-year period ended December 31, 2025</w:t>
            </w:r>
          </w:p>
        </w:tc>
        <w:tc>
          <w:tcPr>
            <w:tcW w:w="38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6380" w:type="dxa"/>
            <w:vAlign w:val="bottom"/>
            <w:tcBorders>
              <w:bottom w:val="single" w:sz="8" w:color="0000FF"/>
            </w:tcBorders>
            <w:gridSpan w:val="3"/>
            <w:vMerge w:val="continue"/>
          </w:tcPr>
          <w:p>
            <w:pPr>
              <w:spacing w:after="0"/>
              <w:rPr>
                <w:sz w:val="18"/>
                <w:szCs w:val="18"/>
                <w:color w:val="auto"/>
              </w:rPr>
            </w:pPr>
          </w:p>
        </w:tc>
        <w:tc>
          <w:tcPr>
            <w:tcW w:w="3800" w:type="dxa"/>
            <w:vAlign w:val="bottom"/>
            <w:gridSpan w:val="3"/>
          </w:tcPr>
          <w:p>
            <w:pPr>
              <w:spacing w:after="0"/>
              <w:rPr>
                <w:sz w:val="18"/>
                <w:szCs w:val="18"/>
                <w:color w:val="auto"/>
              </w:rPr>
            </w:pPr>
          </w:p>
        </w:tc>
        <w:tc>
          <w:tcPr>
            <w:tcW w:w="4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0000FF"/>
                <w:w w:val="88"/>
              </w:rPr>
              <w:t>111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w w:val="98"/>
              </w:rPr>
              <w:t>Combined Notes to Financial Statements</w:t>
            </w:r>
          </w:p>
        </w:tc>
        <w:tc>
          <w:tcPr>
            <w:tcW w:w="722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 w:type="dxa"/>
            <w:vAlign w:val="bottom"/>
          </w:tcPr>
          <w:p>
            <w:pPr>
              <w:spacing w:after="0"/>
              <w:rPr>
                <w:sz w:val="18"/>
                <w:szCs w:val="18"/>
                <w:color w:val="auto"/>
              </w:rPr>
            </w:pPr>
          </w:p>
        </w:tc>
        <w:tc>
          <w:tcPr>
            <w:tcW w:w="2960" w:type="dxa"/>
            <w:vAlign w:val="bottom"/>
            <w:tcBorders>
              <w:bottom w:val="single" w:sz="8" w:color="0000FF"/>
            </w:tcBorders>
            <w:vMerge w:val="continue"/>
          </w:tcPr>
          <w:p>
            <w:pPr>
              <w:spacing w:after="0"/>
              <w:rPr>
                <w:sz w:val="18"/>
                <w:szCs w:val="18"/>
                <w:color w:val="auto"/>
              </w:rPr>
            </w:pPr>
          </w:p>
        </w:tc>
        <w:tc>
          <w:tcPr>
            <w:tcW w:w="7220" w:type="dxa"/>
            <w:vAlign w:val="bottom"/>
            <w:gridSpan w:val="5"/>
          </w:tcPr>
          <w:p>
            <w:pPr>
              <w:spacing w:after="0"/>
              <w:rPr>
                <w:sz w:val="18"/>
                <w:szCs w:val="18"/>
                <w:color w:val="auto"/>
              </w:rPr>
            </w:pPr>
          </w:p>
        </w:tc>
        <w:tc>
          <w:tcPr>
            <w:tcW w:w="5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0000FF"/>
                <w:w w:val="96"/>
              </w:rPr>
              <w:t>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is not present in amounts sufficient to require submission of the schedule, or because the information required is included in the financial statements and notes thereto.</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3 and (b). The exhibits listed below are filed as part of this annual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340" w:type="dxa"/>
            <w:vAlign w:val="bottom"/>
            <w:gridSpan w:val="21"/>
          </w:tcPr>
          <w:p>
            <w:pPr>
              <w:ind w:left="78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17"/>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20" w:type="dxa"/>
            <w:vAlign w:val="bottom"/>
            <w:tcBorders>
              <w:bottom w:val="single" w:sz="8" w:color="auto"/>
            </w:tcBorders>
            <w:gridSpan w:val="17"/>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5">
              <w:r>
                <w:rPr>
                  <w:rFonts w:ascii="Times New Roman" w:cs="Times New Roman" w:eastAsia="Times New Roman" w:hAnsi="Times New Roman"/>
                  <w:sz w:val="18"/>
                  <w:szCs w:val="18"/>
                  <w:color w:val="0000FF"/>
                </w:rPr>
                <w:t>Certificate of Conversion of Northwest Pipeline GP (filed on July 3, 2013, as Exhibit 2.1 to our current report on Form 8-K (File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No. 001-07414) and incorporated herein by reference).</w:t>
              </w:r>
            </w:hyperlink>
          </w:p>
        </w:tc>
        <w:tc>
          <w:tcPr>
            <w:tcW w:w="1560" w:type="dxa"/>
            <w:vAlign w:val="bottom"/>
            <w:tcBorders>
              <w:top w:val="single" w:sz="8" w:color="0000FF"/>
            </w:tcBorders>
            <w:gridSpan w:val="2"/>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6">
              <w:r>
                <w:rPr>
                  <w:rFonts w:ascii="Times New Roman" w:cs="Times New Roman" w:eastAsia="Times New Roman" w:hAnsi="Times New Roman"/>
                  <w:sz w:val="18"/>
                  <w:szCs w:val="18"/>
                  <w:color w:val="0000FF"/>
                </w:rPr>
                <w:t>Certificate of Formation of Northwest Pipeline LLC (filed on July 3, 2013, as Exhibit 2.2 to our current report on Form 8-K (File</w:t>
              </w:r>
            </w:hyperlink>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500" w:type="dxa"/>
            <w:vAlign w:val="bottom"/>
            <w:tcBorders>
              <w:top w:val="single" w:sz="8" w:color="0000FF"/>
            </w:tcBorders>
            <w:gridSpan w:val="8"/>
          </w:tcPr>
          <w:p>
            <w:pPr>
              <w:spacing w:after="0" w:line="136" w:lineRule="exact"/>
              <w:rPr>
                <w:rFonts w:ascii="Times New Roman" w:cs="Times New Roman" w:eastAsia="Times New Roman" w:hAnsi="Times New Roman"/>
                <w:sz w:val="15"/>
                <w:szCs w:val="15"/>
                <w:color w:val="0000FF"/>
              </w:rPr>
            </w:pPr>
            <w:hyperlink r:id="rId346">
              <w:r>
                <w:rPr>
                  <w:rFonts w:ascii="Times New Roman" w:cs="Times New Roman" w:eastAsia="Times New Roman" w:hAnsi="Times New Roman"/>
                  <w:sz w:val="15"/>
                  <w:szCs w:val="15"/>
                  <w:color w:val="0000FF"/>
                </w:rPr>
                <w:t>No. 001-07414) and incorporated herein by reference).</w:t>
              </w:r>
            </w:hyperlink>
          </w:p>
        </w:tc>
        <w:tc>
          <w:tcPr>
            <w:tcW w:w="36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27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7">
              <w:r>
                <w:rPr>
                  <w:rFonts w:ascii="Times New Roman" w:cs="Times New Roman" w:eastAsia="Times New Roman" w:hAnsi="Times New Roman"/>
                  <w:sz w:val="18"/>
                  <w:szCs w:val="18"/>
                  <w:color w:val="0000FF"/>
                </w:rPr>
                <w:t>Operating Agreement of Northwest Pipeline LLC (filed on July 3, 2013, as Exhibit 3.1 to our current report on Form 8-K (File No.</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347">
              <w:r>
                <w:rPr>
                  <w:rFonts w:ascii="Times New Roman" w:cs="Times New Roman" w:eastAsia="Times New Roman" w:hAnsi="Times New Roman"/>
                  <w:sz w:val="18"/>
                  <w:szCs w:val="18"/>
                  <w:color w:val="0000FF"/>
                  <w:w w:val="98"/>
                </w:rPr>
                <w:t>001-07414) and incorporated herein by reference).</w:t>
              </w:r>
            </w:hyperlink>
          </w:p>
        </w:tc>
        <w:tc>
          <w:tcPr>
            <w:tcW w:w="1880" w:type="dxa"/>
            <w:vAlign w:val="bottom"/>
            <w:tcBorders>
              <w:top w:val="single" w:sz="8" w:color="0000FF"/>
            </w:tcBorders>
            <w:gridSpan w:val="5"/>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6">
              <w:r>
                <w:rPr>
                  <w:rFonts w:ascii="Times New Roman" w:cs="Times New Roman" w:eastAsia="Times New Roman" w:hAnsi="Times New Roman"/>
                  <w:sz w:val="18"/>
                  <w:szCs w:val="18"/>
                  <w:color w:val="0000FF"/>
                </w:rPr>
                <w:t>Indenture, dated as of April 3, 2017, between Northwest Pipeline LLC and The Bank of New York Mellon Trust Company, N.A., as</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trustee (filed on April 3, 2017, as Exhibit 4.1 to our current report on Form 8-K (File No. 001-07414) and incorporated herein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286">
              <w:r>
                <w:rPr>
                  <w:rFonts w:ascii="Times New Roman" w:cs="Times New Roman" w:eastAsia="Times New Roman" w:hAnsi="Times New Roman"/>
                  <w:sz w:val="18"/>
                  <w:szCs w:val="18"/>
                  <w:color w:val="0000FF"/>
                  <w:w w:val="95"/>
                </w:rPr>
                <w:t>reference).</w:t>
              </w:r>
            </w:hyperlink>
          </w:p>
        </w:tc>
        <w:tc>
          <w:tcPr>
            <w:tcW w:w="88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8">
              <w:r>
                <w:rPr>
                  <w:rFonts w:ascii="Times New Roman" w:cs="Times New Roman" w:eastAsia="Times New Roman" w:hAnsi="Times New Roman"/>
                  <w:sz w:val="18"/>
                  <w:szCs w:val="18"/>
                  <w:color w:val="0000FF"/>
                </w:rPr>
                <w:t>Administrative Services Agreement, dated January 24, 2008, between Northwest Pipeline GP and Northwest Pipeline Services LLC</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(filed on January 30, 2008, as Exhibit 10.1 to our current report on Form 8-K (File No. 001-07414) and incorporated herein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348">
              <w:r>
                <w:rPr>
                  <w:rFonts w:ascii="Times New Roman" w:cs="Times New Roman" w:eastAsia="Times New Roman" w:hAnsi="Times New Roman"/>
                  <w:sz w:val="18"/>
                  <w:szCs w:val="18"/>
                  <w:color w:val="0000FF"/>
                  <w:w w:val="95"/>
                </w:rPr>
                <w:t>reference).</w:t>
              </w:r>
            </w:hyperlink>
          </w:p>
        </w:tc>
        <w:tc>
          <w:tcPr>
            <w:tcW w:w="88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9">
              <w:r>
                <w:rPr>
                  <w:rFonts w:ascii="Times New Roman" w:cs="Times New Roman" w:eastAsia="Times New Roman" w:hAnsi="Times New Roman"/>
                  <w:sz w:val="18"/>
                  <w:szCs w:val="18"/>
                  <w:color w:val="0000FF"/>
                </w:rPr>
                <w:t>Assignment Agreement dated February 13, 2013, by and between Northwest Pipeline Services LLC and Williams WPC-I, LLC,</w:t>
              </w:r>
            </w:hyperlink>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effective January 1, 2013 (filed on February 3, 2015, as Exhibit 10(b) to our annual report on Form 10-K (File No. 001-07414) and</w:t>
              </w:r>
            </w:hyperlink>
          </w:p>
        </w:tc>
        <w:tc>
          <w:tcPr>
            <w:tcW w:w="80" w:type="dxa"/>
            <w:vAlign w:val="bottom"/>
            <w:tcBorders>
              <w:bottom w:val="single" w:sz="8" w:color="0000FF"/>
            </w:tcBorders>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20" w:type="dxa"/>
            <w:vAlign w:val="bottom"/>
            <w:gridSpan w:val="4"/>
          </w:tcPr>
          <w:p>
            <w:pPr>
              <w:spacing w:after="0" w:line="136" w:lineRule="exact"/>
              <w:rPr>
                <w:rFonts w:ascii="Times New Roman" w:cs="Times New Roman" w:eastAsia="Times New Roman" w:hAnsi="Times New Roman"/>
                <w:sz w:val="15"/>
                <w:szCs w:val="15"/>
                <w:color w:val="0000FF"/>
              </w:rPr>
            </w:pPr>
            <w:hyperlink r:id="rId349">
              <w:r>
                <w:rPr>
                  <w:rFonts w:ascii="Times New Roman" w:cs="Times New Roman" w:eastAsia="Times New Roman" w:hAnsi="Times New Roman"/>
                  <w:sz w:val="15"/>
                  <w:szCs w:val="15"/>
                  <w:color w:val="0000FF"/>
                </w:rPr>
                <w:t>incorporated herein by reference).</w:t>
              </w:r>
            </w:hyperlink>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43">
              <w:r>
                <w:rPr>
                  <w:rFonts w:ascii="Times New Roman" w:cs="Times New Roman" w:eastAsia="Times New Roman" w:hAnsi="Times New Roman"/>
                  <w:sz w:val="18"/>
                  <w:szCs w:val="18"/>
                  <w:color w:val="0000FF"/>
                </w:rPr>
                <w:t>Amended and Restated Credit Agreement dated as of October 8, 2021 between The Williams Companies, Inc., Northwest Pipeline</w:t>
              </w:r>
            </w:hyperlink>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LLC, and Transcontinental Gas Pipeline Company, LLC, as borrowers, the lenders named therein, and Wells Fargo Bank, National</w:t>
              </w:r>
            </w:hyperlink>
          </w:p>
        </w:tc>
        <w:tc>
          <w:tcPr>
            <w:tcW w:w="100" w:type="dxa"/>
            <w:vAlign w:val="bottom"/>
            <w:tcBorders>
              <w:bottom w:val="single" w:sz="8" w:color="0000FF"/>
            </w:tcBorders>
            <w:gridSpan w:val="5"/>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740" w:type="dxa"/>
            <w:vAlign w:val="bottom"/>
            <w:gridSpan w:val="22"/>
          </w:tcPr>
          <w:p>
            <w:pPr>
              <w:spacing w:after="0" w:line="15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Association, as Administrative Agent (filed on October 8, 2021, as Exhibit 10.1 to The Williams Companies, Inc.’s current report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Form 8-K (File No. 001-04174) and incorporated herein by reference).</w:t>
              </w:r>
            </w:hyperlink>
          </w:p>
        </w:tc>
        <w:tc>
          <w:tcPr>
            <w:tcW w:w="4540" w:type="dxa"/>
            <w:vAlign w:val="bottom"/>
            <w:tcBorders>
              <w:top w:val="single" w:sz="8" w:color="0000FF"/>
            </w:tcBorders>
            <w:gridSpan w:val="9"/>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10220" w:type="dxa"/>
            <w:vAlign w:val="bottom"/>
            <w:gridSpan w:val="25"/>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32">
              <w:r>
                <w:rPr>
                  <w:rFonts w:ascii="Times New Roman" w:cs="Times New Roman" w:eastAsia="Times New Roman" w:hAnsi="Times New Roman"/>
                  <w:sz w:val="18"/>
                  <w:szCs w:val="18"/>
                  <w:color w:val="0000FF"/>
                </w:rPr>
                <w:t>Credit Agreement dated as of December 1, 2025, among Northwest Pipeline LLC, as borrower, the lenders named therein, and PNC</w:t>
              </w:r>
            </w:hyperlink>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Bank, National Association, as Administrative Agent (filed on December 1, 2025, as Exhibit 10.1 to The Williams Companies,</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78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Inc.’s current report on Form 8-K (File No. 001-07414) and incorporated herein by reference).</w:t>
              </w:r>
            </w:hyperlink>
          </w:p>
        </w:tc>
        <w:tc>
          <w:tcPr>
            <w:tcW w:w="294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23.3*</w:t>
            </w:r>
          </w:p>
        </w:tc>
        <w:tc>
          <w:tcPr>
            <w:tcW w:w="1022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Consent of Independent Registered Public Accounting Firm, Ernst &amp; Young LLP.</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3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532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31.5*</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Executive Officer pursuant to Rules 13a-l4(a) and 15d-14(a) promulgated under the Securities</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amended, and Item 601(b)(3l) of Regulation S-K, as adopted pursuant to Section 302 of the Sarbanes-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Financial Officer pursuant to Rules 13a-14(a) and l5d-l4(a) promulgated under the Securities Exchange</w:t>
            </w:r>
          </w:p>
        </w:tc>
        <w:tc>
          <w:tcPr>
            <w:tcW w:w="0" w:type="dxa"/>
            <w:vAlign w:val="bottom"/>
          </w:tcPr>
          <w:p>
            <w:pPr>
              <w:spacing w:after="0"/>
              <w:rPr>
                <w:sz w:val="1"/>
                <w:szCs w:val="1"/>
                <w:color w:val="auto"/>
              </w:rPr>
            </w:pPr>
          </w:p>
        </w:tc>
      </w:tr>
      <w:tr>
        <w:trPr>
          <w:trHeight w:val="155"/>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601(b)(31) of Regulation S-K, as adopted pursuant to Section 302 of the Sarbanes-Oxley Act of</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3"/>
              </w:rPr>
              <w:t>2002.</w:t>
            </w:r>
          </w:p>
        </w:tc>
        <w:tc>
          <w:tcPr>
            <w:tcW w:w="980" w:type="dxa"/>
            <w:vAlign w:val="bottom"/>
            <w:tcBorders>
              <w:top w:val="single" w:sz="8" w:color="0000FF"/>
            </w:tcBorders>
          </w:tcPr>
          <w:p>
            <w:pPr>
              <w:spacing w:after="0"/>
              <w:rPr>
                <w:sz w:val="14"/>
                <w:szCs w:val="14"/>
                <w:color w:val="auto"/>
              </w:rPr>
            </w:pPr>
          </w:p>
        </w:tc>
        <w:tc>
          <w:tcPr>
            <w:tcW w:w="2920" w:type="dxa"/>
            <w:vAlign w:val="bottom"/>
            <w:tcBorders>
              <w:top w:val="single" w:sz="8" w:color="0000FF"/>
            </w:tcBorders>
          </w:tcPr>
          <w:p>
            <w:pPr>
              <w:spacing w:after="0"/>
              <w:rPr>
                <w:sz w:val="14"/>
                <w:szCs w:val="14"/>
                <w:color w:val="auto"/>
              </w:rPr>
            </w:pPr>
          </w:p>
        </w:tc>
        <w:tc>
          <w:tcPr>
            <w:tcW w:w="5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Principal Executive Officer and the Principal Financial Officer pursuant to 18 U.S.C. Section 1350, as adopted</w:t>
            </w: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300" w:type="dxa"/>
            <w:vAlign w:val="bottom"/>
            <w:gridSpan w:val="3"/>
            <w:shd w:val="clear" w:color="auto" w:fill="0000FF"/>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3"/>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Schema.</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Calculation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Definition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Label Linkbase.</w:t>
            </w:r>
          </w:p>
        </w:tc>
        <w:tc>
          <w:tcPr>
            <w:tcW w:w="0" w:type="dxa"/>
            <w:vAlign w:val="bottom"/>
          </w:tcPr>
          <w:p>
            <w:pPr>
              <w:spacing w:after="0"/>
              <w:rPr>
                <w:sz w:val="1"/>
                <w:szCs w:val="1"/>
                <w:color w:val="auto"/>
              </w:rPr>
            </w:pPr>
          </w:p>
        </w:tc>
      </w:tr>
      <w:tr>
        <w:trPr>
          <w:trHeight w:val="32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XBRL Taxonomy Extension Presentation Linkbase.</w:t>
            </w:r>
          </w:p>
        </w:tc>
        <w:tc>
          <w:tcPr>
            <w:tcW w:w="0" w:type="dxa"/>
            <w:vAlign w:val="bottom"/>
          </w:tcPr>
          <w:p>
            <w:pPr>
              <w:spacing w:after="0"/>
              <w:rPr>
                <w:sz w:val="1"/>
                <w:szCs w:val="1"/>
                <w:color w:val="auto"/>
              </w:rPr>
            </w:pPr>
          </w:p>
        </w:tc>
      </w:tr>
      <w:tr>
        <w:trPr>
          <w:trHeight w:val="270"/>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6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The cover page interactive data file does not appear in the interactive data file because its XBRL</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 (contained in Exhibit 101).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460" w:hanging="281"/>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ind w:left="140"/>
        <w:spacing w:after="0"/>
        <w:tabs>
          <w:tab w:leader="none" w:pos="4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2"/>
          <w:szCs w:val="22"/>
          <w:b w:val="1"/>
          <w:bCs w:val="1"/>
          <w:color w:val="auto"/>
        </w:rPr>
        <w:t>The Williams Companies, Inc.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ILLIAMS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57" w:lineRule="exact"/>
        <w:rPr>
          <w:sz w:val="20"/>
          <w:szCs w:val="20"/>
          <w:color w:val="auto"/>
        </w:rPr>
      </w:pPr>
    </w:p>
    <w:tbl>
      <w:tblPr>
        <w:tblLayout w:type="fixed"/>
        <w:tblInd w:w="60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 MARY A. HAUSMAN</w:t>
            </w:r>
          </w:p>
        </w:tc>
      </w:tr>
      <w:tr>
        <w:trPr>
          <w:trHeight w:val="176"/>
        </w:trPr>
        <w:tc>
          <w:tcPr>
            <w:tcW w:w="600" w:type="dxa"/>
            <w:vAlign w:val="bottom"/>
          </w:tcPr>
          <w:p>
            <w:pPr>
              <w:spacing w:after="0"/>
              <w:rPr>
                <w:sz w:val="15"/>
                <w:szCs w:val="15"/>
                <w:color w:val="auto"/>
              </w:rPr>
            </w:pPr>
          </w:p>
        </w:tc>
        <w:tc>
          <w:tcPr>
            <w:tcW w:w="4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Mary A. Hausman</w:t>
            </w:r>
          </w:p>
        </w:tc>
      </w:tr>
      <w:tr>
        <w:trPr>
          <w:trHeight w:val="236"/>
        </w:trPr>
        <w:tc>
          <w:tcPr>
            <w:tcW w:w="60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Vice President, Chief Accounting Officer and Controller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18"/>
        </w:trPr>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tcPr>
          <w:p>
            <w:pPr>
              <w:jc w:val="center"/>
              <w:ind w:right="930"/>
              <w:spacing w:after="0"/>
              <w:rPr>
                <w:sz w:val="20"/>
                <w:szCs w:val="20"/>
                <w:color w:val="auto"/>
              </w:rPr>
            </w:pPr>
            <w:r>
              <w:rPr>
                <w:rFonts w:ascii="Times New Roman" w:cs="Times New Roman" w:eastAsia="Times New Roman" w:hAnsi="Times New Roman"/>
                <w:sz w:val="18"/>
                <w:szCs w:val="18"/>
                <w:color w:val="auto"/>
              </w:rPr>
              <w:t>CHAD J. ZAMARIN</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Chad J. Zamarin</w:t>
            </w:r>
          </w:p>
        </w:tc>
        <w:tc>
          <w:tcPr>
            <w:tcW w:w="120" w:type="dxa"/>
            <w:vAlign w:val="bottom"/>
          </w:tcPr>
          <w:p>
            <w:pPr>
              <w:spacing w:after="0"/>
              <w:rPr>
                <w:sz w:val="19"/>
                <w:szCs w:val="19"/>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100" w:type="dxa"/>
            <w:vAlign w:val="bottom"/>
          </w:tcPr>
          <w:p>
            <w:pPr>
              <w:spacing w:after="0"/>
              <w:rPr>
                <w:sz w:val="19"/>
                <w:szCs w:val="19"/>
                <w:color w:val="auto"/>
              </w:rPr>
            </w:pPr>
          </w:p>
        </w:tc>
      </w:tr>
      <w:tr>
        <w:trPr>
          <w:trHeight w:val="373"/>
        </w:trPr>
        <w:tc>
          <w:tcPr>
            <w:tcW w:w="10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3"/>
              </w:rPr>
              <w:t>/s/</w:t>
            </w:r>
          </w:p>
        </w:tc>
        <w:tc>
          <w:tcPr>
            <w:tcW w:w="2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JOHN D. PORTER</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John D. Porter</w:t>
            </w:r>
          </w:p>
        </w:tc>
        <w:tc>
          <w:tcPr>
            <w:tcW w:w="120" w:type="dxa"/>
            <w:vAlign w:val="bottom"/>
          </w:tcPr>
          <w:p>
            <w:pPr>
              <w:spacing w:after="0"/>
              <w:rPr>
                <w:sz w:val="19"/>
                <w:szCs w:val="19"/>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100" w:type="dxa"/>
            <w:vAlign w:val="bottom"/>
          </w:tcPr>
          <w:p>
            <w:pPr>
              <w:spacing w:after="0"/>
              <w:rPr>
                <w:sz w:val="19"/>
                <w:szCs w:val="19"/>
                <w:color w:val="auto"/>
              </w:rPr>
            </w:pPr>
          </w:p>
        </w:tc>
      </w:tr>
      <w:tr>
        <w:trPr>
          <w:trHeight w:val="373"/>
        </w:trPr>
        <w:tc>
          <w:tcPr>
            <w:tcW w:w="10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MARY A. HAUSMAN</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President, Chief Accounting Officer and Controller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Mary A. Hausman</w:t>
            </w:r>
          </w:p>
        </w:tc>
        <w:tc>
          <w:tcPr>
            <w:tcW w:w="120" w:type="dxa"/>
            <w:vAlign w:val="bottom"/>
          </w:tcPr>
          <w:p>
            <w:pPr>
              <w:spacing w:after="0"/>
              <w:rPr>
                <w:sz w:val="19"/>
                <w:szCs w:val="19"/>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100" w:type="dxa"/>
            <w:vAlign w:val="bottom"/>
          </w:tcPr>
          <w:p>
            <w:pPr>
              <w:spacing w:after="0"/>
              <w:rPr>
                <w:sz w:val="19"/>
                <w:szCs w:val="19"/>
                <w:color w:val="auto"/>
              </w:rPr>
            </w:pPr>
          </w:p>
        </w:tc>
      </w:tr>
      <w:tr>
        <w:trPr>
          <w:trHeight w:val="373"/>
        </w:trPr>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ALAN S. ARMSTRONG</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Chairman of the Board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Alan S. Armstrong</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  STEPHEN W. BERGSTROM</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Lead Independent 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Stephen W. Bergstrom</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MICHAEL A. CREEL</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Michael A. Creel</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10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w w:val="99"/>
              </w:rPr>
              <w:t>/s/ STACEY H. DORÉ</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Stacey H. Doré</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 CARRI A. LOCKHART</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Carri A. Lockhart</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 RICHARD E. MUNCRIEF</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rPr>
              <w:t>Richard E. Muncrief</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00"/>
        </w:trPr>
        <w:tc>
          <w:tcPr>
            <w:tcW w:w="10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w:t>
            </w:r>
          </w:p>
        </w:tc>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A. RAGAUSS</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00" w:type="dxa"/>
            <w:vAlign w:val="bottom"/>
          </w:tcPr>
          <w:p>
            <w:pPr>
              <w:spacing w:after="0"/>
              <w:rPr>
                <w:sz w:val="19"/>
                <w:szCs w:val="19"/>
                <w:color w:val="auto"/>
              </w:rPr>
            </w:pPr>
          </w:p>
        </w:tc>
        <w:tc>
          <w:tcPr>
            <w:tcW w:w="266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Peter A. Ragauss</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17" w:name="page218"/>
    <w:bookmarkEnd w:id="217"/>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66"/>
        </w:trPr>
        <w:tc>
          <w:tcPr>
            <w:tcW w:w="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/s/ ROSE M. ROBESON</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820" w:type="dxa"/>
            <w:vAlign w:val="bottom"/>
          </w:tcPr>
          <w:p>
            <w:pPr>
              <w:spacing w:after="0"/>
              <w:rPr>
                <w:sz w:val="19"/>
                <w:szCs w:val="19"/>
                <w:color w:val="auto"/>
              </w:rPr>
            </w:pPr>
          </w:p>
        </w:tc>
        <w:tc>
          <w:tcPr>
            <w:tcW w:w="28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Rose M. Robeson</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87"/>
        </w:trPr>
        <w:tc>
          <w:tcPr>
            <w:tcW w:w="8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/s/</w:t>
            </w:r>
          </w:p>
        </w:tc>
        <w:tc>
          <w:tcPr>
            <w:tcW w:w="2840" w:type="dxa"/>
            <w:vAlign w:val="bottom"/>
            <w:tcBorders>
              <w:bottom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SCOTT D. SHEFFIELD</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820" w:type="dxa"/>
            <w:vAlign w:val="bottom"/>
          </w:tcPr>
          <w:p>
            <w:pPr>
              <w:spacing w:after="0"/>
              <w:rPr>
                <w:sz w:val="19"/>
                <w:szCs w:val="19"/>
                <w:color w:val="auto"/>
              </w:rPr>
            </w:pPr>
          </w:p>
        </w:tc>
        <w:tc>
          <w:tcPr>
            <w:tcW w:w="28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Scott D. Sheffield</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8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3"/>
              </w:rPr>
              <w:t>/s/</w:t>
            </w:r>
          </w:p>
        </w:tc>
        <w:tc>
          <w:tcPr>
            <w:tcW w:w="2840" w:type="dxa"/>
            <w:vAlign w:val="bottom"/>
            <w:tcBorders>
              <w:bottom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rPr>
              <w:t>WILLIAM H. SPENCE</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820" w:type="dxa"/>
            <w:vAlign w:val="bottom"/>
          </w:tcPr>
          <w:p>
            <w:pPr>
              <w:spacing w:after="0"/>
              <w:rPr>
                <w:sz w:val="19"/>
                <w:szCs w:val="19"/>
                <w:color w:val="auto"/>
              </w:rPr>
            </w:pPr>
          </w:p>
        </w:tc>
        <w:tc>
          <w:tcPr>
            <w:tcW w:w="28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William H. Spence</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73"/>
        </w:trPr>
        <w:tc>
          <w:tcPr>
            <w:tcW w:w="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JESSE J. TYSON</w:t>
            </w:r>
          </w:p>
        </w:tc>
        <w:tc>
          <w:tcPr>
            <w:tcW w:w="120" w:type="dxa"/>
            <w:vAlign w:val="bottom"/>
          </w:tcPr>
          <w:p>
            <w:pPr>
              <w:spacing w:after="0"/>
              <w:rPr>
                <w:sz w:val="24"/>
                <w:szCs w:val="24"/>
                <w:color w:val="auto"/>
              </w:rPr>
            </w:pPr>
          </w:p>
        </w:tc>
        <w:tc>
          <w:tcPr>
            <w:tcW w:w="5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820" w:type="dxa"/>
            <w:vAlign w:val="bottom"/>
          </w:tcPr>
          <w:p>
            <w:pPr>
              <w:spacing w:after="0"/>
              <w:rPr>
                <w:sz w:val="19"/>
                <w:szCs w:val="19"/>
                <w:color w:val="auto"/>
              </w:rPr>
            </w:pPr>
          </w:p>
        </w:tc>
        <w:tc>
          <w:tcPr>
            <w:tcW w:w="28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Jesse J. Tyson</w:t>
            </w:r>
          </w:p>
        </w:tc>
        <w:tc>
          <w:tcPr>
            <w:tcW w:w="1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22"/>
          <w:szCs w:val="22"/>
          <w:b w:val="1"/>
          <w:bCs w:val="1"/>
          <w:color w:val="auto"/>
        </w:rPr>
        <w:t>Transcontinental Gas Pipe Line Company, LLC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RANSCONTINENTAL</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AS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IPE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INE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LLC</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57" w:lineRule="exact"/>
        <w:rPr>
          <w:sz w:val="20"/>
          <w:szCs w:val="20"/>
          <w:color w:val="auto"/>
        </w:rPr>
      </w:pPr>
    </w:p>
    <w:p>
      <w:pPr>
        <w:ind w:left="60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BILLEIGH W.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color w:val="auto"/>
        </w:rPr>
        <w:t>Billeigh W. Mark</w:t>
      </w:r>
    </w:p>
    <w:p>
      <w:pPr>
        <w:spacing w:after="0" w:line="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i w:val="1"/>
          <w:iCs w:val="1"/>
          <w:color w:val="auto"/>
        </w:rPr>
        <w:t>Controller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63"/>
        </w:trPr>
        <w:tc>
          <w:tcPr>
            <w:tcW w:w="10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Management Committee Member and</w:t>
            </w:r>
          </w:p>
        </w:tc>
        <w:tc>
          <w:tcPr>
            <w:tcW w:w="2100" w:type="dxa"/>
            <w:vAlign w:val="bottom"/>
          </w:tcPr>
          <w:p>
            <w:pPr>
              <w:spacing w:after="0"/>
              <w:rPr>
                <w:sz w:val="22"/>
                <w:szCs w:val="22"/>
                <w:color w:val="auto"/>
              </w:rPr>
            </w:pPr>
          </w:p>
        </w:tc>
      </w:tr>
      <w:tr>
        <w:trPr>
          <w:trHeight w:val="243"/>
        </w:trPr>
        <w:tc>
          <w:tcPr>
            <w:tcW w:w="10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rPr>
              <w:t>/s/  CHAD A. TEPLY</w:t>
            </w:r>
          </w:p>
        </w:tc>
        <w:tc>
          <w:tcPr>
            <w:tcW w:w="120" w:type="dxa"/>
            <w:vAlign w:val="bottom"/>
          </w:tcPr>
          <w:p>
            <w:pPr>
              <w:spacing w:after="0"/>
              <w:rPr>
                <w:sz w:val="21"/>
                <w:szCs w:val="21"/>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7"/>
              </w:rPr>
              <w:t>Chad A. Teply</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3"/>
              </w:rPr>
              <w:t>/s/</w:t>
            </w:r>
          </w:p>
        </w:tc>
        <w:tc>
          <w:tcPr>
            <w:tcW w:w="2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MARY A. HAUSMAN</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Mary A. Hausman</w:t>
            </w:r>
          </w:p>
        </w:tc>
        <w:tc>
          <w:tcPr>
            <w:tcW w:w="120" w:type="dxa"/>
            <w:vAlign w:val="bottom"/>
          </w:tcPr>
          <w:p>
            <w:pPr>
              <w:spacing w:after="0"/>
              <w:rPr>
                <w:sz w:val="19"/>
                <w:szCs w:val="19"/>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2"/>
              </w:rPr>
              <w:t>/s/</w:t>
            </w:r>
          </w:p>
        </w:tc>
        <w:tc>
          <w:tcPr>
            <w:tcW w:w="2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BILLEIGH W. MARK</w:t>
            </w:r>
          </w:p>
        </w:tc>
        <w:tc>
          <w:tcPr>
            <w:tcW w:w="12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Controller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Billeigh W. Mark</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2"/>
          <w:szCs w:val="22"/>
          <w:b w:val="1"/>
          <w:bCs w:val="1"/>
          <w:color w:val="auto"/>
        </w:rPr>
        <w:t>Northwest Pipeline LLC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ORTHWEST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IPELINE</w:t>
      </w:r>
      <w:r>
        <w:rPr>
          <w:rFonts w:ascii="Times New Roman" w:cs="Times New Roman" w:eastAsia="Times New Roman" w:hAnsi="Times New Roman"/>
          <w:sz w:val="18"/>
          <w:szCs w:val="18"/>
          <w:color w:val="auto"/>
        </w:rPr>
        <w:t xml:space="preserve"> LLC</w:t>
      </w:r>
    </w:p>
    <w:p>
      <w:pPr>
        <w:spacing w:after="0" w:line="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(Registrant)</w:t>
      </w:r>
    </w:p>
    <w:p>
      <w:pPr>
        <w:spacing w:after="0" w:line="57" w:lineRule="exact"/>
        <w:rPr>
          <w:sz w:val="20"/>
          <w:szCs w:val="20"/>
          <w:color w:val="auto"/>
        </w:rPr>
      </w:pPr>
    </w:p>
    <w:p>
      <w:pPr>
        <w:ind w:left="6040"/>
        <w:spacing w:after="0"/>
        <w:tabs>
          <w:tab w:leader="none" w:pos="7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BILLEIGH W.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color w:val="auto"/>
        </w:rPr>
        <w:t>Billeigh W. Mark</w:t>
      </w:r>
    </w:p>
    <w:p>
      <w:pPr>
        <w:spacing w:after="0" w:line="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i w:val="1"/>
          <w:iCs w:val="1"/>
          <w:color w:val="auto"/>
        </w:rPr>
        <w:t>Controller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5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63"/>
        </w:trPr>
        <w:tc>
          <w:tcPr>
            <w:tcW w:w="10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Management Committee Member and</w:t>
            </w:r>
          </w:p>
        </w:tc>
        <w:tc>
          <w:tcPr>
            <w:tcW w:w="2100" w:type="dxa"/>
            <w:vAlign w:val="bottom"/>
          </w:tcPr>
          <w:p>
            <w:pPr>
              <w:spacing w:after="0"/>
              <w:rPr>
                <w:sz w:val="22"/>
                <w:szCs w:val="22"/>
                <w:color w:val="auto"/>
              </w:rPr>
            </w:pPr>
          </w:p>
        </w:tc>
      </w:tr>
      <w:tr>
        <w:trPr>
          <w:trHeight w:val="243"/>
        </w:trPr>
        <w:tc>
          <w:tcPr>
            <w:tcW w:w="10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rPr>
              <w:t>/s/  CHAD A. TEPLY</w:t>
            </w:r>
          </w:p>
        </w:tc>
        <w:tc>
          <w:tcPr>
            <w:tcW w:w="120" w:type="dxa"/>
            <w:vAlign w:val="bottom"/>
          </w:tcPr>
          <w:p>
            <w:pPr>
              <w:spacing w:after="0"/>
              <w:rPr>
                <w:sz w:val="21"/>
                <w:szCs w:val="21"/>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Senior Vice President</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7"/>
              </w:rPr>
              <w:t>Chad A. Teply</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3"/>
              </w:rPr>
              <w:t>/s/</w:t>
            </w:r>
          </w:p>
        </w:tc>
        <w:tc>
          <w:tcPr>
            <w:tcW w:w="2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MARY A. HAUSMAN</w:t>
            </w:r>
          </w:p>
        </w:tc>
        <w:tc>
          <w:tcPr>
            <w:tcW w:w="120" w:type="dxa"/>
            <w:vAlign w:val="bottom"/>
          </w:tcPr>
          <w:p>
            <w:pPr>
              <w:spacing w:after="0"/>
              <w:rPr>
                <w:sz w:val="24"/>
                <w:szCs w:val="24"/>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President and Chief Accounting Officer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8"/>
              </w:rPr>
              <w:t>Mary A. Hausman</w:t>
            </w:r>
          </w:p>
        </w:tc>
        <w:tc>
          <w:tcPr>
            <w:tcW w:w="120" w:type="dxa"/>
            <w:vAlign w:val="bottom"/>
          </w:tcPr>
          <w:p>
            <w:pPr>
              <w:spacing w:after="0"/>
              <w:rPr>
                <w:sz w:val="19"/>
                <w:szCs w:val="19"/>
                <w:color w:val="auto"/>
              </w:rPr>
            </w:pPr>
          </w:p>
        </w:tc>
        <w:tc>
          <w:tcPr>
            <w:tcW w:w="5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100" w:type="dxa"/>
            <w:vAlign w:val="bottom"/>
          </w:tcPr>
          <w:p>
            <w:pPr>
              <w:spacing w:after="0"/>
              <w:rPr>
                <w:sz w:val="19"/>
                <w:szCs w:val="19"/>
                <w:color w:val="auto"/>
              </w:rPr>
            </w:pPr>
          </w:p>
        </w:tc>
      </w:tr>
      <w:tr>
        <w:trPr>
          <w:trHeight w:val="373"/>
        </w:trPr>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2"/>
              </w:rPr>
              <w:t>/s/</w:t>
            </w:r>
          </w:p>
        </w:tc>
        <w:tc>
          <w:tcPr>
            <w:tcW w:w="2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BILLEIGH W. MARK</w:t>
            </w:r>
          </w:p>
        </w:tc>
        <w:tc>
          <w:tcPr>
            <w:tcW w:w="120" w:type="dxa"/>
            <w:vAlign w:val="bottom"/>
          </w:tcPr>
          <w:p>
            <w:pPr>
              <w:spacing w:after="0"/>
              <w:rPr>
                <w:sz w:val="24"/>
                <w:szCs w:val="24"/>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Controller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2026</w:t>
            </w:r>
          </w:p>
        </w:tc>
      </w:tr>
      <w:tr>
        <w:trPr>
          <w:trHeight w:val="228"/>
        </w:trPr>
        <w:tc>
          <w:tcPr>
            <w:tcW w:w="1020" w:type="dxa"/>
            <w:vAlign w:val="bottom"/>
          </w:tcPr>
          <w:p>
            <w:pPr>
              <w:spacing w:after="0"/>
              <w:rPr>
                <w:sz w:val="19"/>
                <w:szCs w:val="19"/>
                <w:color w:val="auto"/>
              </w:rPr>
            </w:pPr>
          </w:p>
        </w:tc>
        <w:tc>
          <w:tcPr>
            <w:tcW w:w="268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Billeigh W. Mark</w:t>
            </w:r>
          </w:p>
        </w:tc>
        <w:tc>
          <w:tcPr>
            <w:tcW w:w="120" w:type="dxa"/>
            <w:vAlign w:val="bottom"/>
          </w:tcPr>
          <w:p>
            <w:pPr>
              <w:spacing w:after="0"/>
              <w:rPr>
                <w:sz w:val="19"/>
                <w:szCs w:val="19"/>
                <w:color w:val="auto"/>
              </w:rPr>
            </w:pPr>
          </w:p>
        </w:tc>
        <w:tc>
          <w:tcPr>
            <w:tcW w:w="5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240"/>
          </w:cols>
          <w:pgMar w:left="320" w:top="1418"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3"/>
          <w:szCs w:val="23"/>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274955</wp:posOffset>
            </wp:positionV>
            <wp:extent cx="1028700" cy="548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8">
                      <a:extLst>
                        <a:ext uri="{28A0092B-C50C-407E-A947-70E740481C1C}"/>
                      </a:extLst>
                    </a:blip>
                    <a:srcRect/>
                    <a:stretch>
                      <a:fillRect/>
                    </a:stretch>
                  </pic:blipFill>
                  <pic:spPr bwMode="auto">
                    <a:xfrm>
                      <a:off x="0" y="0"/>
                      <a:ext cx="10287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WILLIAMS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POLICY ON SECURITIES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-24765</wp:posOffset>
            </wp:positionV>
            <wp:extent cx="23768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9">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i w:val="1"/>
          <w:iCs w:val="1"/>
          <w:color w:val="auto"/>
        </w:rPr>
        <w:t>Effective April 29, 2025</w:t>
      </w:r>
    </w:p>
    <w:p>
      <w:pPr>
        <w:spacing w:after="0" w:line="1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_____________________________________________________________________________________</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75" w:lineRule="exact"/>
        <w:rPr>
          <w:sz w:val="20"/>
          <w:szCs w:val="20"/>
          <w:color w:val="auto"/>
        </w:rPr>
      </w:pPr>
    </w:p>
    <w:p>
      <w:pPr>
        <w:jc w:val="both"/>
        <w:ind w:right="320" w:firstLine="648"/>
        <w:spacing w:after="0" w:line="252" w:lineRule="auto"/>
        <w:rPr>
          <w:sz w:val="20"/>
          <w:szCs w:val="20"/>
          <w:color w:val="auto"/>
        </w:rPr>
      </w:pPr>
      <w:r>
        <w:rPr>
          <w:rFonts w:ascii="Times New Roman" w:cs="Times New Roman" w:eastAsia="Times New Roman" w:hAnsi="Times New Roman"/>
          <w:sz w:val="22"/>
          <w:szCs w:val="22"/>
          <w:color w:val="auto"/>
        </w:rPr>
        <w:t>During the course of our employment, we periodically become aware of confidential and highly sensitive information concerning Williams (defined below) and other companies. Federal and state securities laws impose severe civil and criminal penalties on persons involved in insider trading, in other words, persons who trade in securities while aware of Material Nonpublic Information (defined below).</w:t>
      </w:r>
    </w:p>
    <w:p>
      <w:pPr>
        <w:spacing w:after="0" w:line="206" w:lineRule="exact"/>
        <w:rPr>
          <w:sz w:val="20"/>
          <w:szCs w:val="20"/>
          <w:color w:val="auto"/>
        </w:rPr>
      </w:pPr>
    </w:p>
    <w:p>
      <w:pPr>
        <w:jc w:val="both"/>
        <w:ind w:right="320" w:firstLine="648"/>
        <w:spacing w:after="0" w:line="256" w:lineRule="auto"/>
        <w:rPr>
          <w:sz w:val="20"/>
          <w:szCs w:val="20"/>
          <w:color w:val="auto"/>
        </w:rPr>
      </w:pPr>
      <w:r>
        <w:rPr>
          <w:rFonts w:ascii="Times New Roman" w:cs="Times New Roman" w:eastAsia="Times New Roman" w:hAnsi="Times New Roman"/>
          <w:sz w:val="22"/>
          <w:szCs w:val="22"/>
          <w:color w:val="auto"/>
        </w:rPr>
        <w:t>The securities laws apply not only to persons such as our Directors (defined below) and officers, but also to any employee who is aware of such information and trades securities with such information. Persons who “tip” or pass along Material Nonpublic Information to others (including family members) and those who subsequently trade after receiving the tipped information also violate the securities laws.</w:t>
      </w:r>
    </w:p>
    <w:p>
      <w:pPr>
        <w:spacing w:after="0" w:line="203" w:lineRule="exact"/>
        <w:rPr>
          <w:sz w:val="20"/>
          <w:szCs w:val="20"/>
          <w:color w:val="auto"/>
        </w:rPr>
      </w:pPr>
    </w:p>
    <w:p>
      <w:pPr>
        <w:jc w:val="both"/>
        <w:ind w:right="320" w:firstLine="648"/>
        <w:spacing w:after="0" w:line="249" w:lineRule="auto"/>
        <w:rPr>
          <w:sz w:val="20"/>
          <w:szCs w:val="20"/>
          <w:color w:val="auto"/>
        </w:rPr>
      </w:pPr>
      <w:r>
        <w:rPr>
          <w:rFonts w:ascii="Times New Roman" w:cs="Times New Roman" w:eastAsia="Times New Roman" w:hAnsi="Times New Roman"/>
          <w:sz w:val="22"/>
          <w:szCs w:val="22"/>
          <w:color w:val="auto"/>
        </w:rPr>
        <w:t>Maintaining the confidence of stockholders and the public markets is important. The principle underlying this policy is fairness in dealings with other persons, which requires that Williams’ affiliates not take personal advantage of undisclosed information to the detriment of others who do not have the information. Accordingly, this policy is designed to prevent insider trading or allegations of insider trading, and to protect Williams’ reputation for integrity and ethical conduct. It is your obligation to understand and comply with this policy. If you have any questions regarding this policy, you should contact the Corporate Secretary at CorporateSecretary@Williams.com.</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3"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Broker-assisted Cashless Exercise</w:t>
      </w:r>
      <w:r>
        <w:rPr>
          <w:rFonts w:ascii="Times New Roman" w:cs="Times New Roman" w:eastAsia="Times New Roman" w:hAnsi="Times New Roman"/>
          <w:sz w:val="22"/>
          <w:szCs w:val="22"/>
          <w:color w:val="auto"/>
        </w:rPr>
        <w:t>” means a transaction in which, at the instruction of the holder of a stock option, a broker sells some or all of the shares underlying the stock option on the open market for the purpose of paying the stock option purchase price or for the payment of taxes.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 of Directors of The Williams Companies, Inc.</w:t>
      </w:r>
    </w:p>
    <w:p>
      <w:pPr>
        <w:spacing w:after="0" w:line="247"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ESPP</w:t>
      </w:r>
      <w:r>
        <w:rPr>
          <w:rFonts w:ascii="Times New Roman" w:cs="Times New Roman" w:eastAsia="Times New Roman" w:hAnsi="Times New Roman"/>
          <w:sz w:val="22"/>
          <w:szCs w:val="22"/>
          <w:color w:val="auto"/>
        </w:rPr>
        <w:t>” means The Williams Companies, Inc. Amended and Restated 2007 Employee Stock Purchase Plan, as may be further amended from time to time, or any successor plan thereto.</w:t>
      </w:r>
    </w:p>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 Williams officer who is a reporting person under Section 16 of the Securities Exchange Act of 1934, as amended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is a two-part definition explained as follows:</w:t>
      </w:r>
    </w:p>
    <w:p>
      <w:pPr>
        <w:spacing w:after="0" w:line="112" w:lineRule="exact"/>
        <w:rPr>
          <w:sz w:val="20"/>
          <w:szCs w:val="20"/>
          <w:color w:val="auto"/>
        </w:rPr>
      </w:pPr>
    </w:p>
    <w:p>
      <w:pPr>
        <w:jc w:val="both"/>
        <w:ind w:left="1300" w:right="340" w:hanging="644"/>
        <w:spacing w:after="0" w:line="257" w:lineRule="auto"/>
        <w:tabs>
          <w:tab w:leader="none" w:pos="128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information refers to any information that a reasonable investor would consider important in making a decision to buy, sell, gift or otherwise transfer, hold or vote securities, given the total mix of available information in the marketplace. In</w:t>
      </w:r>
    </w:p>
    <w:p>
      <w:pPr>
        <w:sectPr>
          <w:pgSz w:w="11900" w:h="16838" w:orient="portrait"/>
          <w:cols w:equalWidth="0" w:num="1">
            <w:col w:w="11240"/>
          </w:cols>
          <w:pgMar w:left="320" w:top="347"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23"/>
          <w:szCs w:val="23"/>
          <w:b w:val="1"/>
          <w:bCs w:val="1"/>
          <w:color w:val="auto"/>
        </w:rPr>
        <w:t>Exhibit 19.1</w:t>
      </w:r>
    </w:p>
    <w:p>
      <w:pPr>
        <w:spacing w:after="0" w:line="200" w:lineRule="exact"/>
        <w:rPr>
          <w:sz w:val="20"/>
          <w:szCs w:val="20"/>
          <w:color w:val="auto"/>
        </w:rPr>
      </w:pPr>
    </w:p>
    <w:p>
      <w:pPr>
        <w:spacing w:after="0" w:line="327" w:lineRule="exact"/>
        <w:rPr>
          <w:sz w:val="20"/>
          <w:szCs w:val="20"/>
          <w:color w:val="auto"/>
        </w:rPr>
      </w:pPr>
    </w:p>
    <w:p>
      <w:pPr>
        <w:jc w:val="both"/>
        <w:ind w:left="1300" w:right="320"/>
        <w:spacing w:after="0" w:line="263" w:lineRule="auto"/>
        <w:rPr>
          <w:sz w:val="20"/>
          <w:szCs w:val="20"/>
          <w:color w:val="auto"/>
        </w:rPr>
      </w:pPr>
      <w:r>
        <w:rPr>
          <w:rFonts w:ascii="Times New Roman" w:cs="Times New Roman" w:eastAsia="Times New Roman" w:hAnsi="Times New Roman"/>
          <w:sz w:val="22"/>
          <w:szCs w:val="22"/>
          <w:color w:val="auto"/>
        </w:rPr>
        <w:t>simple terms, material information is any type of information that could reasonably be expected to affect the price of a security (e.g., the stock price for a share of Williams common stock). A few examples of the many types of information considered material include:</w:t>
      </w:r>
    </w:p>
    <w:p>
      <w:pPr>
        <w:spacing w:after="0" w:line="194" w:lineRule="exact"/>
        <w:rPr>
          <w:sz w:val="20"/>
          <w:szCs w:val="20"/>
          <w:color w:val="auto"/>
        </w:rPr>
      </w:pPr>
    </w:p>
    <w:p>
      <w:pPr>
        <w:ind w:left="1620" w:hanging="315"/>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announcements or estimates or other unpublished financial results;</w:t>
      </w:r>
    </w:p>
    <w:p>
      <w:pPr>
        <w:spacing w:after="0" w:line="29"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or changes in projections of earnings or losses or other material financial information;</w:t>
      </w:r>
    </w:p>
    <w:p>
      <w:pPr>
        <w:spacing w:after="0" w:line="15"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merger, acquisition, divestiture, or joint venture;</w:t>
      </w:r>
    </w:p>
    <w:p>
      <w:pPr>
        <w:spacing w:after="0" w:line="3" w:lineRule="exact"/>
        <w:rPr>
          <w:rFonts w:ascii="Times New Roman" w:cs="Times New Roman" w:eastAsia="Times New Roman" w:hAnsi="Times New Roman"/>
          <w:sz w:val="22"/>
          <w:szCs w:val="22"/>
          <w:color w:val="auto"/>
        </w:rPr>
      </w:pPr>
    </w:p>
    <w:p>
      <w:pPr>
        <w:ind w:left="1620" w:right="320" w:hanging="316"/>
        <w:spacing w:after="0" w:line="249" w:lineRule="auto"/>
        <w:tabs>
          <w:tab w:leader="none" w:pos="1615"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public offering, private placement, repurchase, or redemption of Williams Securities or other important financing transactions, developments, or events;</w:t>
      </w:r>
    </w:p>
    <w:p>
      <w:pPr>
        <w:spacing w:after="0" w:line="1"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policies or the declaration of a stock split;</w:t>
      </w:r>
    </w:p>
    <w:p>
      <w:pPr>
        <w:spacing w:after="0" w:line="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litigation, government action, or developments related thereto;</w:t>
      </w:r>
    </w:p>
    <w:p>
      <w:pPr>
        <w:spacing w:after="0" w:line="5"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w:t>
      </w:r>
    </w:p>
    <w:p>
      <w:pPr>
        <w:spacing w:after="0" w:line="15"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financial liquidity problems (including those of a customer);</w:t>
      </w:r>
    </w:p>
    <w:p>
      <w:pPr>
        <w:spacing w:after="0" w:line="3"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financial information that departs from what the market would expect; and</w:t>
      </w:r>
    </w:p>
    <w:p>
      <w:pPr>
        <w:spacing w:after="0" w:line="5" w:lineRule="exact"/>
        <w:rPr>
          <w:rFonts w:ascii="Times New Roman" w:cs="Times New Roman" w:eastAsia="Times New Roman" w:hAnsi="Times New Roman"/>
          <w:sz w:val="22"/>
          <w:szCs w:val="22"/>
          <w:color w:val="auto"/>
        </w:rPr>
      </w:pPr>
    </w:p>
    <w:p>
      <w:pPr>
        <w:ind w:left="1620" w:hanging="316"/>
        <w:spacing w:after="0"/>
        <w:tabs>
          <w:tab w:leader="none" w:pos="16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(or other significant event relating to) a major customer or contract.</w:t>
      </w:r>
    </w:p>
    <w:p>
      <w:pPr>
        <w:spacing w:after="0" w:line="288" w:lineRule="exact"/>
        <w:rPr>
          <w:rFonts w:ascii="Times New Roman" w:cs="Times New Roman" w:eastAsia="Times New Roman" w:hAnsi="Times New Roman"/>
          <w:sz w:val="22"/>
          <w:szCs w:val="22"/>
          <w:color w:val="auto"/>
        </w:rPr>
      </w:pPr>
    </w:p>
    <w:p>
      <w:pPr>
        <w:jc w:val="both"/>
        <w:ind w:left="1300" w:right="320" w:hanging="644"/>
        <w:spacing w:after="0" w:line="253" w:lineRule="auto"/>
        <w:tabs>
          <w:tab w:leader="none" w:pos="129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“Nonpublic” information is information that has not been disclosed to the general public. This sort of information only becomes public after it is released to the public and the market has had time to absorb and adjust to the information. Effective disclosure of such information comes through public filings with the Securities Exchange Commission, formal press releases, and during pre-announced meetings or conference calls with analysts or the press that are publicly accessible.</w:t>
      </w:r>
    </w:p>
    <w:p>
      <w:pPr>
        <w:spacing w:after="0" w:line="206" w:lineRule="exact"/>
        <w:rPr>
          <w:sz w:val="20"/>
          <w:szCs w:val="20"/>
          <w:color w:val="auto"/>
        </w:rPr>
      </w:pPr>
    </w:p>
    <w:p>
      <w:pPr>
        <w:jc w:val="both"/>
        <w:ind w:right="340"/>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Exercise</w:t>
      </w:r>
      <w:r>
        <w:rPr>
          <w:rFonts w:ascii="Times New Roman" w:cs="Times New Roman" w:eastAsia="Times New Roman" w:hAnsi="Times New Roman"/>
          <w:sz w:val="22"/>
          <w:szCs w:val="22"/>
          <w:color w:val="auto"/>
        </w:rPr>
        <w:t>” means the use of the underlying shares, which are surrendered to Williams, to pay the exercise price and/or tax withholding obligations in respect of a stock option exercise.</w:t>
      </w:r>
    </w:p>
    <w:p>
      <w:pPr>
        <w:spacing w:after="0" w:line="171"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Employee</w:t>
      </w:r>
      <w:r>
        <w:rPr>
          <w:rFonts w:ascii="Times New Roman" w:cs="Times New Roman" w:eastAsia="Times New Roman" w:hAnsi="Times New Roman"/>
          <w:sz w:val="22"/>
          <w:szCs w:val="22"/>
          <w:color w:val="auto"/>
        </w:rPr>
        <w:t>” means a Williams employee listed on our Insider Trading – Director and Key Employees List. Such list is maintained by our Corporate Secretary Group, which will notify an employee that he/she is on the list. Such list is typically comprised of employees who, during the normal course of their employment, are in a position to gain Material Nonpublic Information with respect to quarterly or annual financial results, guidance, or other significant corporate events such as material mergers and 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means Section 16 of the Securities Exchange Act of 1934, as amended.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Williams</w:t>
      </w:r>
      <w:r>
        <w:rPr>
          <w:rFonts w:ascii="Times New Roman" w:cs="Times New Roman" w:eastAsia="Times New Roman" w:hAnsi="Times New Roman"/>
          <w:sz w:val="22"/>
          <w:szCs w:val="22"/>
          <w:color w:val="auto"/>
        </w:rPr>
        <w:t>” means, collectively, The Williams Companies, Inc. and its respective subsidiaries.</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“Williams Securities” means all securities of Williams, including without limitation, common stock, preferred stock, debt, stock options, and any other derivative or non-derivative securities that Williams may issue from time to time, as well as derivative securities relating to Williams stock that are not issued by Williams, such as exchange-traded put or call options, or swaps.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2 of 9</w:t>
      </w:r>
    </w:p>
    <w:p>
      <w:pPr>
        <w:sectPr>
          <w:pgSz w:w="11900" w:h="16838" w:orient="portrait"/>
          <w:cols w:equalWidth="0" w:num="1">
            <w:col w:w="11240"/>
          </w:cols>
          <w:pgMar w:left="320" w:top="347"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23"/>
          <w:szCs w:val="23"/>
          <w:b w:val="1"/>
          <w:bCs w:val="1"/>
          <w:color w:val="auto"/>
        </w:rPr>
        <w:t>Exhibit 19.1</w:t>
      </w: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term Williams Securities also includes (i) equity awards (including restricted stock units) or stock options granted as compensation under any of Williams’ compensation or benefit plans and (ii) upon the vesting of such awards or the exercise of such options, the securities so acquired, such as Williams common stock.</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Trading</w:t>
      </w:r>
    </w:p>
    <w:p>
      <w:pPr>
        <w:spacing w:after="0" w:line="251"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No Director, officer, employee, or any other person providing services to Williams who is aware of Material Nonpublic Information relating to Williams or other public companies may buy, sell, gift or pledge Williams Securities or such other companies’ securities, including derivative securities thereof, or pass such information on to others. </w:t>
      </w:r>
      <w:r>
        <w:rPr>
          <w:rFonts w:ascii="Times New Roman" w:cs="Times New Roman" w:eastAsia="Times New Roman" w:hAnsi="Times New Roman"/>
          <w:sz w:val="22"/>
          <w:szCs w:val="22"/>
          <w:i w:val="1"/>
          <w:iCs w:val="1"/>
          <w:color w:val="auto"/>
        </w:rPr>
        <w:t>The same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restrictions apply to family members of persons covered by this policy, others living in their households, and entities that are directed by or subject to their influence or control.</w:t>
      </w:r>
    </w:p>
    <w:p>
      <w:pPr>
        <w:spacing w:after="0" w:line="202" w:lineRule="exact"/>
        <w:rPr>
          <w:sz w:val="20"/>
          <w:szCs w:val="20"/>
          <w:color w:val="auto"/>
        </w:rPr>
      </w:pPr>
    </w:p>
    <w:p>
      <w:pPr>
        <w:ind w:left="1140" w:right="320" w:hanging="484"/>
        <w:spacing w:after="0" w:line="256" w:lineRule="auto"/>
        <w:tabs>
          <w:tab w:leader="none" w:pos="113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trade in Williams Securities or any derivative thereof while you possess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are aware of) Material Nonpublic Information about Williams.</w:t>
      </w:r>
    </w:p>
    <w:p>
      <w:pPr>
        <w:spacing w:after="0" w:line="1" w:lineRule="exact"/>
        <w:rPr>
          <w:rFonts w:ascii="Times New Roman" w:cs="Times New Roman" w:eastAsia="Times New Roman" w:hAnsi="Times New Roman"/>
          <w:sz w:val="22"/>
          <w:szCs w:val="22"/>
          <w:color w:val="auto"/>
        </w:rPr>
      </w:pPr>
    </w:p>
    <w:p>
      <w:pPr>
        <w:jc w:val="both"/>
        <w:ind w:left="1140" w:right="320" w:hanging="484"/>
        <w:spacing w:after="0" w:line="247" w:lineRule="auto"/>
        <w:tabs>
          <w:tab w:leader="none" w:pos="113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trade in the securities or any derivative thereof of other public companies while you possess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are aware of) Material Nonpublic Information concerning such other public companies, including those obtained in the course of your relationship with Williams.</w:t>
      </w:r>
    </w:p>
    <w:p>
      <w:pPr>
        <w:spacing w:after="0" w:line="1" w:lineRule="exact"/>
        <w:rPr>
          <w:rFonts w:ascii="Times New Roman" w:cs="Times New Roman" w:eastAsia="Times New Roman" w:hAnsi="Times New Roman"/>
          <w:sz w:val="22"/>
          <w:szCs w:val="22"/>
          <w:color w:val="auto"/>
        </w:rPr>
      </w:pPr>
    </w:p>
    <w:p>
      <w:pPr>
        <w:jc w:val="both"/>
        <w:ind w:left="1140" w:right="320" w:hanging="484"/>
        <w:spacing w:after="0" w:line="243" w:lineRule="auto"/>
        <w:tabs>
          <w:tab w:leader="none" w:pos="113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pass (or “tip”) Material Nonpublic Information on to others or recommend to anyone the purchase or sale of any Williams Securities or securities of other public companies when you are aware of such information.</w:t>
      </w:r>
    </w:p>
    <w:p>
      <w:pPr>
        <w:spacing w:after="0" w:line="1"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hold Williams Securities in a margin account or pledge Williams Securities as collateral for a loan.</w:t>
      </w:r>
    </w:p>
    <w:p>
      <w:pPr>
        <w:spacing w:after="0" w:line="5" w:lineRule="exact"/>
        <w:rPr>
          <w:rFonts w:ascii="Times New Roman" w:cs="Times New Roman" w:eastAsia="Times New Roman" w:hAnsi="Times New Roman"/>
          <w:sz w:val="22"/>
          <w:szCs w:val="22"/>
          <w:color w:val="auto"/>
        </w:rPr>
      </w:pPr>
    </w:p>
    <w:p>
      <w:pPr>
        <w:jc w:val="both"/>
        <w:ind w:left="1140" w:right="320" w:hanging="484"/>
        <w:spacing w:after="0" w:line="248" w:lineRule="auto"/>
        <w:tabs>
          <w:tab w:leader="none" w:pos="113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not engage in short sales of Williams Securities or in hedging transactions or speculative transactions involving Williams Securities, including, but not limited to, option contracts, puts, calls, straddles, collars, hedges, swaps, forward contracts, exchange funds, or any transactions that hedge or offset, or are designed to hedge or offset, any decrease in the market value of Williams Securities.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Covered Transactions</w:t>
      </w:r>
    </w:p>
    <w:p>
      <w:pPr>
        <w:spacing w:after="0" w:line="251" w:lineRule="exact"/>
        <w:rPr>
          <w:sz w:val="20"/>
          <w:szCs w:val="20"/>
          <w:color w:val="auto"/>
        </w:rPr>
      </w:pPr>
    </w:p>
    <w:p>
      <w:pPr>
        <w:jc w:val="both"/>
        <w:ind w:right="3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Transactions covered by this policy include all buying, selling, pledging, the making of gifts or charitable donations, and all other transactions in Williams Securities; </w:t>
      </w:r>
      <w:r>
        <w:rPr>
          <w:rFonts w:ascii="Times New Roman" w:cs="Times New Roman" w:eastAsia="Times New Roman" w:hAnsi="Times New Roman"/>
          <w:sz w:val="22"/>
          <w:szCs w:val="22"/>
          <w:i w:val="1"/>
          <w:iCs w:val="1"/>
          <w:u w:val="single" w:color="auto"/>
          <w:color w:val="auto"/>
        </w:rPr>
        <w:t>provided however</w:t>
      </w:r>
      <w:r>
        <w:rPr>
          <w:rFonts w:ascii="Times New Roman" w:cs="Times New Roman" w:eastAsia="Times New Roman" w:hAnsi="Times New Roman"/>
          <w:sz w:val="22"/>
          <w:szCs w:val="22"/>
          <w:color w:val="auto"/>
        </w:rPr>
        <w:t xml:space="preserve">, that the following transactions are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covered by and are therefore permitted under this policy:</w:t>
      </w:r>
    </w:p>
    <w:p>
      <w:pPr>
        <w:spacing w:after="0" w:line="213" w:lineRule="exact"/>
        <w:rPr>
          <w:sz w:val="20"/>
          <w:szCs w:val="20"/>
          <w:color w:val="auto"/>
        </w:rPr>
      </w:pPr>
    </w:p>
    <w:p>
      <w:pPr>
        <w:ind w:left="980" w:right="1000" w:hanging="324"/>
        <w:spacing w:after="0" w:line="254" w:lineRule="auto"/>
        <w:tabs>
          <w:tab w:leader="none" w:pos="97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of Williams stock options if no shares are to be sold (i.e., exercise and hold) or if there is a Net Exercise;</w:t>
      </w:r>
    </w:p>
    <w:p>
      <w:pPr>
        <w:spacing w:after="0" w:line="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of Williams stock options or restricted stock units; and</w:t>
      </w:r>
    </w:p>
    <w:p>
      <w:pPr>
        <w:spacing w:after="0" w:line="3" w:lineRule="exact"/>
        <w:rPr>
          <w:rFonts w:ascii="Times New Roman" w:cs="Times New Roman" w:eastAsia="Times New Roman" w:hAnsi="Times New Roman"/>
          <w:sz w:val="22"/>
          <w:szCs w:val="22"/>
          <w:color w:val="auto"/>
        </w:rPr>
      </w:pPr>
    </w:p>
    <w:p>
      <w:pPr>
        <w:ind w:left="980" w:right="540" w:hanging="324"/>
        <w:spacing w:after="0" w:line="261" w:lineRule="auto"/>
        <w:tabs>
          <w:tab w:leader="none" w:pos="97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withholding of shares by Williams to satisfy a tax withholding obligation upon the vesting of restricted stock units or the exercise of stock options.</w:t>
      </w:r>
    </w:p>
    <w:p>
      <w:pPr>
        <w:spacing w:after="0" w:line="263" w:lineRule="exact"/>
        <w:rPr>
          <w:sz w:val="20"/>
          <w:szCs w:val="20"/>
          <w:color w:val="auto"/>
        </w:rPr>
      </w:pPr>
    </w:p>
    <w:p>
      <w:pPr>
        <w:jc w:val="both"/>
        <w:ind w:right="3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Therefore, at any time and without preclearance you may freely exercise stock options, and not violate this policy, if such stock option exercise is accomplished via </w:t>
      </w:r>
      <w:r>
        <w:rPr>
          <w:rFonts w:ascii="Times New Roman" w:cs="Times New Roman" w:eastAsia="Times New Roman" w:hAnsi="Times New Roman"/>
          <w:sz w:val="22"/>
          <w:szCs w:val="22"/>
          <w:u w:val="single" w:color="auto"/>
          <w:color w:val="auto"/>
        </w:rPr>
        <w:t>either</w:t>
      </w:r>
      <w:r>
        <w:rPr>
          <w:rFonts w:ascii="Times New Roman" w:cs="Times New Roman" w:eastAsia="Times New Roman" w:hAnsi="Times New Roman"/>
          <w:sz w:val="22"/>
          <w:szCs w:val="22"/>
          <w:color w:val="auto"/>
        </w:rPr>
        <w:t xml:space="preserve"> an exercise and hold or a Net Exercise. However, because it involves a sale of shares into the open market, a Broker-assisted Cashless Exercise is covered by and remains subject to the terms of this policy including, if</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 of 9</w:t>
      </w:r>
    </w:p>
    <w:p>
      <w:pPr>
        <w:sectPr>
          <w:pgSz w:w="11900" w:h="16838" w:orient="portrait"/>
          <w:cols w:equalWidth="0" w:num="1">
            <w:col w:w="11240"/>
          </w:cols>
          <w:pgMar w:left="320" w:top="347"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23"/>
          <w:szCs w:val="23"/>
          <w:b w:val="1"/>
          <w:bCs w:val="1"/>
          <w:color w:val="auto"/>
        </w:rPr>
        <w:t>Exhibit 19.1</w:t>
      </w:r>
    </w:p>
    <w:p>
      <w:pPr>
        <w:spacing w:after="0" w:line="200" w:lineRule="exact"/>
        <w:rPr>
          <w:sz w:val="20"/>
          <w:szCs w:val="20"/>
          <w:color w:val="auto"/>
        </w:rPr>
      </w:pPr>
    </w:p>
    <w:p>
      <w:pPr>
        <w:spacing w:after="0" w:line="287"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22"/>
          <w:szCs w:val="22"/>
          <w:color w:val="auto"/>
        </w:rPr>
        <w:t>applicable to the option holder, exercising only during an open trading window after obtaining preclearance. The method of stock option exercise is directed by and at the discretion of the individual, and the Company does not have discretion with respect to the method of stock option exercise.</w:t>
      </w:r>
    </w:p>
    <w:p>
      <w:pPr>
        <w:spacing w:after="0" w:line="194"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Special Note Regarding the ESPP</w:t>
      </w:r>
      <w:r>
        <w:rPr>
          <w:rFonts w:ascii="Times New Roman" w:cs="Times New Roman" w:eastAsia="Times New Roman" w:hAnsi="Times New Roman"/>
          <w:sz w:val="22"/>
          <w:szCs w:val="22"/>
          <w:color w:val="auto"/>
        </w:rPr>
        <w:t>: This policy, including the blackout provision, does not apply to recurring periodic purchases of Williams common stock in the ESPP. However, this policy does apply to any: (a) election to participate in the ESPP for an enrollment period (i.e. you may not enroll when you are in possession of Material Nonpublic Information); (b) increase or decrease in your amount of periodic contributions to the ESPP; and (c) sales of Williams common stock purchased pursuant to the ESPP.</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Consequences of Non-Compliance</w:t>
      </w:r>
    </w:p>
    <w:p>
      <w:pPr>
        <w:spacing w:after="0" w:line="251"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2"/>
          <w:szCs w:val="22"/>
          <w:color w:val="auto"/>
        </w:rPr>
        <w:t>Punishment for insider trading violations by federal and state authorities is severe and could include significant fines and imprisonment, including civil penalties up to three times the profit gained or loss avoided, a criminal fine of up to $5,000,000, and a jail term of up to twenty years. The securities laws also impose potential liability on companies and other “controlling persons” if they fail to take reasonable steps to prevent insider trading by company personnel. In addition, you could be subject to disciplinary action by Williams, including dismissal, for any conduct prohibited by this policy.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Determination of Material Nonpublic Information</w:t>
      </w:r>
    </w:p>
    <w:p>
      <w:pPr>
        <w:spacing w:after="0" w:line="251" w:lineRule="exact"/>
        <w:rPr>
          <w:sz w:val="20"/>
          <w:szCs w:val="20"/>
          <w:color w:val="auto"/>
        </w:rPr>
      </w:pPr>
    </w:p>
    <w:p>
      <w:pPr>
        <w:jc w:val="both"/>
        <w:ind w:right="320" w:firstLine="648"/>
        <w:spacing w:after="0" w:line="256" w:lineRule="auto"/>
        <w:rPr>
          <w:sz w:val="20"/>
          <w:szCs w:val="20"/>
          <w:color w:val="auto"/>
        </w:rPr>
      </w:pPr>
      <w:r>
        <w:rPr>
          <w:rFonts w:ascii="Times New Roman" w:cs="Times New Roman" w:eastAsia="Times New Roman" w:hAnsi="Times New Roman"/>
          <w:sz w:val="22"/>
          <w:szCs w:val="22"/>
          <w:color w:val="auto"/>
        </w:rPr>
        <w:t>In all cases, the responsibility for determining whether an individual is in possession of Material Nonpublic Information rests with the individual. However, if you are uncertain if you possess Material Nonpublic Information, or whether a particular transaction is covered by this policy, you should consult with the Corporate Secretary at CorporateSecretary@Williams.com prior to trading.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Blackout Period</w:t>
      </w:r>
    </w:p>
    <w:p>
      <w:pPr>
        <w:spacing w:after="0" w:line="264" w:lineRule="exact"/>
        <w:rPr>
          <w:sz w:val="20"/>
          <w:szCs w:val="20"/>
          <w:color w:val="auto"/>
        </w:rPr>
      </w:pPr>
    </w:p>
    <w:p>
      <w:pPr>
        <w:jc w:val="both"/>
        <w:ind w:right="340" w:firstLine="648"/>
        <w:spacing w:after="0" w:line="254" w:lineRule="auto"/>
        <w:rPr>
          <w:sz w:val="20"/>
          <w:szCs w:val="20"/>
          <w:color w:val="auto"/>
        </w:rPr>
      </w:pPr>
      <w:r>
        <w:rPr>
          <w:rFonts w:ascii="Times New Roman" w:cs="Times New Roman" w:eastAsia="Times New Roman" w:hAnsi="Times New Roman"/>
          <w:sz w:val="22"/>
          <w:szCs w:val="22"/>
          <w:color w:val="auto"/>
        </w:rPr>
        <w:t>In addition to the general rules prohibiting trading while in possession of Material Nonpublic Information, trading in Williams Securities by (i) Directors, (ii) Executive Officers, and</w:t>
      </w:r>
    </w:p>
    <w:p>
      <w:pPr>
        <w:spacing w:after="0" w:line="2" w:lineRule="exact"/>
        <w:rPr>
          <w:sz w:val="20"/>
          <w:szCs w:val="20"/>
          <w:color w:val="auto"/>
        </w:rPr>
      </w:pPr>
    </w:p>
    <w:p>
      <w:pPr>
        <w:jc w:val="both"/>
        <w:ind w:right="320" w:firstLine="8"/>
        <w:spacing w:after="0" w:line="245" w:lineRule="auto"/>
        <w:tabs>
          <w:tab w:leader="none" w:pos="64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Employees is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permitted (i.e. a trading black out exists) during the period beginning on </w:t>
      </w:r>
      <w:r>
        <w:rPr>
          <w:rFonts w:ascii="Times New Roman" w:cs="Times New Roman" w:eastAsia="Times New Roman" w:hAnsi="Times New Roman"/>
          <w:sz w:val="22"/>
          <w:szCs w:val="22"/>
          <w:b w:val="1"/>
          <w:bCs w:val="1"/>
          <w:color w:val="auto"/>
        </w:rPr>
        <w:t>the 15th day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the last month of a financial quarter and ending one full trading day after quarterly or annual earnings are released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Williams’ position is that you may not attempt to “beat the market” by trading simultaneously with, or shortly after, the official release of what was, prior to its release, Material Nonpublic Information. Although there is no fixed period for how long it takes the market to absorb information, out of prudence, a person in possession of Material Nonpublic Information must refrain from any trading activity for one full trading day following such information’s official release. As an example, if a particular fiscal quarter ends on</w:t>
      </w:r>
    </w:p>
    <w:p>
      <w:pPr>
        <w:spacing w:after="0" w:line="1" w:lineRule="exact"/>
        <w:rPr>
          <w:rFonts w:ascii="Times New Roman" w:cs="Times New Roman" w:eastAsia="Times New Roman" w:hAnsi="Times New Roman"/>
          <w:sz w:val="22"/>
          <w:szCs w:val="22"/>
          <w:color w:val="auto"/>
        </w:rPr>
      </w:pPr>
    </w:p>
    <w:p>
      <w:pPr>
        <w:jc w:val="both"/>
        <w:ind w:right="32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September 30 and Williams’ earnings are released on Thursday, November 2 at 3:00 p.m. Central Time, trading in Williams Securities may not take place during the period beginning on September 15 and ending at the close of the trading day on Friday, November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4 of 9</w:t>
      </w:r>
    </w:p>
    <w:p>
      <w:pPr>
        <w:sectPr>
          <w:pgSz w:w="11900" w:h="16838" w:orient="portrait"/>
          <w:cols w:equalWidth="0" w:num="1">
            <w:col w:w="11240"/>
          </w:cols>
          <w:pgMar w:left="320" w:top="347"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23"/>
          <w:szCs w:val="23"/>
          <w:b w:val="1"/>
          <w:bCs w:val="1"/>
          <w:color w:val="auto"/>
        </w:rPr>
        <w:t>Exhibit 19.1</w:t>
      </w:r>
    </w:p>
    <w:p>
      <w:pPr>
        <w:spacing w:after="0" w:line="200" w:lineRule="exact"/>
        <w:rPr>
          <w:sz w:val="20"/>
          <w:szCs w:val="20"/>
          <w:color w:val="auto"/>
        </w:rPr>
      </w:pPr>
    </w:p>
    <w:p>
      <w:pPr>
        <w:spacing w:after="0" w:line="219" w:lineRule="exact"/>
        <w:rPr>
          <w:sz w:val="20"/>
          <w:szCs w:val="20"/>
          <w:color w:val="auto"/>
        </w:rPr>
      </w:pPr>
    </w:p>
    <w:p>
      <w:pPr>
        <w:jc w:val="both"/>
        <w:ind w:right="320" w:firstLine="648"/>
        <w:spacing w:after="0" w:line="271" w:lineRule="auto"/>
        <w:rPr>
          <w:sz w:val="20"/>
          <w:szCs w:val="20"/>
          <w:color w:val="auto"/>
        </w:rPr>
      </w:pPr>
      <w:r>
        <w:rPr>
          <w:rFonts w:ascii="Times New Roman" w:cs="Times New Roman" w:eastAsia="Times New Roman" w:hAnsi="Times New Roman"/>
          <w:sz w:val="22"/>
          <w:szCs w:val="22"/>
          <w:color w:val="auto"/>
        </w:rPr>
        <w:t>In addition to the standard end-of-quarter blackout periods, Williams may, from time to time, impose other blackout periods upon notice to those persons who are affected.</w:t>
      </w:r>
    </w:p>
    <w:p>
      <w:pPr>
        <w:spacing w:after="0" w:line="198"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21"/>
          <w:szCs w:val="21"/>
          <w:color w:val="auto"/>
        </w:rPr>
        <w:t>NOTE: IF YOU ARE IN POSSESSION OF MATERIAL NONPUBLIC INFORMATION OR IF YOU HAVE RECEIVED NOTIFICATION FROM WILLIAMS THAT YOU ARE IN POSSESSION OF MATERIAL NONPUBLIC INFORMATION, YOU CANNOT TRADE IN WILLIAMS SECURITIES OR SECURITIES OF ANY OTHER AFFECTED COMPANY UNTIL SUCH INFORMATION IS EITHER PUBLICLY DISCLOSED OR IS NO LONGER CONSIDERED MATERIAL.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Pre-Clearance</w:t>
      </w:r>
    </w:p>
    <w:p>
      <w:pPr>
        <w:spacing w:after="0" w:line="264" w:lineRule="exact"/>
        <w:rPr>
          <w:sz w:val="20"/>
          <w:szCs w:val="20"/>
          <w:color w:val="auto"/>
        </w:rPr>
      </w:pPr>
    </w:p>
    <w:p>
      <w:pPr>
        <w:jc w:val="both"/>
        <w:ind w:right="320" w:firstLine="648"/>
        <w:spacing w:after="0" w:line="252" w:lineRule="auto"/>
        <w:rPr>
          <w:sz w:val="20"/>
          <w:szCs w:val="20"/>
          <w:color w:val="auto"/>
        </w:rPr>
      </w:pPr>
      <w:r>
        <w:rPr>
          <w:rFonts w:ascii="Times New Roman" w:cs="Times New Roman" w:eastAsia="Times New Roman" w:hAnsi="Times New Roman"/>
          <w:sz w:val="22"/>
          <w:szCs w:val="22"/>
          <w:color w:val="auto"/>
        </w:rPr>
        <w:t>Directors, Executive Officers, and other Restricted Employees are obligated to pre-clear with the Williams Securities Trading Committee all transactions in Williams Securities, including gifts of Williams Securities. Restricted Employees who are not Directors or Executive Officers but who are subject to the pre-clearance process will be notified that they are required to pre-clear Williams Securities transactions.</w:t>
      </w:r>
    </w:p>
    <w:p>
      <w:pPr>
        <w:spacing w:after="0" w:line="20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A request for pre-clearance to either trade in or make a gift of Williams Securities should be submitted to the Corporate Secretary in advance of the proposed transaction by completing the electronic preapproval to trade request form available at https://forms.office.com/r/HzdMBiHkGC. The Corporate Secretary will then review the submitted electronic preapproval to trade request form and contact the requestor concerning whether preapproval to trade has been granted.</w:t>
      </w:r>
    </w:p>
    <w:p>
      <w:pPr>
        <w:spacing w:after="0" w:line="203"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21"/>
          <w:szCs w:val="21"/>
          <w:color w:val="auto"/>
        </w:rPr>
        <w:t>If a proposed transaction receives pre-clearance, the pre-cleared trade (including any standing or limit orders) or gift must be effected within five (5) business days of receipt of pre-clearance unless an exception is granted or the person becomes aware of Material Nonpublic Information, in which case the pre-clearance is void and the trade or gift must not be completed. Transactions not effected within the time limit would again be subject to our pre-clearance process including the submission of a new electronic preapproval to trade request form. If a person seeks pre-clearance and permission to engage in a transaction is denied, then he or she should refrain from initiating any transaction in Williams Securities, and should not inform any other person of the restriction. Note that standing limit orders are subject to the five (5) business day window.</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Pre-Arranged Trading Plans</w:t>
      </w:r>
    </w:p>
    <w:p>
      <w:pPr>
        <w:spacing w:after="0" w:line="264" w:lineRule="exact"/>
        <w:rPr>
          <w:sz w:val="20"/>
          <w:szCs w:val="20"/>
          <w:color w:val="auto"/>
        </w:rPr>
      </w:pPr>
    </w:p>
    <w:p>
      <w:pPr>
        <w:jc w:val="both"/>
        <w:ind w:right="320" w:firstLine="648"/>
        <w:spacing w:after="0" w:line="252" w:lineRule="auto"/>
        <w:rPr>
          <w:sz w:val="20"/>
          <w:szCs w:val="20"/>
          <w:color w:val="auto"/>
        </w:rPr>
      </w:pPr>
      <w:r>
        <w:rPr>
          <w:rFonts w:ascii="Times New Roman" w:cs="Times New Roman" w:eastAsia="Times New Roman" w:hAnsi="Times New Roman"/>
          <w:sz w:val="22"/>
          <w:szCs w:val="22"/>
          <w:color w:val="auto"/>
        </w:rPr>
        <w:t>Persons subject to this policy are permitted to conduct transactions pursuant to a written, pre-arranged trading plan that complies with the requirements of Rule 10b5-1(c) of the Securities Exchange Act of 1934, as amended (such trading plan is referred to as a “10b5-1 Plan”). Proper establishment of a 10b5-1 Plan provides an affirmative defense to insider trading liability.</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Establishment of a 10b5-1 Plan also offers flexibility enabling a person who would like to plan securities transactions in advance, when they are not aware of Material Nonpublic Information, and those pre-planned transactions will be executed under the 10b5-1 Plan at a later time even if such person subsequently becomes aware of Material Nonpublic Information. Any person interested in adopting a 10b5-1 Plan should contact the Corporate Secretary to discuss such plan. </w:t>
      </w:r>
      <w:r>
        <w:rPr>
          <w:rFonts w:ascii="Times New Roman" w:cs="Times New Roman" w:eastAsia="Times New Roman" w:hAnsi="Times New Roman"/>
          <w:sz w:val="22"/>
          <w:szCs w:val="22"/>
          <w:u w:val="single" w:color="auto"/>
          <w:color w:val="auto"/>
        </w:rPr>
        <w:t>Transactions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5 of 9</w:t>
      </w:r>
    </w:p>
    <w:p>
      <w:pPr>
        <w:sectPr>
          <w:pgSz w:w="11900" w:h="16838" w:orient="portrait"/>
          <w:cols w:equalWidth="0" w:num="1">
            <w:col w:w="11240"/>
          </w:cols>
          <w:pgMar w:left="320" w:top="347"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3"/>
          <w:szCs w:val="23"/>
          <w:b w:val="1"/>
          <w:bCs w:val="1"/>
          <w:color w:val="auto"/>
        </w:rPr>
        <w:t>Exhibit 19.1</w:t>
      </w:r>
    </w:p>
    <w:p>
      <w:pPr>
        <w:spacing w:after="0" w:line="200" w:lineRule="exact"/>
        <w:rPr>
          <w:sz w:val="20"/>
          <w:szCs w:val="20"/>
          <w:color w:val="auto"/>
        </w:rPr>
      </w:pP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executed in accordance with an adopted 10b5-1 Plan that complies with this policy will be deemed made in accordance with the requirements of this policy</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Williams’ process requirements and additional information related to 10b5-1 Plans is as follows:</w:t>
      </w:r>
    </w:p>
    <w:p>
      <w:pPr>
        <w:spacing w:after="0" w:line="247"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22"/>
          <w:szCs w:val="22"/>
          <w:u w:val="single" w:color="auto"/>
          <w:color w:val="auto"/>
        </w:rPr>
        <w:t>Preparation of a 10b5-1 Plan</w:t>
      </w:r>
      <w:r>
        <w:rPr>
          <w:rFonts w:ascii="Times New Roman" w:cs="Times New Roman" w:eastAsia="Times New Roman" w:hAnsi="Times New Roman"/>
          <w:sz w:val="22"/>
          <w:szCs w:val="22"/>
          <w:color w:val="auto"/>
        </w:rPr>
        <w:t>. In consultation with the person requesting a 10b5-1 Plan, such plan is prepared by the proposed trading broker (e.g., Fidelity). Williams does not prepare 10b5-1 Plans for any individual. Once the 10b5-1 Plan is prepared, it must be submitted by the broker to the parties for electronic execution.</w:t>
      </w:r>
    </w:p>
    <w:p>
      <w:pPr>
        <w:spacing w:after="0" w:line="200"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22"/>
          <w:szCs w:val="22"/>
          <w:u w:val="single" w:color="auto"/>
          <w:color w:val="auto"/>
        </w:rPr>
        <w:t>Adoption of a 10b5-1 Plan</w:t>
      </w:r>
      <w:r>
        <w:rPr>
          <w:rFonts w:ascii="Times New Roman" w:cs="Times New Roman" w:eastAsia="Times New Roman" w:hAnsi="Times New Roman"/>
          <w:sz w:val="22"/>
          <w:szCs w:val="22"/>
          <w:color w:val="auto"/>
        </w:rPr>
        <w:t>. Williams considers a 10b5-1 Plan to be adopted when a 10b5-1 Plan is executed by each of (i) the person seeking to rely on the plan, (ii) the trading broker and (iii) the Corporate Secretary or his or her designee. Williams requires that all 10b5-1 Plans, including any modifications to any such plan, be reviewed and, as evidenced by execution, pre-approved by the Corporate Secretary or his or her designee.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Timing of Adoption</w:t>
      </w:r>
      <w:r>
        <w:rPr>
          <w:rFonts w:ascii="Times New Roman" w:cs="Times New Roman" w:eastAsia="Times New Roman" w:hAnsi="Times New Roman"/>
          <w:sz w:val="22"/>
          <w:szCs w:val="22"/>
          <w:color w:val="auto"/>
        </w:rPr>
        <w:t>. Subject to not being aware of Material Nonpublic Information:</w:t>
      </w:r>
    </w:p>
    <w:p>
      <w:pPr>
        <w:spacing w:after="0" w:line="58" w:lineRule="exact"/>
        <w:rPr>
          <w:sz w:val="20"/>
          <w:szCs w:val="20"/>
          <w:color w:val="auto"/>
        </w:rPr>
      </w:pPr>
    </w:p>
    <w:p>
      <w:pPr>
        <w:ind w:left="980" w:right="340" w:hanging="324"/>
        <w:spacing w:after="0" w:line="255" w:lineRule="auto"/>
        <w:tabs>
          <w:tab w:leader="none" w:pos="975"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Directors, Executive Officers, and other Restricted Employees may adopt a 10b5-1 Plan during an open trading window (i.e. not during a blackout period as discussed above).</w:t>
      </w:r>
    </w:p>
    <w:p>
      <w:pPr>
        <w:spacing w:after="0" w:line="1"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persons may adopt a 10b5-1 Plan at any time.</w:t>
      </w:r>
    </w:p>
    <w:p>
      <w:pPr>
        <w:spacing w:after="0" w:line="275"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22"/>
          <w:szCs w:val="22"/>
          <w:u w:val="single" w:color="auto"/>
          <w:color w:val="auto"/>
        </w:rPr>
        <w:t>Representations and Certifications Made to Williams</w:t>
      </w:r>
      <w:r>
        <w:rPr>
          <w:rFonts w:ascii="Times New Roman" w:cs="Times New Roman" w:eastAsia="Times New Roman" w:hAnsi="Times New Roman"/>
          <w:sz w:val="22"/>
          <w:szCs w:val="22"/>
          <w:color w:val="auto"/>
        </w:rPr>
        <w:t>. Any representation or certification contained in a 10b5-1 Plan and given to the executing broker, including those listed in the table below, will also be deemed to be given to Williams. Williams intends to and will rely on such representation or certification, regardless of whether the language in a representation or certification included in a 10b5-1 Plans mentions Williams.</w:t>
      </w:r>
    </w:p>
    <w:p>
      <w:pPr>
        <w:spacing w:after="0" w:line="257" w:lineRule="exact"/>
        <w:rPr>
          <w:sz w:val="20"/>
          <w:szCs w:val="20"/>
          <w:color w:val="auto"/>
        </w:rPr>
      </w:pPr>
    </w:p>
    <w:p>
      <w:pPr>
        <w:jc w:val="both"/>
        <w:ind w:right="320"/>
        <w:spacing w:after="0" w:line="251" w:lineRule="auto"/>
        <w:rPr>
          <w:sz w:val="20"/>
          <w:szCs w:val="20"/>
          <w:color w:val="auto"/>
        </w:rPr>
      </w:pPr>
      <w:r>
        <w:rPr>
          <w:rFonts w:ascii="Times New Roman" w:cs="Times New Roman" w:eastAsia="Times New Roman" w:hAnsi="Times New Roman"/>
          <w:sz w:val="22"/>
          <w:szCs w:val="22"/>
          <w:u w:val="single" w:color="auto"/>
          <w:color w:val="auto"/>
        </w:rPr>
        <w:t>Cooling-off Periods</w:t>
      </w:r>
      <w:r>
        <w:rPr>
          <w:rFonts w:ascii="Times New Roman" w:cs="Times New Roman" w:eastAsia="Times New Roman" w:hAnsi="Times New Roman"/>
          <w:sz w:val="22"/>
          <w:szCs w:val="22"/>
          <w:color w:val="auto"/>
        </w:rPr>
        <w:t>. All 10b5-1 Plans must account for the applicable SEC “cooling-off” period. A cooling-off period is a period of time that must elapse prior to the first trade under a 10b5-1 Plan. A cooling off period begins either (i) at the time a 10b5-1 Plan is adopted or (ii) if a 10b5-1 Plan is already in existence, at the time of any modification, regardless of materiality, of the amount, price, or timing (or, if applicable, the written formula or algorithm) in the existing plan (any such modification, a “Covered Modification”). As stated in the table below, the duration of the applicable cooling-off period depends on the status of the person adopting the 10b5-1 Plan.</w:t>
      </w: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sets out additional, applicable 10b5-1 Plan requirements to rely on the affirmative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6 of 9</w:t>
      </w:r>
    </w:p>
    <w:p>
      <w:pPr>
        <w:sectPr>
          <w:pgSz w:w="11900" w:h="16838" w:orient="portrait"/>
          <w:cols w:equalWidth="0" w:num="1">
            <w:col w:w="11240"/>
          </w:cols>
          <w:pgMar w:left="320" w:top="347"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3"/>
          <w:szCs w:val="23"/>
          <w:b w:val="1"/>
          <w:bCs w:val="1"/>
          <w:color w:val="auto"/>
        </w:rPr>
        <w:t>Exhibit 19.1</w:t>
      </w: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80" w:type="dxa"/>
            <w:vAlign w:val="bottom"/>
            <w:tcBorders>
              <w:top w:val="single" w:sz="8" w:color="auto"/>
              <w:left w:val="single" w:sz="8" w:color="auto"/>
            </w:tcBorders>
          </w:tcPr>
          <w:p>
            <w:pPr>
              <w:spacing w:after="0"/>
              <w:rPr>
                <w:sz w:val="21"/>
                <w:szCs w:val="21"/>
                <w:color w:val="auto"/>
              </w:rPr>
            </w:pPr>
          </w:p>
        </w:tc>
        <w:tc>
          <w:tcPr>
            <w:tcW w:w="900" w:type="dxa"/>
            <w:vAlign w:val="bottom"/>
            <w:tcBorders>
              <w:top w:val="single" w:sz="8" w:color="auto"/>
              <w:right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360" w:type="dxa"/>
            <w:vAlign w:val="bottom"/>
            <w:tcBorders>
              <w:top w:val="single" w:sz="8" w:color="auto"/>
              <w:right w:val="single" w:sz="8" w:color="auto"/>
            </w:tcBorders>
            <w:gridSpan w:val="6"/>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Directors and Executive Officers</w:t>
            </w:r>
          </w:p>
        </w:tc>
        <w:tc>
          <w:tcPr>
            <w:tcW w:w="2300" w:type="dxa"/>
            <w:vAlign w:val="bottom"/>
            <w:tcBorders>
              <w:top w:val="single" w:sz="8" w:color="auto"/>
              <w:right w:val="single" w:sz="8" w:color="auto"/>
            </w:tcBorders>
            <w:gridSpan w:val="3"/>
          </w:tcPr>
          <w:p>
            <w:pPr>
              <w:jc w:val="center"/>
              <w:ind w:right="40"/>
              <w:spacing w:after="0" w:line="229" w:lineRule="exact"/>
              <w:rPr>
                <w:sz w:val="20"/>
                <w:szCs w:val="20"/>
                <w:color w:val="auto"/>
              </w:rPr>
            </w:pPr>
            <w:r>
              <w:rPr>
                <w:rFonts w:ascii="Times New Roman" w:cs="Times New Roman" w:eastAsia="Times New Roman" w:hAnsi="Times New Roman"/>
                <w:sz w:val="22"/>
                <w:szCs w:val="22"/>
                <w:b w:val="1"/>
                <w:bCs w:val="1"/>
                <w:color w:val="auto"/>
                <w:w w:val="99"/>
              </w:rPr>
              <w:t>Other Persons</w:t>
            </w:r>
          </w:p>
        </w:tc>
        <w:tc>
          <w:tcPr>
            <w:tcW w:w="660" w:type="dxa"/>
            <w:vAlign w:val="bottom"/>
            <w:tcBorders>
              <w:top w:val="single" w:sz="8" w:color="auto"/>
            </w:tcBorders>
          </w:tcPr>
          <w:p>
            <w:pPr>
              <w:spacing w:after="0"/>
              <w:rPr>
                <w:sz w:val="21"/>
                <w:szCs w:val="21"/>
                <w:color w:val="auto"/>
              </w:rPr>
            </w:pPr>
          </w:p>
        </w:tc>
        <w:tc>
          <w:tcPr>
            <w:tcW w:w="214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b w:val="1"/>
                <w:bCs w:val="1"/>
                <w:color w:val="auto"/>
              </w:rPr>
              <w:t>Williams</w:t>
            </w:r>
          </w:p>
        </w:tc>
        <w:tc>
          <w:tcPr>
            <w:tcW w:w="0" w:type="dxa"/>
            <w:vAlign w:val="bottom"/>
          </w:tcPr>
          <w:p>
            <w:pPr>
              <w:spacing w:after="0"/>
              <w:rPr>
                <w:sz w:val="1"/>
                <w:szCs w:val="1"/>
                <w:color w:val="auto"/>
              </w:rPr>
            </w:pPr>
          </w:p>
        </w:tc>
      </w:tr>
      <w:tr>
        <w:trPr>
          <w:trHeight w:val="27"/>
        </w:trPr>
        <w:tc>
          <w:tcPr>
            <w:tcW w:w="1280" w:type="dxa"/>
            <w:vAlign w:val="bottom"/>
            <w:tcBorders>
              <w:lef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30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b w:val="1"/>
                <w:bCs w:val="1"/>
                <w:color w:val="auto"/>
                <w:w w:val="99"/>
              </w:rPr>
              <w:t>(Including Other</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8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230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Restricted Employees</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840" w:type="dxa"/>
            <w:vAlign w:val="bottom"/>
            <w:tcBorders>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7"/>
              </w:rPr>
              <w:t>but Excluding</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12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40" w:type="dxa"/>
            <w:vAlign w:val="bottom"/>
            <w:tcBorders>
              <w:bottom w:val="single" w:sz="8" w:color="auto"/>
              <w:right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22"/>
                <w:szCs w:val="22"/>
                <w:b w:val="1"/>
                <w:bCs w:val="1"/>
                <w:color w:val="auto"/>
                <w:w w:val="98"/>
              </w:rPr>
              <w:t>Williams)</w:t>
            </w: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General Condition:</w:t>
            </w:r>
          </w:p>
        </w:tc>
        <w:tc>
          <w:tcPr>
            <w:tcW w:w="8680" w:type="dxa"/>
            <w:vAlign w:val="bottom"/>
            <w:tcBorders>
              <w:right w:val="single" w:sz="8" w:color="auto"/>
            </w:tcBorders>
            <w:gridSpan w:val="13"/>
          </w:tcPr>
          <w:p>
            <w:pPr>
              <w:ind w:left="60"/>
              <w:spacing w:after="0"/>
              <w:rPr>
                <w:sz w:val="20"/>
                <w:szCs w:val="20"/>
                <w:color w:val="auto"/>
              </w:rPr>
            </w:pPr>
            <w:r>
              <w:rPr>
                <w:rFonts w:ascii="Times New Roman" w:cs="Times New Roman" w:eastAsia="Times New Roman" w:hAnsi="Times New Roman"/>
                <w:sz w:val="22"/>
                <w:szCs w:val="22"/>
                <w:color w:val="auto"/>
              </w:rPr>
              <w:t>All persons adopting a 10b5-1 Plan must not be aware of Material Nonpublic Information at the</w:t>
            </w:r>
          </w:p>
        </w:tc>
        <w:tc>
          <w:tcPr>
            <w:tcW w:w="0" w:type="dxa"/>
            <w:vAlign w:val="bottom"/>
          </w:tcPr>
          <w:p>
            <w:pPr>
              <w:spacing w:after="0"/>
              <w:rPr>
                <w:sz w:val="1"/>
                <w:szCs w:val="1"/>
                <w:color w:val="auto"/>
              </w:rPr>
            </w:pPr>
          </w:p>
        </w:tc>
      </w:tr>
      <w:tr>
        <w:trPr>
          <w:trHeight w:val="270"/>
        </w:trPr>
        <w:tc>
          <w:tcPr>
            <w:tcW w:w="218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Not Aware of Material</w:t>
            </w:r>
          </w:p>
        </w:tc>
        <w:tc>
          <w:tcPr>
            <w:tcW w:w="358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time such plan is adopted.</w:t>
            </w: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Nonpublic</w:t>
            </w:r>
          </w:p>
        </w:tc>
        <w:tc>
          <w:tcPr>
            <w:tcW w:w="90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2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Information</w:t>
            </w:r>
          </w:p>
        </w:tc>
        <w:tc>
          <w:tcPr>
            <w:tcW w:w="9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General Good Faith</w:t>
            </w:r>
          </w:p>
        </w:tc>
        <w:tc>
          <w:tcPr>
            <w:tcW w:w="8680" w:type="dxa"/>
            <w:vAlign w:val="bottom"/>
            <w:tcBorders>
              <w:right w:val="single" w:sz="8" w:color="auto"/>
            </w:tcBorders>
            <w:gridSpan w:val="13"/>
          </w:tcPr>
          <w:p>
            <w:pPr>
              <w:ind w:left="60"/>
              <w:spacing w:after="0"/>
              <w:rPr>
                <w:sz w:val="20"/>
                <w:szCs w:val="20"/>
                <w:color w:val="auto"/>
              </w:rPr>
            </w:pPr>
            <w:r>
              <w:rPr>
                <w:rFonts w:ascii="Times New Roman" w:cs="Times New Roman" w:eastAsia="Times New Roman" w:hAnsi="Times New Roman"/>
                <w:sz w:val="22"/>
                <w:szCs w:val="22"/>
                <w:color w:val="auto"/>
              </w:rPr>
              <w:t>All persons adopting a 10b5-1 Plan must act in good faith with respect to that plan. This must be</w:t>
            </w:r>
          </w:p>
        </w:tc>
        <w:tc>
          <w:tcPr>
            <w:tcW w:w="0" w:type="dxa"/>
            <w:vAlign w:val="bottom"/>
          </w:tcPr>
          <w:p>
            <w:pPr>
              <w:spacing w:after="0"/>
              <w:rPr>
                <w:sz w:val="1"/>
                <w:szCs w:val="1"/>
                <w:color w:val="auto"/>
              </w:rPr>
            </w:pPr>
          </w:p>
        </w:tc>
      </w:tr>
      <w:tr>
        <w:trPr>
          <w:trHeight w:val="291"/>
        </w:trPr>
        <w:tc>
          <w:tcPr>
            <w:tcW w:w="128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Condition</w:t>
            </w:r>
          </w:p>
        </w:tc>
        <w:tc>
          <w:tcPr>
            <w:tcW w:w="900" w:type="dxa"/>
            <w:vAlign w:val="bottom"/>
            <w:tcBorders>
              <w:bottom w:val="single" w:sz="8" w:color="auto"/>
              <w:right w:val="single" w:sz="8" w:color="auto"/>
            </w:tcBorders>
          </w:tcPr>
          <w:p>
            <w:pPr>
              <w:spacing w:after="0"/>
              <w:rPr>
                <w:sz w:val="24"/>
                <w:szCs w:val="24"/>
                <w:color w:val="auto"/>
              </w:rPr>
            </w:pPr>
          </w:p>
        </w:tc>
        <w:tc>
          <w:tcPr>
            <w:tcW w:w="8680" w:type="dxa"/>
            <w:vAlign w:val="bottom"/>
            <w:tcBorders>
              <w:bottom w:val="single" w:sz="8" w:color="auto"/>
              <w:right w:val="single" w:sz="8" w:color="auto"/>
            </w:tcBorders>
            <w:gridSpan w:val="13"/>
          </w:tcPr>
          <w:p>
            <w:pPr>
              <w:ind w:left="60"/>
              <w:spacing w:after="0"/>
              <w:rPr>
                <w:sz w:val="20"/>
                <w:szCs w:val="20"/>
                <w:color w:val="auto"/>
              </w:rPr>
            </w:pPr>
            <w:r>
              <w:rPr>
                <w:rFonts w:ascii="Times New Roman" w:cs="Times New Roman" w:eastAsia="Times New Roman" w:hAnsi="Times New Roman"/>
                <w:sz w:val="22"/>
                <w:szCs w:val="22"/>
                <w:color w:val="auto"/>
                <w:w w:val="99"/>
              </w:rPr>
              <w:t>true as of the time of adoption of the plan and is also required throughout the duration of the plan.</w:t>
            </w:r>
          </w:p>
        </w:tc>
        <w:tc>
          <w:tcPr>
            <w:tcW w:w="0" w:type="dxa"/>
            <w:vAlign w:val="bottom"/>
          </w:tcPr>
          <w:p>
            <w:pPr>
              <w:spacing w:after="0"/>
              <w:rPr>
                <w:sz w:val="1"/>
                <w:szCs w:val="1"/>
                <w:color w:val="auto"/>
              </w:rPr>
            </w:pPr>
          </w:p>
        </w:tc>
      </w:tr>
      <w:tr>
        <w:trPr>
          <w:trHeight w:val="229"/>
        </w:trPr>
        <w:tc>
          <w:tcPr>
            <w:tcW w:w="2180" w:type="dxa"/>
            <w:vAlign w:val="bottom"/>
            <w:tcBorders>
              <w:left w:val="single" w:sz="8" w:color="auto"/>
              <w:right w:val="single" w:sz="8" w:color="auto"/>
            </w:tcBorders>
            <w:gridSpan w:val="2"/>
          </w:tcPr>
          <w:p>
            <w:pPr>
              <w:ind w:left="80"/>
              <w:spacing w:after="0" w:line="209" w:lineRule="exact"/>
              <w:rPr>
                <w:sz w:val="20"/>
                <w:szCs w:val="20"/>
                <w:color w:val="auto"/>
              </w:rPr>
            </w:pPr>
            <w:r>
              <w:rPr>
                <w:rFonts w:ascii="Times New Roman" w:cs="Times New Roman" w:eastAsia="Times New Roman" w:hAnsi="Times New Roman"/>
                <w:sz w:val="22"/>
                <w:szCs w:val="22"/>
                <w:color w:val="auto"/>
              </w:rPr>
              <w:t>Cooling-off Period</w:t>
            </w:r>
          </w:p>
        </w:tc>
        <w:tc>
          <w:tcPr>
            <w:tcW w:w="3580" w:type="dxa"/>
            <w:vAlign w:val="bottom"/>
            <w:tcBorders>
              <w:right w:val="single" w:sz="8" w:color="auto"/>
            </w:tcBorders>
            <w:gridSpan w:val="7"/>
          </w:tcPr>
          <w:p>
            <w:pPr>
              <w:ind w:left="60"/>
              <w:spacing w:after="0" w:line="209" w:lineRule="exact"/>
              <w:rPr>
                <w:sz w:val="20"/>
                <w:szCs w:val="20"/>
                <w:color w:val="auto"/>
              </w:rPr>
            </w:pPr>
            <w:r>
              <w:rPr>
                <w:rFonts w:ascii="Times New Roman" w:cs="Times New Roman" w:eastAsia="Times New Roman" w:hAnsi="Times New Roman"/>
                <w:sz w:val="22"/>
                <w:szCs w:val="22"/>
                <w:color w:val="auto"/>
              </w:rPr>
              <w:t>The later of:</w:t>
            </w:r>
          </w:p>
        </w:tc>
        <w:tc>
          <w:tcPr>
            <w:tcW w:w="2300" w:type="dxa"/>
            <w:vAlign w:val="bottom"/>
            <w:tcBorders>
              <w:right w:val="single" w:sz="8" w:color="auto"/>
            </w:tcBorders>
            <w:gridSpan w:val="3"/>
          </w:tcPr>
          <w:p>
            <w:pPr>
              <w:ind w:left="60"/>
              <w:spacing w:after="0" w:line="209" w:lineRule="exact"/>
              <w:rPr>
                <w:sz w:val="20"/>
                <w:szCs w:val="20"/>
                <w:color w:val="auto"/>
              </w:rPr>
            </w:pPr>
            <w:r>
              <w:rPr>
                <w:rFonts w:ascii="Times New Roman" w:cs="Times New Roman" w:eastAsia="Times New Roman" w:hAnsi="Times New Roman"/>
                <w:sz w:val="22"/>
                <w:szCs w:val="22"/>
                <w:color w:val="auto"/>
              </w:rPr>
              <w:t>30 days following</w:t>
            </w:r>
          </w:p>
        </w:tc>
        <w:tc>
          <w:tcPr>
            <w:tcW w:w="2800" w:type="dxa"/>
            <w:vAlign w:val="bottom"/>
            <w:tcBorders>
              <w:right w:val="single" w:sz="8" w:color="auto"/>
            </w:tcBorders>
            <w:gridSpan w:val="3"/>
          </w:tcPr>
          <w:p>
            <w:pPr>
              <w:ind w:left="60"/>
              <w:spacing w:after="0" w:line="209" w:lineRule="exact"/>
              <w:rPr>
                <w:sz w:val="20"/>
                <w:szCs w:val="20"/>
                <w:color w:val="auto"/>
              </w:rPr>
            </w:pPr>
            <w:r>
              <w:rPr>
                <w:rFonts w:ascii="Times New Roman" w:cs="Times New Roman" w:eastAsia="Times New Roman" w:hAnsi="Times New Roman"/>
                <w:sz w:val="22"/>
                <w:szCs w:val="22"/>
                <w:color w:val="auto"/>
              </w:rPr>
              <w:t>None. However, if the SEC</w:t>
            </w:r>
          </w:p>
        </w:tc>
        <w:tc>
          <w:tcPr>
            <w:tcW w:w="0" w:type="dxa"/>
            <w:vAlign w:val="bottom"/>
          </w:tcPr>
          <w:p>
            <w:pPr>
              <w:spacing w:after="0"/>
              <w:rPr>
                <w:sz w:val="1"/>
                <w:szCs w:val="1"/>
                <w:color w:val="auto"/>
              </w:rPr>
            </w:pPr>
          </w:p>
        </w:tc>
      </w:tr>
      <w:tr>
        <w:trPr>
          <w:trHeight w:val="20"/>
        </w:trPr>
        <w:tc>
          <w:tcPr>
            <w:tcW w:w="1280" w:type="dxa"/>
            <w:vAlign w:val="bottom"/>
            <w:tcBorders>
              <w:left w:val="single" w:sz="8" w:color="auto"/>
            </w:tcBorders>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520" w:type="dxa"/>
            <w:vAlign w:val="bottom"/>
            <w:tcBorders>
              <w:right w:val="single" w:sz="8" w:color="auto"/>
            </w:tcBorders>
            <w:gridSpan w:val="4"/>
          </w:tcPr>
          <w:p>
            <w:pPr>
              <w:spacing w:after="0" w:line="20" w:lineRule="exact"/>
              <w:rPr>
                <w:sz w:val="1"/>
                <w:szCs w:val="1"/>
                <w:color w:val="auto"/>
              </w:rPr>
            </w:pPr>
          </w:p>
        </w:tc>
        <w:tc>
          <w:tcPr>
            <w:tcW w:w="230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adoption of a new 10b5-</w:t>
            </w:r>
          </w:p>
        </w:tc>
        <w:tc>
          <w:tcPr>
            <w:tcW w:w="280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subsequently makes issuers</w:t>
            </w:r>
          </w:p>
        </w:tc>
        <w:tc>
          <w:tcPr>
            <w:tcW w:w="0" w:type="dxa"/>
            <w:vAlign w:val="bottom"/>
          </w:tcPr>
          <w:p>
            <w:pPr>
              <w:spacing w:after="0" w:line="20" w:lineRule="exact"/>
              <w:rPr>
                <w:sz w:val="1"/>
                <w:szCs w:val="1"/>
                <w:color w:val="auto"/>
              </w:rPr>
            </w:pPr>
          </w:p>
        </w:tc>
      </w:tr>
      <w:tr>
        <w:trPr>
          <w:trHeight w:val="290"/>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w:t>
            </w:r>
          </w:p>
        </w:tc>
        <w:tc>
          <w:tcPr>
            <w:tcW w:w="3140" w:type="dxa"/>
            <w:vAlign w:val="bottom"/>
            <w:tcBorders>
              <w:right w:val="single" w:sz="8" w:color="auto"/>
            </w:tcBorders>
            <w:gridSpan w:val="5"/>
          </w:tcPr>
          <w:p>
            <w:pPr>
              <w:ind w:left="220"/>
              <w:spacing w:after="0"/>
              <w:rPr>
                <w:sz w:val="20"/>
                <w:szCs w:val="20"/>
                <w:color w:val="auto"/>
              </w:rPr>
            </w:pPr>
            <w:r>
              <w:rPr>
                <w:rFonts w:ascii="Times New Roman" w:cs="Times New Roman" w:eastAsia="Times New Roman" w:hAnsi="Times New Roman"/>
                <w:sz w:val="22"/>
                <w:szCs w:val="22"/>
                <w:color w:val="auto"/>
              </w:rPr>
              <w:t>90 days following the</w:t>
            </w:r>
          </w:p>
        </w:tc>
        <w:tc>
          <w:tcPr>
            <w:tcW w:w="2300" w:type="dxa"/>
            <w:vAlign w:val="bottom"/>
            <w:tcBorders>
              <w:right w:val="single" w:sz="8" w:color="auto"/>
            </w:tcBorders>
            <w:gridSpan w:val="3"/>
            <w:vMerge w:val="continue"/>
          </w:tcPr>
          <w:p>
            <w:pPr>
              <w:spacing w:after="0"/>
              <w:rPr>
                <w:sz w:val="24"/>
                <w:szCs w:val="24"/>
                <w:color w:val="auto"/>
              </w:rPr>
            </w:pPr>
          </w:p>
        </w:tc>
        <w:tc>
          <w:tcPr>
            <w:tcW w:w="2800" w:type="dxa"/>
            <w:vAlign w:val="bottom"/>
            <w:tcBorders>
              <w:right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adoption or Covered Modification</w:t>
            </w:r>
          </w:p>
        </w:tc>
        <w:tc>
          <w:tcPr>
            <w:tcW w:w="23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1 Plan or a Covered</w:t>
            </w:r>
          </w:p>
        </w:tc>
        <w:tc>
          <w:tcPr>
            <w:tcW w:w="28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subject to a cooling-off</w:t>
            </w: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of a 10b5-1 Plan; or</w:t>
            </w:r>
          </w:p>
        </w:tc>
        <w:tc>
          <w:tcPr>
            <w:tcW w:w="23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Modification of an</w:t>
            </w:r>
          </w:p>
        </w:tc>
        <w:tc>
          <w:tcPr>
            <w:tcW w:w="28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period, any 10b5-1 Plan</w:t>
            </w:r>
          </w:p>
        </w:tc>
        <w:tc>
          <w:tcPr>
            <w:tcW w:w="0" w:type="dxa"/>
            <w:vAlign w:val="bottom"/>
          </w:tcPr>
          <w:p>
            <w:pPr>
              <w:spacing w:after="0"/>
              <w:rPr>
                <w:sz w:val="1"/>
                <w:szCs w:val="1"/>
                <w:color w:val="auto"/>
              </w:rPr>
            </w:pPr>
          </w:p>
        </w:tc>
      </w:tr>
      <w:tr>
        <w:trPr>
          <w:trHeight w:val="310"/>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(ii)</w:t>
            </w:r>
          </w:p>
        </w:tc>
        <w:tc>
          <w:tcPr>
            <w:tcW w:w="314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two business days following the</w:t>
            </w:r>
          </w:p>
        </w:tc>
        <w:tc>
          <w:tcPr>
            <w:tcW w:w="23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existing 10b5-1 Plan.</w:t>
            </w:r>
          </w:p>
        </w:tc>
        <w:tc>
          <w:tcPr>
            <w:tcW w:w="28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adopted by Williams will be</w:t>
            </w:r>
          </w:p>
        </w:tc>
        <w:tc>
          <w:tcPr>
            <w:tcW w:w="0" w:type="dxa"/>
            <w:vAlign w:val="bottom"/>
          </w:tcPr>
          <w:p>
            <w:pPr>
              <w:spacing w:after="0"/>
              <w:rPr>
                <w:sz w:val="1"/>
                <w:szCs w:val="1"/>
                <w:color w:val="auto"/>
              </w:rPr>
            </w:pPr>
          </w:p>
        </w:tc>
      </w:tr>
      <w:tr>
        <w:trPr>
          <w:trHeight w:val="202"/>
        </w:trPr>
        <w:tc>
          <w:tcPr>
            <w:tcW w:w="1280" w:type="dxa"/>
            <w:vAlign w:val="bottom"/>
            <w:tcBorders>
              <w:lef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gridSpan w:val="7"/>
            <w:vMerge w:val="restart"/>
          </w:tcPr>
          <w:p>
            <w:pPr>
              <w:ind w:left="60"/>
              <w:spacing w:after="0"/>
              <w:rPr>
                <w:sz w:val="20"/>
                <w:szCs w:val="20"/>
                <w:color w:val="auto"/>
              </w:rPr>
            </w:pPr>
            <w:r>
              <w:rPr>
                <w:rFonts w:ascii="Times New Roman" w:cs="Times New Roman" w:eastAsia="Times New Roman" w:hAnsi="Times New Roman"/>
                <w:sz w:val="22"/>
                <w:szCs w:val="22"/>
                <w:color w:val="auto"/>
              </w:rPr>
              <w:t>disclosure of the Williams’ financial</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2800" w:type="dxa"/>
            <w:vAlign w:val="bottom"/>
            <w:tcBorders>
              <w:right w:val="single" w:sz="8" w:color="auto"/>
            </w:tcBorders>
            <w:gridSpan w:val="3"/>
          </w:tcPr>
          <w:p>
            <w:pPr>
              <w:ind w:left="60"/>
              <w:spacing w:after="0" w:line="202" w:lineRule="exact"/>
              <w:rPr>
                <w:sz w:val="20"/>
                <w:szCs w:val="20"/>
                <w:color w:val="auto"/>
              </w:rPr>
            </w:pPr>
            <w:r>
              <w:rPr>
                <w:rFonts w:ascii="Times New Roman" w:cs="Times New Roman" w:eastAsia="Times New Roman" w:hAnsi="Times New Roman"/>
                <w:sz w:val="22"/>
                <w:szCs w:val="22"/>
                <w:color w:val="auto"/>
              </w:rPr>
              <w:t>adhere to such cooling-off</w:t>
            </w:r>
          </w:p>
        </w:tc>
        <w:tc>
          <w:tcPr>
            <w:tcW w:w="0" w:type="dxa"/>
            <w:vAlign w:val="bottom"/>
          </w:tcPr>
          <w:p>
            <w:pPr>
              <w:spacing w:after="0"/>
              <w:rPr>
                <w:sz w:val="1"/>
                <w:szCs w:val="1"/>
                <w:color w:val="auto"/>
              </w:rPr>
            </w:pPr>
          </w:p>
        </w:tc>
      </w:tr>
      <w:tr>
        <w:trPr>
          <w:trHeight w:val="94"/>
        </w:trPr>
        <w:tc>
          <w:tcPr>
            <w:tcW w:w="1280" w:type="dxa"/>
            <w:vAlign w:val="bottom"/>
            <w:tcBorders>
              <w:lef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3580" w:type="dxa"/>
            <w:vAlign w:val="bottom"/>
            <w:tcBorders>
              <w:right w:val="single" w:sz="8" w:color="auto"/>
            </w:tcBorders>
            <w:gridSpan w:val="7"/>
            <w:vMerge w:val="continue"/>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period.</w:t>
            </w: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gridSpan w:val="7"/>
            <w:vMerge w:val="restart"/>
          </w:tcPr>
          <w:p>
            <w:pPr>
              <w:ind w:left="60"/>
              <w:spacing w:after="0"/>
              <w:rPr>
                <w:sz w:val="20"/>
                <w:szCs w:val="20"/>
                <w:color w:val="auto"/>
              </w:rPr>
            </w:pPr>
            <w:r>
              <w:rPr>
                <w:rFonts w:ascii="Times New Roman" w:cs="Times New Roman" w:eastAsia="Times New Roman" w:hAnsi="Times New Roman"/>
                <w:sz w:val="22"/>
                <w:szCs w:val="22"/>
                <w:color w:val="auto"/>
              </w:rPr>
              <w:t>results in either Williams’ Form 10-Q</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280" w:type="dxa"/>
            <w:vAlign w:val="bottom"/>
            <w:tcBorders>
              <w:lef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3580" w:type="dxa"/>
            <w:vAlign w:val="bottom"/>
            <w:tcBorders>
              <w:right w:val="single" w:sz="8" w:color="auto"/>
            </w:tcBorders>
            <w:gridSpan w:val="7"/>
            <w:vMerge w:val="continue"/>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or 10-K for the fiscal quarter in which</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80" w:type="dxa"/>
            <w:vAlign w:val="bottom"/>
            <w:tcBorders>
              <w:left w:val="single" w:sz="8" w:color="auto"/>
            </w:tcBorders>
          </w:tcPr>
          <w:p>
            <w:pPr>
              <w:spacing w:after="0"/>
              <w:rPr>
                <w:sz w:val="23"/>
                <w:szCs w:val="23"/>
                <w:color w:val="auto"/>
              </w:rPr>
            </w:pPr>
          </w:p>
        </w:tc>
        <w:tc>
          <w:tcPr>
            <w:tcW w:w="900" w:type="dxa"/>
            <w:vAlign w:val="bottom"/>
            <w:tcBorders>
              <w:right w:val="single" w:sz="8" w:color="auto"/>
            </w:tcBorders>
          </w:tcPr>
          <w:p>
            <w:pPr>
              <w:spacing w:after="0"/>
              <w:rPr>
                <w:sz w:val="23"/>
                <w:szCs w:val="23"/>
                <w:color w:val="auto"/>
              </w:rPr>
            </w:pP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the plan was adopted (But not to</w:t>
            </w: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8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exceed 120 days following plan</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28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3580" w:type="dxa"/>
            <w:vAlign w:val="bottom"/>
            <w:tcBorders>
              <w:bottom w:val="single" w:sz="8" w:color="auto"/>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adoption or modification).</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Certification</w:t>
            </w:r>
          </w:p>
        </w:tc>
        <w:tc>
          <w:tcPr>
            <w:tcW w:w="90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In  the</w:t>
            </w: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There must be a representation in the</w:t>
            </w:r>
          </w:p>
        </w:tc>
        <w:tc>
          <w:tcPr>
            <w:tcW w:w="23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N/A</w:t>
            </w:r>
          </w:p>
        </w:tc>
        <w:tc>
          <w:tcPr>
            <w:tcW w:w="28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N/A</w:t>
            </w:r>
          </w:p>
        </w:tc>
        <w:tc>
          <w:tcPr>
            <w:tcW w:w="0" w:type="dxa"/>
            <w:vAlign w:val="bottom"/>
          </w:tcPr>
          <w:p>
            <w:pPr>
              <w:spacing w:after="0"/>
              <w:rPr>
                <w:sz w:val="1"/>
                <w:szCs w:val="1"/>
                <w:color w:val="auto"/>
              </w:rPr>
            </w:pPr>
          </w:p>
        </w:tc>
      </w:tr>
      <w:tr>
        <w:trPr>
          <w:trHeight w:val="270"/>
        </w:trPr>
        <w:tc>
          <w:tcPr>
            <w:tcW w:w="1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10b5-1</w:t>
            </w:r>
          </w:p>
        </w:tc>
        <w:tc>
          <w:tcPr>
            <w:tcW w:w="900" w:type="dxa"/>
            <w:vAlign w:val="bottom"/>
            <w:tcBorders>
              <w:right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Plan</w:t>
            </w: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10b5-1 Plan by the person adopting</w:t>
            </w: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0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8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Document</w:t>
            </w:r>
          </w:p>
        </w:tc>
        <w:tc>
          <w:tcPr>
            <w:tcW w:w="900" w:type="dxa"/>
            <w:vAlign w:val="bottom"/>
            <w:tcBorders>
              <w:right w:val="single" w:sz="8" w:color="auto"/>
            </w:tcBorders>
          </w:tcPr>
          <w:p>
            <w:pPr>
              <w:spacing w:after="0"/>
              <w:rPr>
                <w:sz w:val="22"/>
                <w:szCs w:val="22"/>
                <w:color w:val="auto"/>
              </w:rPr>
            </w:pP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the plan certifying that on the date of</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such plan’s adoption:</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w:t>
            </w:r>
          </w:p>
        </w:tc>
        <w:tc>
          <w:tcPr>
            <w:tcW w:w="314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such person is not aware of</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8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358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22"/>
                <w:szCs w:val="22"/>
                <w:color w:val="auto"/>
              </w:rPr>
              <w:t>Material Nonpublic Information about</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3580" w:type="dxa"/>
            <w:vAlign w:val="bottom"/>
            <w:tcBorders>
              <w:right w:val="single" w:sz="8" w:color="auto"/>
            </w:tcBorders>
            <w:gridSpan w:val="7"/>
          </w:tcPr>
          <w:p>
            <w:pPr>
              <w:ind w:left="40"/>
              <w:spacing w:after="0"/>
              <w:rPr>
                <w:sz w:val="20"/>
                <w:szCs w:val="20"/>
                <w:color w:val="auto"/>
              </w:rPr>
            </w:pPr>
            <w:r>
              <w:rPr>
                <w:rFonts w:ascii="Times New Roman" w:cs="Times New Roman" w:eastAsia="Times New Roman" w:hAnsi="Times New Roman"/>
                <w:sz w:val="22"/>
                <w:szCs w:val="22"/>
                <w:color w:val="auto"/>
              </w:rPr>
              <w:t>the Williams or Williams Securities;</w:t>
            </w: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80" w:type="dxa"/>
            <w:vAlign w:val="bottom"/>
            <w:tcBorders>
              <w:lef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and</w:t>
            </w:r>
          </w:p>
        </w:tc>
        <w:tc>
          <w:tcPr>
            <w:tcW w:w="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(ii)</w:t>
            </w:r>
          </w:p>
        </w:tc>
        <w:tc>
          <w:tcPr>
            <w:tcW w:w="3140" w:type="dxa"/>
            <w:vAlign w:val="bottom"/>
            <w:tcBorders>
              <w:right w:val="single" w:sz="8" w:color="auto"/>
            </w:tcBorders>
            <w:gridSpan w:val="5"/>
          </w:tcPr>
          <w:p>
            <w:pPr>
              <w:ind w:left="200"/>
              <w:spacing w:after="0"/>
              <w:rPr>
                <w:sz w:val="20"/>
                <w:szCs w:val="20"/>
                <w:color w:val="auto"/>
              </w:rPr>
            </w:pPr>
            <w:r>
              <w:rPr>
                <w:rFonts w:ascii="Times New Roman" w:cs="Times New Roman" w:eastAsia="Times New Roman" w:hAnsi="Times New Roman"/>
                <w:sz w:val="22"/>
                <w:szCs w:val="22"/>
                <w:color w:val="auto"/>
              </w:rPr>
              <w:t>such person is adopting the</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10b5-1 Plan in good faith and not as</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80" w:type="dxa"/>
            <w:vAlign w:val="bottom"/>
            <w:tcBorders>
              <w:lef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3580" w:type="dxa"/>
            <w:vAlign w:val="bottom"/>
            <w:tcBorders>
              <w:right w:val="single" w:sz="8" w:color="auto"/>
            </w:tcBorders>
            <w:gridSpan w:val="7"/>
          </w:tcPr>
          <w:p>
            <w:pPr>
              <w:ind w:left="60"/>
              <w:spacing w:after="0"/>
              <w:rPr>
                <w:sz w:val="20"/>
                <w:szCs w:val="20"/>
                <w:color w:val="auto"/>
              </w:rPr>
            </w:pPr>
            <w:r>
              <w:rPr>
                <w:rFonts w:ascii="Times New Roman" w:cs="Times New Roman" w:eastAsia="Times New Roman" w:hAnsi="Times New Roman"/>
                <w:sz w:val="22"/>
                <w:szCs w:val="22"/>
                <w:color w:val="auto"/>
              </w:rPr>
              <w:t>part of a plan or scheme to evade</w:t>
            </w: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7 of 9</w:t>
      </w:r>
    </w:p>
    <w:p>
      <w:pPr>
        <w:sectPr>
          <w:pgSz w:w="11900" w:h="16838" w:orient="portrait"/>
          <w:cols w:equalWidth="0" w:num="1">
            <w:col w:w="11240"/>
          </w:cols>
          <w:pgMar w:left="320" w:top="347"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3"/>
          <w:szCs w:val="23"/>
          <w:b w:val="1"/>
          <w:bCs w:val="1"/>
          <w:color w:val="auto"/>
        </w:rPr>
        <w:t>Exhibit 19.1</w:t>
      </w: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34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the prohibitions of Rule 10b-5.</w:t>
            </w:r>
          </w:p>
        </w:tc>
        <w:tc>
          <w:tcPr>
            <w:tcW w:w="2320" w:type="dxa"/>
            <w:vAlign w:val="bottom"/>
            <w:tcBorders>
              <w:top w:val="single" w:sz="8" w:color="auto"/>
              <w:bottom w:val="single" w:sz="8" w:color="auto"/>
              <w:right w:val="single" w:sz="8" w:color="auto"/>
            </w:tcBorders>
          </w:tcPr>
          <w:p>
            <w:pPr>
              <w:spacing w:after="0"/>
              <w:rPr>
                <w:sz w:val="24"/>
                <w:szCs w:val="24"/>
                <w:color w:val="auto"/>
              </w:rPr>
            </w:pPr>
          </w:p>
        </w:tc>
        <w:tc>
          <w:tcPr>
            <w:tcW w:w="3180" w:type="dxa"/>
            <w:vAlign w:val="bottom"/>
            <w:tcBorders>
              <w:top w:val="single" w:sz="8" w:color="auto"/>
              <w:bottom w:val="single" w:sz="8" w:color="auto"/>
              <w:right w:val="single" w:sz="8" w:color="auto"/>
            </w:tcBorders>
          </w:tcPr>
          <w:p>
            <w:pPr>
              <w:spacing w:after="0"/>
              <w:rPr>
                <w:sz w:val="24"/>
                <w:szCs w:val="24"/>
                <w:color w:val="auto"/>
              </w:rPr>
            </w:pPr>
          </w:p>
        </w:tc>
      </w:tr>
      <w:tr>
        <w:trPr>
          <w:trHeight w:val="270"/>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 Overlapping</w:t>
            </w:r>
          </w:p>
        </w:tc>
        <w:tc>
          <w:tcPr>
            <w:tcW w:w="57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Subject to the limited exceptions provided in Rule 10b5-1, a</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N/A</w:t>
            </w:r>
          </w:p>
        </w:tc>
      </w:tr>
      <w:tr>
        <w:trPr>
          <w:trHeight w:val="270"/>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10b5-1 Plans</w:t>
            </w:r>
          </w:p>
        </w:tc>
        <w:tc>
          <w:tcPr>
            <w:tcW w:w="57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person may not have multiple, overlapping 10b5-1 Plans for</w:t>
            </w:r>
          </w:p>
        </w:tc>
        <w:tc>
          <w:tcPr>
            <w:tcW w:w="3180" w:type="dxa"/>
            <w:vAlign w:val="bottom"/>
            <w:tcBorders>
              <w:right w:val="single" w:sz="8" w:color="auto"/>
            </w:tcBorders>
          </w:tcPr>
          <w:p>
            <w:pPr>
              <w:spacing w:after="0"/>
              <w:rPr>
                <w:sz w:val="23"/>
                <w:szCs w:val="23"/>
                <w:color w:val="auto"/>
              </w:rPr>
            </w:pPr>
          </w:p>
        </w:tc>
      </w:tr>
      <w:tr>
        <w:trPr>
          <w:trHeight w:val="257"/>
        </w:trPr>
        <w:tc>
          <w:tcPr>
            <w:tcW w:w="2020" w:type="dxa"/>
            <w:vAlign w:val="bottom"/>
            <w:tcBorders>
              <w:left w:val="single" w:sz="8" w:color="auto"/>
              <w:right w:val="single" w:sz="8" w:color="auto"/>
            </w:tcBorders>
          </w:tcPr>
          <w:p>
            <w:pPr>
              <w:spacing w:after="0"/>
              <w:rPr>
                <w:sz w:val="22"/>
                <w:szCs w:val="22"/>
                <w:color w:val="auto"/>
              </w:rPr>
            </w:pPr>
          </w:p>
        </w:tc>
        <w:tc>
          <w:tcPr>
            <w:tcW w:w="57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purchases or sales on the open market of any class of Williams</w:t>
            </w:r>
          </w:p>
        </w:tc>
        <w:tc>
          <w:tcPr>
            <w:tcW w:w="3180" w:type="dxa"/>
            <w:vAlign w:val="bottom"/>
            <w:tcBorders>
              <w:right w:val="single" w:sz="8" w:color="auto"/>
            </w:tcBorders>
          </w:tcPr>
          <w:p>
            <w:pPr>
              <w:spacing w:after="0"/>
              <w:rPr>
                <w:sz w:val="22"/>
                <w:szCs w:val="22"/>
                <w:color w:val="auto"/>
              </w:rPr>
            </w:pPr>
          </w:p>
        </w:tc>
      </w:tr>
      <w:tr>
        <w:trPr>
          <w:trHeight w:val="291"/>
        </w:trPr>
        <w:tc>
          <w:tcPr>
            <w:tcW w:w="2020" w:type="dxa"/>
            <w:vAlign w:val="bottom"/>
            <w:tcBorders>
              <w:left w:val="single" w:sz="8" w:color="auto"/>
              <w:bottom w:val="single" w:sz="8" w:color="auto"/>
              <w:right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Securities.</w:t>
            </w:r>
          </w:p>
        </w:tc>
        <w:tc>
          <w:tcPr>
            <w:tcW w:w="3180" w:type="dxa"/>
            <w:vAlign w:val="bottom"/>
            <w:tcBorders>
              <w:bottom w:val="single" w:sz="8" w:color="auto"/>
              <w:right w:val="single" w:sz="8" w:color="auto"/>
            </w:tcBorders>
          </w:tcPr>
          <w:p>
            <w:pPr>
              <w:spacing w:after="0"/>
              <w:rPr>
                <w:sz w:val="24"/>
                <w:szCs w:val="24"/>
                <w:color w:val="auto"/>
              </w:rPr>
            </w:pPr>
          </w:p>
        </w:tc>
      </w:tr>
      <w:tr>
        <w:trPr>
          <w:trHeight w:val="270"/>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No More Than One</w:t>
            </w:r>
          </w:p>
        </w:tc>
        <w:tc>
          <w:tcPr>
            <w:tcW w:w="57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 10b5-1 Plan designed to effect the open-market purchase or</w:t>
            </w:r>
          </w:p>
        </w:tc>
        <w:tc>
          <w:tcPr>
            <w:tcW w:w="3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N/A</w:t>
            </w:r>
          </w:p>
        </w:tc>
      </w:tr>
      <w:tr>
        <w:trPr>
          <w:trHeight w:val="270"/>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Single-Trade 10b5-1</w:t>
            </w:r>
          </w:p>
        </w:tc>
        <w:tc>
          <w:tcPr>
            <w:tcW w:w="57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w w:val="99"/>
              </w:rPr>
              <w:t>sale of the total amount of securities as a single transaction (or a</w:t>
            </w:r>
          </w:p>
        </w:tc>
        <w:tc>
          <w:tcPr>
            <w:tcW w:w="3180" w:type="dxa"/>
            <w:vAlign w:val="bottom"/>
            <w:tcBorders>
              <w:right w:val="single" w:sz="8" w:color="auto"/>
            </w:tcBorders>
          </w:tcPr>
          <w:p>
            <w:pPr>
              <w:spacing w:after="0"/>
              <w:rPr>
                <w:sz w:val="23"/>
                <w:szCs w:val="23"/>
                <w:color w:val="auto"/>
              </w:rPr>
            </w:pPr>
          </w:p>
        </w:tc>
      </w:tr>
      <w:tr>
        <w:trPr>
          <w:trHeight w:val="256"/>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Plan in a 12 Month</w:t>
            </w:r>
          </w:p>
        </w:tc>
        <w:tc>
          <w:tcPr>
            <w:tcW w:w="57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Plan that has the practical effect of requiring such result) may</w:t>
            </w:r>
          </w:p>
        </w:tc>
        <w:tc>
          <w:tcPr>
            <w:tcW w:w="3180" w:type="dxa"/>
            <w:vAlign w:val="bottom"/>
            <w:tcBorders>
              <w:right w:val="single" w:sz="8" w:color="auto"/>
            </w:tcBorders>
          </w:tcPr>
          <w:p>
            <w:pPr>
              <w:spacing w:after="0"/>
              <w:rPr>
                <w:sz w:val="22"/>
                <w:szCs w:val="22"/>
                <w:color w:val="auto"/>
              </w:rPr>
            </w:pPr>
          </w:p>
        </w:tc>
      </w:tr>
      <w:tr>
        <w:trPr>
          <w:trHeight w:val="282"/>
        </w:trPr>
        <w:tc>
          <w:tcPr>
            <w:tcW w:w="2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Period</w:t>
            </w:r>
          </w:p>
        </w:tc>
        <w:tc>
          <w:tcPr>
            <w:tcW w:w="57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only be adopted if:</w:t>
            </w:r>
          </w:p>
        </w:tc>
        <w:tc>
          <w:tcPr>
            <w:tcW w:w="3180" w:type="dxa"/>
            <w:vAlign w:val="bottom"/>
            <w:tcBorders>
              <w:right w:val="single" w:sz="8" w:color="auto"/>
            </w:tcBorders>
          </w:tcPr>
          <w:p>
            <w:pPr>
              <w:spacing w:after="0"/>
              <w:rPr>
                <w:sz w:val="24"/>
                <w:szCs w:val="24"/>
                <w:color w:val="auto"/>
              </w:rPr>
            </w:pPr>
          </w:p>
        </w:tc>
      </w:tr>
      <w:tr>
        <w:trPr>
          <w:trHeight w:val="285"/>
        </w:trPr>
        <w:tc>
          <w:tcPr>
            <w:tcW w:w="2020" w:type="dxa"/>
            <w:vAlign w:val="bottom"/>
            <w:tcBorders>
              <w:left w:val="single" w:sz="8" w:color="auto"/>
              <w:right w:val="single" w:sz="8" w:color="auto"/>
            </w:tcBorders>
          </w:tcPr>
          <w:p>
            <w:pPr>
              <w:spacing w:after="0"/>
              <w:rPr>
                <w:sz w:val="24"/>
                <w:szCs w:val="24"/>
                <w:color w:val="auto"/>
              </w:rPr>
            </w:pPr>
          </w:p>
        </w:tc>
        <w:tc>
          <w:tcPr>
            <w:tcW w:w="574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22"/>
                <w:szCs w:val="22"/>
                <w:color w:val="auto"/>
              </w:rPr>
              <w:t>(i) another single-trade plan was not adopted within the</w:t>
            </w:r>
          </w:p>
        </w:tc>
        <w:tc>
          <w:tcPr>
            <w:tcW w:w="3180" w:type="dxa"/>
            <w:vAlign w:val="bottom"/>
            <w:tcBorders>
              <w:right w:val="single" w:sz="8" w:color="auto"/>
            </w:tcBorders>
          </w:tcPr>
          <w:p>
            <w:pPr>
              <w:spacing w:after="0"/>
              <w:rPr>
                <w:sz w:val="24"/>
                <w:szCs w:val="24"/>
                <w:color w:val="auto"/>
              </w:rPr>
            </w:pPr>
          </w:p>
        </w:tc>
      </w:tr>
      <w:tr>
        <w:trPr>
          <w:trHeight w:val="257"/>
        </w:trPr>
        <w:tc>
          <w:tcPr>
            <w:tcW w:w="2020" w:type="dxa"/>
            <w:vAlign w:val="bottom"/>
            <w:tcBorders>
              <w:left w:val="single" w:sz="8" w:color="auto"/>
              <w:right w:val="single" w:sz="8" w:color="auto"/>
            </w:tcBorders>
          </w:tcPr>
          <w:p>
            <w:pPr>
              <w:spacing w:after="0"/>
              <w:rPr>
                <w:sz w:val="22"/>
                <w:szCs w:val="22"/>
                <w:color w:val="auto"/>
              </w:rPr>
            </w:pPr>
          </w:p>
        </w:tc>
        <w:tc>
          <w:tcPr>
            <w:tcW w:w="5740" w:type="dxa"/>
            <w:vAlign w:val="bottom"/>
            <w:tcBorders>
              <w:right w:val="single" w:sz="8" w:color="auto"/>
            </w:tcBorders>
            <w:gridSpan w:val="2"/>
          </w:tcPr>
          <w:p>
            <w:pPr>
              <w:ind w:left="380"/>
              <w:spacing w:after="0"/>
              <w:rPr>
                <w:sz w:val="20"/>
                <w:szCs w:val="20"/>
                <w:color w:val="auto"/>
              </w:rPr>
            </w:pPr>
            <w:r>
              <w:rPr>
                <w:rFonts w:ascii="Times New Roman" w:cs="Times New Roman" w:eastAsia="Times New Roman" w:hAnsi="Times New Roman"/>
                <w:sz w:val="22"/>
                <w:szCs w:val="22"/>
                <w:color w:val="auto"/>
              </w:rPr>
              <w:t>prior 12 months, and</w:t>
            </w:r>
          </w:p>
        </w:tc>
        <w:tc>
          <w:tcPr>
            <w:tcW w:w="3180" w:type="dxa"/>
            <w:vAlign w:val="bottom"/>
            <w:tcBorders>
              <w:right w:val="single" w:sz="8" w:color="auto"/>
            </w:tcBorders>
          </w:tcPr>
          <w:p>
            <w:pPr>
              <w:spacing w:after="0"/>
              <w:rPr>
                <w:sz w:val="22"/>
                <w:szCs w:val="22"/>
                <w:color w:val="auto"/>
              </w:rPr>
            </w:pPr>
          </w:p>
        </w:tc>
      </w:tr>
      <w:tr>
        <w:trPr>
          <w:trHeight w:val="256"/>
        </w:trPr>
        <w:tc>
          <w:tcPr>
            <w:tcW w:w="2020" w:type="dxa"/>
            <w:vAlign w:val="bottom"/>
            <w:tcBorders>
              <w:left w:val="single" w:sz="8" w:color="auto"/>
              <w:right w:val="single" w:sz="8" w:color="auto"/>
            </w:tcBorders>
          </w:tcPr>
          <w:p>
            <w:pPr>
              <w:spacing w:after="0"/>
              <w:rPr>
                <w:sz w:val="22"/>
                <w:szCs w:val="22"/>
                <w:color w:val="auto"/>
              </w:rPr>
            </w:pPr>
          </w:p>
        </w:tc>
        <w:tc>
          <w:tcPr>
            <w:tcW w:w="5740" w:type="dxa"/>
            <w:vAlign w:val="bottom"/>
            <w:tcBorders>
              <w:right w:val="single" w:sz="8" w:color="auto"/>
            </w:tcBorders>
            <w:gridSpan w:val="2"/>
          </w:tcPr>
          <w:p>
            <w:pPr>
              <w:ind w:left="400"/>
              <w:spacing w:after="0"/>
              <w:rPr>
                <w:sz w:val="20"/>
                <w:szCs w:val="20"/>
                <w:color w:val="auto"/>
              </w:rPr>
            </w:pPr>
            <w:r>
              <w:rPr>
                <w:rFonts w:ascii="Times New Roman" w:cs="Times New Roman" w:eastAsia="Times New Roman" w:hAnsi="Times New Roman"/>
                <w:sz w:val="22"/>
                <w:szCs w:val="22"/>
                <w:color w:val="auto"/>
              </w:rPr>
              <w:t>(ii)that prior single-trade plan was eligible for the</w:t>
            </w:r>
          </w:p>
        </w:tc>
        <w:tc>
          <w:tcPr>
            <w:tcW w:w="3180" w:type="dxa"/>
            <w:vAlign w:val="bottom"/>
            <w:tcBorders>
              <w:right w:val="single" w:sz="8" w:color="auto"/>
            </w:tcBorders>
          </w:tcPr>
          <w:p>
            <w:pPr>
              <w:spacing w:after="0"/>
              <w:rPr>
                <w:sz w:val="22"/>
                <w:szCs w:val="22"/>
                <w:color w:val="auto"/>
              </w:rPr>
            </w:pPr>
          </w:p>
        </w:tc>
      </w:tr>
      <w:tr>
        <w:trPr>
          <w:trHeight w:val="291"/>
        </w:trPr>
        <w:tc>
          <w:tcPr>
            <w:tcW w:w="2020" w:type="dxa"/>
            <w:vAlign w:val="bottom"/>
            <w:tcBorders>
              <w:left w:val="single" w:sz="8" w:color="auto"/>
              <w:bottom w:val="single" w:sz="8" w:color="auto"/>
              <w:right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ind w:left="380"/>
              <w:spacing w:after="0"/>
              <w:rPr>
                <w:sz w:val="20"/>
                <w:szCs w:val="20"/>
                <w:color w:val="auto"/>
              </w:rPr>
            </w:pPr>
            <w:r>
              <w:rPr>
                <w:rFonts w:ascii="Times New Roman" w:cs="Times New Roman" w:eastAsia="Times New Roman" w:hAnsi="Times New Roman"/>
                <w:sz w:val="22"/>
                <w:szCs w:val="22"/>
                <w:color w:val="auto"/>
              </w:rPr>
              <w:t>affirmative defense.</w:t>
            </w:r>
          </w:p>
        </w:tc>
        <w:tc>
          <w:tcPr>
            <w:tcW w:w="3180" w:type="dxa"/>
            <w:vAlign w:val="bottom"/>
            <w:tcBorders>
              <w:bottom w:val="single" w:sz="8" w:color="auto"/>
              <w:right w:val="single" w:sz="8" w:color="auto"/>
            </w:tcBorders>
          </w:tcPr>
          <w:p>
            <w:pPr>
              <w:spacing w:after="0"/>
              <w:rPr>
                <w:sz w:val="24"/>
                <w:szCs w:val="24"/>
                <w:color w:val="auto"/>
              </w:rPr>
            </w:pPr>
          </w:p>
        </w:tc>
      </w:tr>
    </w:tbl>
    <w:p>
      <w:pPr>
        <w:spacing w:after="0" w:line="297" w:lineRule="exact"/>
        <w:rPr>
          <w:sz w:val="20"/>
          <w:szCs w:val="20"/>
          <w:color w:val="auto"/>
        </w:rPr>
      </w:pPr>
    </w:p>
    <w:p>
      <w:pPr>
        <w:jc w:val="both"/>
        <w:ind w:right="20" w:firstLine="567"/>
        <w:spacing w:after="0" w:line="225" w:lineRule="auto"/>
        <w:rPr>
          <w:sz w:val="20"/>
          <w:szCs w:val="20"/>
          <w:color w:val="auto"/>
        </w:rPr>
      </w:pPr>
      <w:r>
        <w:rPr>
          <w:rFonts w:ascii="Times New Roman" w:cs="Times New Roman" w:eastAsia="Times New Roman" w:hAnsi="Times New Roman"/>
          <w:sz w:val="22"/>
          <w:szCs w:val="22"/>
          <w:color w:val="auto"/>
        </w:rPr>
        <w:t>Williams is required to disclose whether any Director or Executive Officer has adopted, terminated or modified a 10b5-1 Plan in its periodic report for the quarter in which such event occurs, along with the material terms of such plan, other than the price.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Obligations for Directors and Executive Officers</w:t>
      </w:r>
    </w:p>
    <w:p>
      <w:pPr>
        <w:spacing w:after="0" w:line="251" w:lineRule="exact"/>
        <w:rPr>
          <w:sz w:val="20"/>
          <w:szCs w:val="20"/>
          <w:color w:val="auto"/>
        </w:rPr>
      </w:pPr>
    </w:p>
    <w:p>
      <w:pPr>
        <w:jc w:val="both"/>
        <w:ind w:right="320" w:firstLine="648"/>
        <w:spacing w:after="0" w:line="272" w:lineRule="auto"/>
        <w:rPr>
          <w:sz w:val="20"/>
          <w:szCs w:val="20"/>
          <w:color w:val="auto"/>
        </w:rPr>
      </w:pPr>
      <w:r>
        <w:rPr>
          <w:rFonts w:ascii="Times New Roman" w:cs="Times New Roman" w:eastAsia="Times New Roman" w:hAnsi="Times New Roman"/>
          <w:sz w:val="21"/>
          <w:szCs w:val="21"/>
          <w:color w:val="auto"/>
        </w:rPr>
        <w:t>Directors and Executive Officers must also comply with the reporting obligations under Section 16 and are prohibited from engaging in “short-swing” transactions covered by that rule. A practical effect of these provisions is that Directors and Executive Officers who purchase and sell, or sell and purchase, certain Williams Securities within a six-month period must disgorge all profits to Williams, whether or not they had knowledge of any Material Nonpublic Information.</w:t>
      </w:r>
    </w:p>
    <w:p>
      <w:pPr>
        <w:spacing w:after="0" w:line="188" w:lineRule="exact"/>
        <w:rPr>
          <w:sz w:val="20"/>
          <w:szCs w:val="20"/>
          <w:color w:val="auto"/>
        </w:rPr>
      </w:pPr>
    </w:p>
    <w:p>
      <w:pPr>
        <w:jc w:val="both"/>
        <w:ind w:right="320"/>
        <w:spacing w:after="0" w:line="253" w:lineRule="auto"/>
        <w:rPr>
          <w:sz w:val="20"/>
          <w:szCs w:val="20"/>
          <w:color w:val="auto"/>
        </w:rPr>
      </w:pPr>
      <w:r>
        <w:rPr>
          <w:rFonts w:ascii="Times New Roman" w:cs="Times New Roman" w:eastAsia="Times New Roman" w:hAnsi="Times New Roman"/>
          <w:sz w:val="22"/>
          <w:szCs w:val="22"/>
          <w:u w:val="single" w:color="auto"/>
          <w:color w:val="auto"/>
        </w:rPr>
        <w:t>Buying stock while Company is repurchasing shares</w:t>
      </w:r>
      <w:r>
        <w:rPr>
          <w:rFonts w:ascii="Times New Roman" w:cs="Times New Roman" w:eastAsia="Times New Roman" w:hAnsi="Times New Roman"/>
          <w:sz w:val="22"/>
          <w:szCs w:val="22"/>
          <w:color w:val="auto"/>
        </w:rPr>
        <w:t>: Until (a) the earlier of such time as the Board or any committee thereof, including the Special Share Repurchase Committee, has no advance knowledge of the share price(s) at which the Company is willing to repurchase shares of its common stock, or (b) the expiration of the $1.5 billion share repurchase program publicly announced by the Company on September 8, 2021, Directors shall not purchase shares of Company common stock on the days in which the Company is also repurchasing shares of common stock.</w:t>
      </w:r>
    </w:p>
    <w:p>
      <w:pPr>
        <w:spacing w:after="0" w:line="206"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22"/>
          <w:szCs w:val="22"/>
          <w:color w:val="auto"/>
        </w:rPr>
        <w:t>Section 16 officers of the Company who have direct involvement in managing the Company’s stock repurchase program and/or have advance knowledge of the share price(s) at which the Company is willing to repurchase shares of its common stock shall not purchase shares of Company common stock on the days in which the Company is also repurchasing shares of common stock, except for purchases pursuant to the Company’s employee stock purchase plan or the valid exercise of an existing stock option grant.</w:t>
      </w:r>
    </w:p>
    <w:p>
      <w:pPr>
        <w:spacing w:after="0" w:line="289"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22"/>
          <w:szCs w:val="22"/>
          <w:color w:val="auto"/>
        </w:rPr>
        <w:t>Under all circumstances, Directors and Section 16 officers shall not purchase or sell shares of Company common stock within four business days before or after the announcement of a new share repurchase program or the announcement of an increase in size of an existing share repurchase program.</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8 of 9</w:t>
      </w:r>
    </w:p>
    <w:p>
      <w:pPr>
        <w:sectPr>
          <w:pgSz w:w="11900" w:h="16838" w:orient="portrait"/>
          <w:cols w:equalWidth="0" w:num="1">
            <w:col w:w="11240"/>
          </w:cols>
          <w:pgMar w:left="320" w:top="347"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23"/>
          <w:szCs w:val="23"/>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251"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21"/>
          <w:szCs w:val="21"/>
          <w:color w:val="auto"/>
        </w:rPr>
        <w:t>Components of this policy may continue to apply to your transactions in Williams Securities even after you have terminated employment. If you are in possession of Material Nonpublic Information when your employment terminates, you may not trade in Williams Securities until that information has become public or is no longer material. In addition, a Director or an Executive Officer can have Section 16 reporting obligations for up to six months after his or her termination. Please consult with the Corporate Secretary for any questions concerning post-termination restrictions and reporting obligations.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Personal Responsibility; No Safe Harbor</w:t>
      </w:r>
    </w:p>
    <w:p>
      <w:pPr>
        <w:spacing w:after="0" w:line="264"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22"/>
          <w:szCs w:val="22"/>
          <w:color w:val="auto"/>
        </w:rPr>
        <w:t>You should remember that the ultimate responsibility for adhering to this policy and avoiding improper trading rests with you. You are also responsible for ensuring that every person who lives in your household complies with this policy. If you violate this policy, Williams may take disciplinary action, including dismissal for cause. For those persons who are subject to blackout periods, the existence of such blackouts shall not be considered a safe harbor for trading during other periods.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Gifts of Securities; Miscellaneous</w:t>
      </w:r>
    </w:p>
    <w:p>
      <w:pPr>
        <w:spacing w:after="0" w:line="264" w:lineRule="exact"/>
        <w:rPr>
          <w:sz w:val="20"/>
          <w:szCs w:val="20"/>
          <w:color w:val="auto"/>
        </w:rPr>
      </w:pPr>
    </w:p>
    <w:p>
      <w:pPr>
        <w:jc w:val="both"/>
        <w:ind w:right="320" w:firstLine="648"/>
        <w:spacing w:after="0" w:line="252" w:lineRule="auto"/>
        <w:rPr>
          <w:sz w:val="20"/>
          <w:szCs w:val="20"/>
          <w:color w:val="auto"/>
        </w:rPr>
      </w:pPr>
      <w:r>
        <w:rPr>
          <w:rFonts w:ascii="Times New Roman" w:cs="Times New Roman" w:eastAsia="Times New Roman" w:hAnsi="Times New Roman"/>
          <w:sz w:val="22"/>
          <w:szCs w:val="22"/>
          <w:color w:val="auto"/>
        </w:rPr>
        <w:t>If you wish to make a gift of Williams Securities, special rules may apply. In particular, Directors and Executive Officers should be aware that gifts of Williams Securities trigger a Section 16 Form 4 beneficial ownership disclosure which must be filed with the SEC no later than two business days following the gift. Please contact the Corporate Secretary regarding the applicability of this policy to a proposed gift of Williams Securities.</w:t>
      </w:r>
    </w:p>
    <w:p>
      <w:pPr>
        <w:spacing w:after="0" w:line="206" w:lineRule="exact"/>
        <w:rPr>
          <w:sz w:val="20"/>
          <w:szCs w:val="20"/>
          <w:color w:val="auto"/>
        </w:rPr>
      </w:pPr>
    </w:p>
    <w:p>
      <w:pPr>
        <w:jc w:val="both"/>
        <w:ind w:right="320" w:firstLine="648"/>
        <w:spacing w:after="0" w:line="251" w:lineRule="auto"/>
        <w:rPr>
          <w:sz w:val="20"/>
          <w:szCs w:val="20"/>
          <w:color w:val="auto"/>
        </w:rPr>
      </w:pPr>
      <w:r>
        <w:rPr>
          <w:rFonts w:ascii="Times New Roman" w:cs="Times New Roman" w:eastAsia="Times New Roman" w:hAnsi="Times New Roman"/>
          <w:sz w:val="22"/>
          <w:szCs w:val="22"/>
          <w:color w:val="auto"/>
        </w:rPr>
        <w:t>This policy supersedes and replaces all previous policies prohibiting insider trading. Persons subject to this policy may be required to certify their understanding of this policy and their intent to comply with it. Williams reserves the right to interpret, modify or revise this policy, in whole or in part, without notice.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______________________________________________________________________________________</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Williams Companies, Inc. Board of Directors effective: April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9 of 9</w:t>
      </w:r>
    </w:p>
    <w:p>
      <w:pPr>
        <w:sectPr>
          <w:pgSz w:w="11900" w:h="16838" w:orient="portrait"/>
          <w:cols w:equalWidth="0" w:num="1">
            <w:col w:w="11240"/>
          </w:cols>
          <w:pgMar w:left="320" w:top="347"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4C's Land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Arcadia Gas Storage,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Appalachia Midstream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Aurora Hydrogen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Alberta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Bargath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Baton Rouge Fractionators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Baton Rouge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Black Marlin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Blue Racer Finance Corp.</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Blue Racer Midstream,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Blue Racer Midstream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Blue Racer NGL Pipelines,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Blue Racer Ohio Compression,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Bluestem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Bluestem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Branch Midstream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Brazos Permian II,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Cadeville Gas Storage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Carbon County UCG,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Carbonate Trend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Cardinal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Cardinal Operating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Cardinal Pipeline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Cogentrix Co-Investment Fund, LP</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Constitution Pipeline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Context Labs B.V.</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Crowheart Energy,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DMP NEW YORK,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York</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Dauphin Island Gathering Partners</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Discovery Gas Transmission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Discovery Producer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Driftwood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EIC Rose Rock Ventures I, LP</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EIC Deep Carbonization Frontier Fund I LP</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EIP Flagship Fund III LP</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EIP Frontier Fund II LP</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EIP Frontier I AIV A LP</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Edge Solar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Emerging Energy Ventures,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Encino Environmental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26"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Energy Impact Fund II (FT-D) LP</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Energy Impact Fund II LP</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Fossett Columbine,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Gemini Arklatex,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Gemini Arklatex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Gemini Carthage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Gillis New Energy Solutions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Gulfstar One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Gulfstream Management &amp; Operating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Gulfstream Natural Gas System,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Hill-Lake Gas Storage,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ION Clean Energy,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Ingu Solutions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Brunswick</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Inland Ports,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Tennessee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Katy Connector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Kiowa Lateral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Laurel Mountain Midstream Operating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Laurel Mountain Midstream,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LongPath Technologies,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Louisiana Energy Gateway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Louisiana LNG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Louisiana Midstream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Louisiana New Energy Solutions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Magnolia Midstream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Magnolia New Energy Solutions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Marsh Resources,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Mid-Continent Fractionation and Storage,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Mockingbird Midstream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Monarch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Monroe Gas Storage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MountainWest Energy Holding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Utah</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MountainWest Energy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Utah</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MountainWest Field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Utah</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MountainWest Overthrust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Utah</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MountainWest Pipeline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Utah</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MountainWest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Utah</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MountainWest Pipelines Holding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MountainWest Southern Trails Pipeline Company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Utah</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MountainWest White River Hub,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Utah</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NT Minerals,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bl>
    <w:p>
      <w:pPr>
        <w:sectPr>
          <w:pgSz w:w="11900" w:h="16838" w:orient="portrait"/>
          <w:cols w:equalWidth="0" w:num="1">
            <w:col w:w="11240"/>
          </w:cols>
          <w:pgMar w:left="320" w:top="126"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NWC Development,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Colorado</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Energy Ventures Holdco,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NorTex Development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NorTex Midstream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NorTex Midstream Partners,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NorTex Trading and Marketing,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Northwest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Ohio Valley Midstream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Oklahoma Midstream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Orbital Sidekick,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Overland Pass Pipeline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Parachute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Permian Connector,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Perryville Gas Storage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Pine Needle LNG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Pine Needle Operating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Pine Prairie Energy Center,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Ponder Midstream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Power Eight Project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 G&amp;P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 Processing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Rocky Mountain Midstream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Rocky Mountain Midstream JV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Rocky Mountain Midstream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Rocky Mountain Midstream Marketing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Rocky Mountain Midstream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 Resources Mississippi,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Saber Midstream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Saber Midstream,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Sequent Energy Canada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Sequent Energy Management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Sequent LNG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Sequent LNG Marketing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Sequent Louisiana Gas Supply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Socagee Midstream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South Mansfield E&amp;P,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TWC Holdings C.V.</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Targa Train 7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Texas Midstream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Williams Companies Foundation,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bl>
    <w:p>
      <w:pPr>
        <w:sectPr>
          <w:pgSz w:w="11900" w:h="16838" w:orient="portrait"/>
          <w:cols w:equalWidth="0" w:num="1">
            <w:col w:w="11240"/>
          </w:cols>
          <w:pgMar w:left="320" w:top="126"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Williams Companies International Holdings B.V.</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TransCardinal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TransCarolina LNG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Transco Exploration Company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Transcontinental Gas Pipe Line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UEOM NGL Pipelines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Utica East Ohio Midstream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Utica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WFS - Liquids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WFS Dauphin Island,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WFS Gathering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WFS Mobile Bay Processing,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WFS Natural Gas Storage,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Wamsutter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 Texas Midstream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White River Hub,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WilPro Energy Services (El Furrial) Limited</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WilPro Energy Services (Pigap II) Limited</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Will-Power ID,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Will-Power OH,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Will-Power OK,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Will-Power PENN,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Will-Power Pipeline OH,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Will-Power Pipeline UT,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Will-Power UT,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Will-Power VA,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Will-Power WY,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Acquisition Holding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Jersey</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Alaska Petroleum,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Alaska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Blu Operating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CRE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CV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Cardinal Gas,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Compression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Driftwood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Express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Express, Inc.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Alaska</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Field Services - Gulf Coast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Field Services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Field Services Group,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26"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Flexible Generation,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Front Range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Gas Processing - Gulf Coast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Gilcrest,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Global Energy (Cayman) Limited</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Global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Headquarters Building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Holdings and Manufacturing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Hutch Rail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IP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Information Technology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International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International El Furrial Limited</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International Pigap Limited</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International Venezuela Limited</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LNG Holdco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LNG,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Laurel Mountain,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Louisiana LNG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MLP Operating,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Midstream Gas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Oklahoma</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Mobile Bay Producer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Natural Gas Storage,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New Energy Solutions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Ohio River Valley Corporation</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Ohio River Valley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Ohio Valley Midstream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Ohio Valley Pipeline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Oil Gathering,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PERK,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Partners Operating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Petroleum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Pipeline Services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Power Innovation,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Propylene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Resource Center,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3"/>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Solar Holdco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Strategic Sourcing Company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Upstream Holdings,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26"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0"/>
        </w:trPr>
        <w:tc>
          <w:tcPr>
            <w:tcW w:w="84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72"/>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Williams WPC - I,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Delaware</w:t>
            </w:r>
          </w:p>
        </w:tc>
      </w:tr>
      <w:tr>
        <w:trPr>
          <w:trHeight w:val="284"/>
        </w:trPr>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Worsham-Steed Gas Storage, LLC</w:t>
            </w: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r>
    </w:tbl>
    <w:p>
      <w:pPr>
        <w:sectPr>
          <w:pgSz w:w="11900" w:h="16838" w:orient="portrait"/>
          <w:cols w:equalWidth="0" w:num="1">
            <w:col w:w="11240"/>
          </w:cols>
          <w:pgMar w:left="320" w:top="126"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320" w:firstLine="33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45" w:lineRule="exact"/>
        <w:rPr>
          <w:sz w:val="20"/>
          <w:szCs w:val="20"/>
          <w:color w:val="auto"/>
        </w:rPr>
      </w:pPr>
    </w:p>
    <w:p>
      <w:pPr>
        <w:ind w:left="560" w:hanging="309"/>
        <w:spacing w:after="0"/>
        <w:tabs>
          <w:tab w:leader="none" w:pos="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333-29185 and 333-277232) of The Williams Companies, Inc.,</w:t>
      </w:r>
    </w:p>
    <w:p>
      <w:pPr>
        <w:spacing w:after="0" w:line="238"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333-03957) pertaining to The Williams Companies, Inc. 1996 Stock Plan for Non-Employee Directors,</w:t>
      </w:r>
    </w:p>
    <w:p>
      <w:pPr>
        <w:spacing w:after="0" w:line="238"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333-85546) pertaining to The Williams Companies, Inc. 2002 Incentive Plan,</w:t>
      </w:r>
    </w:p>
    <w:p>
      <w:pPr>
        <w:spacing w:after="0" w:line="238" w:lineRule="exact"/>
        <w:rPr>
          <w:rFonts w:ascii="Times New Roman" w:cs="Times New Roman" w:eastAsia="Times New Roman" w:hAnsi="Times New Roman"/>
          <w:sz w:val="18"/>
          <w:szCs w:val="18"/>
          <w:color w:val="auto"/>
        </w:rPr>
      </w:pPr>
    </w:p>
    <w:p>
      <w:pPr>
        <w:ind w:left="580" w:right="360" w:hanging="329"/>
        <w:spacing w:after="0" w:line="266" w:lineRule="auto"/>
        <w:tabs>
          <w:tab w:leader="none" w:pos="6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333-142985) pertaining to The Williams Companies, Inc. 2007 Employee Stock Purchase Plan and The Williams Companies, Inc. 2007 Incentive Plan,</w:t>
      </w:r>
    </w:p>
    <w:p>
      <w:pPr>
        <w:spacing w:after="0" w:line="189" w:lineRule="exact"/>
        <w:rPr>
          <w:rFonts w:ascii="Times New Roman" w:cs="Times New Roman" w:eastAsia="Times New Roman" w:hAnsi="Times New Roman"/>
          <w:sz w:val="18"/>
          <w:szCs w:val="18"/>
          <w:color w:val="auto"/>
        </w:rPr>
      </w:pPr>
    </w:p>
    <w:p>
      <w:pPr>
        <w:ind w:left="640" w:hanging="389"/>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333-167123) pertaining to The Williams Companies, Inc. 2007 Incentive Plan, and</w:t>
      </w:r>
    </w:p>
    <w:p>
      <w:pPr>
        <w:spacing w:after="0" w:line="238" w:lineRule="exact"/>
        <w:rPr>
          <w:rFonts w:ascii="Times New Roman" w:cs="Times New Roman" w:eastAsia="Times New Roman" w:hAnsi="Times New Roman"/>
          <w:sz w:val="18"/>
          <w:szCs w:val="18"/>
          <w:color w:val="auto"/>
        </w:rPr>
      </w:pPr>
    </w:p>
    <w:p>
      <w:pPr>
        <w:ind w:left="580" w:right="860" w:hanging="329"/>
        <w:spacing w:after="0" w:line="250" w:lineRule="auto"/>
        <w:tabs>
          <w:tab w:leader="none" w:pos="6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333-198050) pertaining to The Williams Companies, Inc. 2007 Incentive Plan and The Williams Companies, Inc. 2007 Employee Stock Purchase Plan;</w:t>
      </w:r>
    </w:p>
    <w:p>
      <w:pPr>
        <w:spacing w:after="0" w:line="2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of our reports dated February 24, 2026, with respect to the consolidated financial statements and the effectiveness of internal control over financial reporting of The Williams Companies, Inc., included in this Annual Report (Form 10-K) for the year ended December 31, 2025, and the financial statement schedule of The Williams Companies, Inc. included herein.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11240"/>
          </w:cols>
          <w:pgMar w:left="320" w:top="1413"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95" w:lineRule="exact"/>
        <w:rPr>
          <w:sz w:val="20"/>
          <w:szCs w:val="20"/>
          <w:color w:val="auto"/>
        </w:rPr>
      </w:pPr>
    </w:p>
    <w:p>
      <w:pPr>
        <w:ind w:right="3320" w:firstLine="33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Registration Statements (Form S-3 Nos. 333-29185 and 333-277232) of The Williams Companies, Inc.,</w:t>
      </w:r>
    </w:p>
    <w:p>
      <w:pPr>
        <w:spacing w:after="0" w:line="252" w:lineRule="exact"/>
        <w:rPr>
          <w:sz w:val="20"/>
          <w:szCs w:val="20"/>
          <w:color w:val="auto"/>
        </w:rPr>
      </w:pPr>
    </w:p>
    <w:p>
      <w:pPr>
        <w:ind w:left="100" w:right="940"/>
        <w:spacing w:after="0" w:line="516" w:lineRule="auto"/>
        <w:rPr>
          <w:sz w:val="20"/>
          <w:szCs w:val="20"/>
          <w:color w:val="auto"/>
        </w:rPr>
      </w:pPr>
      <w:r>
        <w:rPr>
          <w:rFonts w:ascii="Times New Roman" w:cs="Times New Roman" w:eastAsia="Times New Roman" w:hAnsi="Times New Roman"/>
          <w:sz w:val="18"/>
          <w:szCs w:val="18"/>
          <w:color w:val="auto"/>
        </w:rPr>
        <w:t>Registration Statement (Form S-8 No. 333-03957) pertaining to The Williams Companies, Inc. 1996 Stock Plan for Non-Employee Directors, Registration Statement (Form S-8 No. 333-85546) pertaining to The Williams Companies, Inc. 2002 Incentive Plan,</w:t>
      </w:r>
    </w:p>
    <w:p>
      <w:pPr>
        <w:spacing w:after="0" w:line="1" w:lineRule="exact"/>
        <w:rPr>
          <w:sz w:val="20"/>
          <w:szCs w:val="20"/>
          <w:color w:val="auto"/>
        </w:rPr>
      </w:pPr>
    </w:p>
    <w:p>
      <w:pPr>
        <w:ind w:left="340" w:right="600" w:hanging="332"/>
        <w:spacing w:after="0" w:line="282" w:lineRule="auto"/>
        <w:tabs>
          <w:tab w:leader="none" w:pos="4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333-142985) pertaining to The Williams Companies, Inc. 2007 Employee Stock Purchase Plan and The Williams Companies, Inc. 2007 Incentive Plan,</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333-167123) pertaining to The Williams Companies, Inc. 2007 Incentive Plan, and</w:t>
      </w:r>
    </w:p>
    <w:p>
      <w:pPr>
        <w:spacing w:after="0" w:line="252" w:lineRule="exact"/>
        <w:rPr>
          <w:rFonts w:ascii="Times New Roman" w:cs="Times New Roman" w:eastAsia="Times New Roman" w:hAnsi="Times New Roman"/>
          <w:sz w:val="18"/>
          <w:szCs w:val="18"/>
          <w:color w:val="auto"/>
        </w:rPr>
      </w:pPr>
    </w:p>
    <w:p>
      <w:pPr>
        <w:ind w:left="340" w:right="220" w:hanging="332"/>
        <w:spacing w:after="0" w:line="282" w:lineRule="auto"/>
        <w:tabs>
          <w:tab w:leader="none" w:pos="4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333-198050) pertaining to The Williams Companies, Inc. 2007 Incentive Plan and The Williams Companies, Inc. 2007 Employee Stock Purchase Plan;</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of our report dated February 24, 2026, with respect to the financial statements of Transcontinental Gas Pipe Line Company, LLC included in this Annual Report (Form 10-K) of Transcontinental Gas Pipe Line Company, LLC for the year ended December 31, 2025.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11240"/>
          </w:cols>
          <w:pgMar w:left="320" w:top="1413"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95" w:lineRule="exact"/>
        <w:rPr>
          <w:sz w:val="20"/>
          <w:szCs w:val="20"/>
          <w:color w:val="auto"/>
        </w:rPr>
      </w:pPr>
    </w:p>
    <w:p>
      <w:pPr>
        <w:ind w:right="3320" w:firstLine="33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Registration Statements (Form S-3 Nos. 333-29185 and 333-277232) of The Williams Companies, Inc.,</w:t>
      </w:r>
    </w:p>
    <w:p>
      <w:pPr>
        <w:spacing w:after="0" w:line="252" w:lineRule="exact"/>
        <w:rPr>
          <w:sz w:val="20"/>
          <w:szCs w:val="20"/>
          <w:color w:val="auto"/>
        </w:rPr>
      </w:pPr>
    </w:p>
    <w:p>
      <w:pPr>
        <w:ind w:left="100" w:right="940"/>
        <w:spacing w:after="0" w:line="516" w:lineRule="auto"/>
        <w:rPr>
          <w:sz w:val="20"/>
          <w:szCs w:val="20"/>
          <w:color w:val="auto"/>
        </w:rPr>
      </w:pPr>
      <w:r>
        <w:rPr>
          <w:rFonts w:ascii="Times New Roman" w:cs="Times New Roman" w:eastAsia="Times New Roman" w:hAnsi="Times New Roman"/>
          <w:sz w:val="18"/>
          <w:szCs w:val="18"/>
          <w:color w:val="auto"/>
        </w:rPr>
        <w:t>Registration Statement (Form S-8 No. 333-03957) pertaining to The Williams Companies, Inc. 1996 Stock Plan for Non-Employee Directors, Registration Statement (Form S-8 No. 333-85546) pertaining to The Williams Companies, Inc. 2002 Incentive Plan,</w:t>
      </w:r>
    </w:p>
    <w:p>
      <w:pPr>
        <w:spacing w:after="0" w:line="1" w:lineRule="exact"/>
        <w:rPr>
          <w:sz w:val="20"/>
          <w:szCs w:val="20"/>
          <w:color w:val="auto"/>
        </w:rPr>
      </w:pPr>
    </w:p>
    <w:p>
      <w:pPr>
        <w:ind w:left="340" w:right="600" w:hanging="332"/>
        <w:spacing w:after="0" w:line="282" w:lineRule="auto"/>
        <w:tabs>
          <w:tab w:leader="none" w:pos="40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333-142985) pertaining to The Williams Companies, Inc. 2007 Employee Stock Purchase Plan and The Williams Companies, Inc. 2007 Incentive Plan,</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Registration Statement (Form S-8 No. 333-167123) pertaining to The Williams Companies, Inc. 2007 Incentive Plan, and</w:t>
      </w:r>
    </w:p>
    <w:p>
      <w:pPr>
        <w:spacing w:after="0" w:line="252" w:lineRule="exact"/>
        <w:rPr>
          <w:sz w:val="20"/>
          <w:szCs w:val="20"/>
          <w:color w:val="auto"/>
        </w:rPr>
      </w:pPr>
    </w:p>
    <w:p>
      <w:pPr>
        <w:ind w:left="340" w:right="220" w:hanging="332"/>
        <w:spacing w:after="0" w:line="282" w:lineRule="auto"/>
        <w:tabs>
          <w:tab w:leader="none" w:pos="40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333-198050) pertaining to The Williams Companies, Inc. 2007 Incentive Plan and The Williams Companies, Inc. 2007 Employee Stock Purchase Plan;</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of our report dated February 24, 2026, with respect to the financial statements of Northwest Pipeline LLC included in this Annual Report (Form 10-K) of Northwest Pipeline LLC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11240"/>
          </w:cols>
          <w:pgMar w:left="320" w:top="1413" w:right="339" w:bottom="1440" w:gutter="0" w:footer="0" w:header="0"/>
        </w:sectPr>
      </w:pPr>
    </w:p>
    <w:bookmarkStart w:id="238" w:name="page239"/>
    <w:bookmarkEnd w:id="238"/>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J. Zamarin, certify that:</w:t>
      </w:r>
    </w:p>
    <w:p>
      <w:pPr>
        <w:spacing w:after="0" w:line="117" w:lineRule="exact"/>
        <w:rPr>
          <w:sz w:val="20"/>
          <w:szCs w:val="20"/>
          <w:color w:val="auto"/>
        </w:rPr>
      </w:pPr>
    </w:p>
    <w:p>
      <w:pPr>
        <w:ind w:left="320" w:hanging="312"/>
        <w:spacing w:after="0"/>
        <w:tabs>
          <w:tab w:leader="none" w:pos="3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Williams Companies,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60" w:hanging="323"/>
        <w:spacing w:after="0" w:line="282" w:lineRule="auto"/>
        <w:tabs>
          <w:tab w:leader="none" w:pos="10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57"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60" w:hanging="323"/>
        <w:spacing w:after="0" w:line="282" w:lineRule="auto"/>
        <w:tabs>
          <w:tab w:leader="none" w:pos="105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9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Chad J. Zamarin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Chad J. Zamarin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D. Porter, certify that:</w:t>
      </w:r>
    </w:p>
    <w:p>
      <w:pPr>
        <w:spacing w:after="0" w:line="117" w:lineRule="exact"/>
        <w:rPr>
          <w:sz w:val="20"/>
          <w:szCs w:val="20"/>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Williams Companies,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60" w:hanging="323"/>
        <w:spacing w:after="0" w:line="282" w:lineRule="auto"/>
        <w:tabs>
          <w:tab w:leader="none" w:pos="105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5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60" w:hanging="323"/>
        <w:spacing w:after="0" w:line="282" w:lineRule="auto"/>
        <w:tabs>
          <w:tab w:leader="none" w:pos="105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9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John D.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John D. Porter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40"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A. Teply, certify that:</w:t>
      </w:r>
    </w:p>
    <w:p>
      <w:pPr>
        <w:spacing w:after="0" w:line="117"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Transcontinental Gas Pipe Line Company, LLC;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360"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Chad A. Teply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2199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Chad A. Teply</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 Hausman, certify that:</w:t>
      </w:r>
    </w:p>
    <w:p>
      <w:pPr>
        <w:spacing w:after="0" w:line="171"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Transcontinental Gas Pipe Line Company, LLC;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360"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571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13"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31.5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A. Teply, certify that:</w:t>
      </w:r>
    </w:p>
    <w:p>
      <w:pPr>
        <w:spacing w:after="0" w:line="117"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Northwest Pipeline LLC;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0" w:hanging="722"/>
        <w:spacing w:after="0" w:line="282" w:lineRule="auto"/>
        <w:tabs>
          <w:tab w:leader="none" w:pos="153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722"/>
        <w:spacing w:after="0" w:line="282" w:lineRule="auto"/>
        <w:tabs>
          <w:tab w:leader="none" w:pos="153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144"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Chad A. Teply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571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Chad A. Teply</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31.6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 Hausman, certify that:</w:t>
      </w:r>
    </w:p>
    <w:p>
      <w:pPr>
        <w:spacing w:after="0" w:line="117"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Northwest Pipeline LLC;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0" w:hanging="722"/>
        <w:spacing w:after="0" w:line="282" w:lineRule="auto"/>
        <w:tabs>
          <w:tab w:leader="none" w:pos="153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722"/>
        <w:spacing w:after="0" w:line="282" w:lineRule="auto"/>
        <w:tabs>
          <w:tab w:leader="none" w:pos="153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144"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1457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13" w:right="339" w:bottom="1440" w:gutter="0" w:footer="0" w:header="0"/>
        </w:sectPr>
      </w:pPr>
    </w:p>
    <w:bookmarkStart w:id="244" w:name="page245"/>
    <w:bookmarkEnd w:id="244"/>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The Williams Companies, Inc. (the “Company”) on Form 10-K for the period ending December 31, 2025, as filed with the Securities and Exchange Commission on the date hereof (the “Report”), each of the undersigned hereby certifies, in his capacity as an officer of the Company, pursuant to 18 U.S.C. § 1350, as adopted pursuant to § 906 of the Sarbanes-Oxley Act of 2002, that to his knowledge:</w:t>
      </w:r>
    </w:p>
    <w:p>
      <w:pPr>
        <w:spacing w:after="0" w:line="135" w:lineRule="exact"/>
        <w:rPr>
          <w:sz w:val="20"/>
          <w:szCs w:val="20"/>
          <w:color w:val="auto"/>
        </w:rPr>
      </w:pPr>
    </w:p>
    <w:p>
      <w:pPr>
        <w:ind w:left="660" w:hanging="247"/>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Chad J. Zamarin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 J. Zamarin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D.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6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D. Porter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considered filed as part of the Report.</w:t>
      </w:r>
    </w:p>
    <w:p>
      <w:pPr>
        <w:sectPr>
          <w:pgSz w:w="11900" w:h="16838" w:orient="portrait"/>
          <w:cols w:equalWidth="0" w:num="1">
            <w:col w:w="11240"/>
          </w:cols>
          <w:pgMar w:left="320" w:top="1440"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Transcontinental Gas Pipe Line Company, LLC (the “Company”) on Form 10-K for the period ending December 31, 2025 as filed with the Securities and Exchange Commission on the date hereof (the “Report”), each of the undersigned hereby certifies, in his capacity as an officer of the Company, pursuant to 18 U.S.C. §1350, as adopted pursuant to §906 of the Sarbanes-Oxley Act of 2002, that to his knowledge:</w:t>
      </w:r>
    </w:p>
    <w:p>
      <w:pPr>
        <w:spacing w:after="0" w:line="72" w:lineRule="exact"/>
        <w:rPr>
          <w:sz w:val="20"/>
          <w:szCs w:val="20"/>
          <w:color w:val="auto"/>
        </w:rPr>
      </w:pPr>
    </w:p>
    <w:p>
      <w:pPr>
        <w:ind w:left="640" w:hanging="308"/>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Chad A. Teply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68">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 A. Teply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considered filed as part of the Report.</w:t>
      </w:r>
    </w:p>
    <w:p>
      <w:pPr>
        <w:sectPr>
          <w:pgSz w:w="11900" w:h="16838" w:orient="portrait"/>
          <w:cols w:equalWidth="0" w:num="1">
            <w:col w:w="11240"/>
          </w:cols>
          <w:pgMar w:left="320" w:top="1413"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Northwest Pipeline LLC (the “Company”) on Form 10-K for the period ending December 31, 2025 as filed with the Securities and Exchange Commission on the date hereof (the “Report”), each of the undersigned hereby certifies, in his capacity as an officer of the Company, pursuant to 18 U.S.C. §1350, as adopted pursuant to §906 of the Sarbanes-Oxley Act of 2002, that to his knowledge:</w:t>
      </w:r>
    </w:p>
    <w:p>
      <w:pPr>
        <w:spacing w:after="0" w:line="68" w:lineRule="exact"/>
        <w:rPr>
          <w:sz w:val="20"/>
          <w:szCs w:val="20"/>
          <w:color w:val="auto"/>
        </w:rPr>
      </w:pPr>
    </w:p>
    <w:p>
      <w:pPr>
        <w:ind w:left="640" w:hanging="308"/>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Chad A. Teply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 A. Teply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considered filed as part of the Report.</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decimal"/>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1)"/>
      <w:numFmt w:val="decimal"/>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1)"/>
      <w:numFmt w:val="decimal"/>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1)"/>
      <w:numFmt w:val="decimal"/>
      <w:start w:val="2"/>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emdash "/>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1)"/>
      <w:numFmt w:val="decimal"/>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lvl w:ilvl="1">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1)"/>
      <w:numFmt w:val="decimal"/>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1)"/>
      <w:numFmt w:val="decimal"/>
      <w:start w:val="1"/>
    </w:lvl>
  </w:abstractNum>
  <w:abstractNum w:abstractNumId="70">
    <w:nsid w:val="57FC4FBB"/>
    <w:multiLevelType w:val="hybridMultilevel"/>
    <w:lvl w:ilvl="0">
      <w:lvlJc w:val="left"/>
      <w:lvlText w:val="(%1)"/>
      <w:numFmt w:val="decimal"/>
      <w:start w:val="1"/>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1)"/>
      <w:numFmt w:val="decimal"/>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1)"/>
      <w:numFmt w:val="decimal"/>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
      <w:numFmt w:val="bullet"/>
      <w:start w:val="1"/>
    </w:lvl>
    <w:lvl w:ilvl="1">
      <w:lvlJc w:val="left"/>
      <w:lvlText w:val="◦"/>
      <w:numFmt w:val="bullet"/>
      <w:start w:val="1"/>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1)"/>
      <w:numFmt w:val="decimal"/>
      <w:start w:val="2"/>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
      <w:numFmt w:val="bullet"/>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2"/>
      <w:numFmt w:val="bullet"/>
      <w:start w:val="1"/>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1)"/>
      <w:numFmt w:val="lowerRoman"/>
      <w:start w:val="1"/>
    </w:lvl>
  </w:abstractNum>
  <w:abstractNum w:abstractNumId="96">
    <w:nsid w:val="53299938"/>
    <w:multiLevelType w:val="hybridMultilevel"/>
    <w:lvl w:ilvl="0">
      <w:lvlJc w:val="left"/>
      <w:lvlText w:val="(%1)"/>
      <w:numFmt w:val="lowerRoman"/>
      <w:start w:val="1"/>
    </w:lvl>
    <w:lvl w:ilvl="1">
      <w:lvlJc w:val="left"/>
      <w:lvlText w:val="•"/>
      <w:numFmt w:val="bullet"/>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
      <w:numFmt w:val="bullet"/>
      <w:start w:val="1"/>
    </w:lvl>
  </w:abstractNum>
  <w:abstractNum w:abstractNumId="99">
    <w:nsid w:val="1D545C4D"/>
    <w:multiLevelType w:val="hybridMultilevel"/>
    <w:lvl w:ilvl="0">
      <w:lvlJc w:val="left"/>
      <w:lvlText w:val="(%1)"/>
      <w:numFmt w:val="lowerRoman"/>
      <w:start w:val="3"/>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decimal"/>
      <w:start w:val="1"/>
    </w:lvl>
  </w:abstractNum>
  <w:abstractNum w:abstractNumId="102">
    <w:nsid w:val="2A155DBC"/>
    <w:multiLevelType w:val="hybridMultilevel"/>
    <w:lvl w:ilvl="0">
      <w:lvlJc w:val="left"/>
      <w:lvlText w:val="(%1)"/>
      <w:numFmt w:val="decimal"/>
      <w:start w:val="4"/>
    </w:lvl>
  </w:abstractNum>
  <w:abstractNum w:abstractNumId="103">
    <w:nsid w:val="1D9F6E5F"/>
    <w:multiLevelType w:val="hybridMultilevel"/>
    <w:lvl w:ilvl="0">
      <w:lvlJc w:val="left"/>
      <w:lvlText w:val="(%1)"/>
      <w:numFmt w:val="decimal"/>
      <w:start w:val="4"/>
    </w:lvl>
  </w:abstractNum>
  <w:abstractNum w:abstractNumId="104">
    <w:nsid w:val="97E1B4E"/>
    <w:multiLevelType w:val="hybridMultilevel"/>
    <w:lvl w:ilvl="0">
      <w:lvlJc w:val="left"/>
      <w:lvlText w:val="(%1)"/>
      <w:numFmt w:val="decimal"/>
      <w:start w:val="6"/>
    </w:lvl>
  </w:abstractNum>
  <w:abstractNum w:abstractNumId="105">
    <w:nsid w:val="51088277"/>
    <w:multiLevelType w:val="hybridMultilevel"/>
    <w:lvl w:ilvl="0">
      <w:lvlJc w:val="left"/>
      <w:lvlText w:val="%1."/>
      <w:numFmt w:val="decimal"/>
      <w:start w:val="1"/>
    </w:lvl>
    <w:lvl w:ilvl="1">
      <w:lvlJc w:val="left"/>
      <w:lvlText w:val="(%2)"/>
      <w:numFmt w:val="lowerLetter"/>
      <w:start w:val="1"/>
    </w:lvl>
  </w:abstractNum>
  <w:abstractNum w:abstractNumId="106">
    <w:nsid w:val="1CA0C5FA"/>
    <w:multiLevelType w:val="hybridMultilevel"/>
    <w:lvl w:ilvl="0">
      <w:lvlJc w:val="left"/>
      <w:lvlText w:val="%1."/>
      <w:numFmt w:val="decimal"/>
      <w:start w:val="1"/>
    </w:lvl>
    <w:lvl w:ilvl="1">
      <w:lvlJc w:val="left"/>
      <w:lvlText w:val="(%2)"/>
      <w:numFmt w:val="lowerLetter"/>
      <w:start w:val="1"/>
    </w:lvl>
  </w:abstractNum>
  <w:abstractNum w:abstractNumId="107">
    <w:nsid w:val="53584BCB"/>
    <w:multiLevelType w:val="hybridMultilevel"/>
    <w:lvl w:ilvl="0">
      <w:lvlJc w:val="left"/>
      <w:lvlText w:val="%1."/>
      <w:numFmt w:val="decimal"/>
      <w:start w:val="1"/>
    </w:lvl>
    <w:lvl w:ilvl="1">
      <w:lvlJc w:val="left"/>
      <w:lvlText w:val="(%2)"/>
      <w:numFmt w:val="lowerLetter"/>
      <w:start w:val="1"/>
    </w:lvl>
  </w:abstractNum>
  <w:abstractNum w:abstractNumId="108">
    <w:nsid w:val="415E286C"/>
    <w:multiLevelType w:val="hybridMultilevel"/>
    <w:lvl w:ilvl="0">
      <w:lvlJc w:val="left"/>
      <w:lvlText w:val="%1."/>
      <w:numFmt w:val="decimal"/>
      <w:start w:val="1"/>
    </w:lvl>
    <w:lvl w:ilvl="1">
      <w:lvlJc w:val="left"/>
      <w:lvlText w:val="(%2)"/>
      <w:numFmt w:val="lowerLetter"/>
      <w:start w:val="1"/>
    </w:lvl>
  </w:abstractNum>
  <w:abstractNum w:abstractNumId="109">
    <w:nsid w:val="7C58FD05"/>
    <w:multiLevelType w:val="hybridMultilevel"/>
    <w:lvl w:ilvl="0">
      <w:lvlJc w:val="left"/>
      <w:lvlText w:val="%1."/>
      <w:numFmt w:val="decimal"/>
      <w:start w:val="1"/>
    </w:lvl>
    <w:lvl w:ilvl="1">
      <w:lvlJc w:val="left"/>
      <w:lvlText w:val="(%2)"/>
      <w:numFmt w:val="lowerLetter"/>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52" Type="http://schemas.openxmlformats.org/officeDocument/2006/relationships/image" Target="media/image240.png"/><Relationship Id="rId264" Type="http://schemas.openxmlformats.org/officeDocument/2006/relationships/image" Target="media/image241.png"/><Relationship Id="rId276" Type="http://schemas.openxmlformats.org/officeDocument/2006/relationships/image" Target="media/image242.png"/><Relationship Id="rId288" Type="http://schemas.openxmlformats.org/officeDocument/2006/relationships/image" Target="media/image243.png"/><Relationship Id="rId302" Type="http://schemas.openxmlformats.org/officeDocument/2006/relationships/image" Target="media/image244.png"/><Relationship Id="rId316" Type="http://schemas.openxmlformats.org/officeDocument/2006/relationships/image" Target="media/image245.png"/><Relationship Id="rId329" Type="http://schemas.openxmlformats.org/officeDocument/2006/relationships/image" Target="media/image246.png"/><Relationship Id="rId334" Type="http://schemas.openxmlformats.org/officeDocument/2006/relationships/image" Target="media/image247.png"/><Relationship Id="rId335" Type="http://schemas.openxmlformats.org/officeDocument/2006/relationships/image" Target="media/image248.png"/><Relationship Id="rId339" Type="http://schemas.openxmlformats.org/officeDocument/2006/relationships/image" Target="media/image249.png"/><Relationship Id="rId340" Type="http://schemas.openxmlformats.org/officeDocument/2006/relationships/image" Target="media/image250.png"/><Relationship Id="rId344" Type="http://schemas.openxmlformats.org/officeDocument/2006/relationships/image" Target="media/image251.png"/><Relationship Id="rId350" Type="http://schemas.openxmlformats.org/officeDocument/2006/relationships/image" Target="media/image252.png"/><Relationship Id="rId351" Type="http://schemas.openxmlformats.org/officeDocument/2006/relationships/image" Target="media/image253.png"/><Relationship Id="rId352" Type="http://schemas.openxmlformats.org/officeDocument/2006/relationships/image" Target="media/image254.png"/><Relationship Id="rId353" Type="http://schemas.openxmlformats.org/officeDocument/2006/relationships/image" Target="media/image255.png"/><Relationship Id="rId354" Type="http://schemas.openxmlformats.org/officeDocument/2006/relationships/image" Target="media/image256.png"/><Relationship Id="rId355" Type="http://schemas.openxmlformats.org/officeDocument/2006/relationships/image" Target="media/image257.png"/><Relationship Id="rId356" Type="http://schemas.openxmlformats.org/officeDocument/2006/relationships/image" Target="media/image258.png"/><Relationship Id="rId357" Type="http://schemas.openxmlformats.org/officeDocument/2006/relationships/image" Target="media/image259.png"/><Relationship Id="rId358" Type="http://schemas.openxmlformats.org/officeDocument/2006/relationships/image" Target="media/image260.jpeg"/><Relationship Id="rId359" Type="http://schemas.openxmlformats.org/officeDocument/2006/relationships/image" Target="media/image261.png"/><Relationship Id="rId360" Type="http://schemas.openxmlformats.org/officeDocument/2006/relationships/image" Target="media/image262.png"/><Relationship Id="rId361" Type="http://schemas.openxmlformats.org/officeDocument/2006/relationships/image" Target="media/image263.png"/><Relationship Id="rId362" Type="http://schemas.openxmlformats.org/officeDocument/2006/relationships/image" Target="media/image264.png"/><Relationship Id="rId363" Type="http://schemas.openxmlformats.org/officeDocument/2006/relationships/image" Target="media/image265.png"/><Relationship Id="rId364" Type="http://schemas.openxmlformats.org/officeDocument/2006/relationships/image" Target="media/image266.png"/><Relationship Id="rId365" Type="http://schemas.openxmlformats.org/officeDocument/2006/relationships/image" Target="media/image267.png"/><Relationship Id="rId366" Type="http://schemas.openxmlformats.org/officeDocument/2006/relationships/image" Target="media/image268.png"/><Relationship Id="rId367" Type="http://schemas.openxmlformats.org/officeDocument/2006/relationships/image" Target="media/image269.png"/><Relationship Id="rId368" Type="http://schemas.openxmlformats.org/officeDocument/2006/relationships/image" Target="media/image270.png"/><Relationship Id="rId369" Type="http://schemas.openxmlformats.org/officeDocument/2006/relationships/image" Target="media/image271.png"/><Relationship Id="rId370" Type="http://schemas.openxmlformats.org/officeDocument/2006/relationships/image" Target="media/image272.png"/><Relationship Id="rId371" Type="http://schemas.openxmlformats.org/officeDocument/2006/relationships/image" Target="media/image273.png"/><Relationship Id="rId247" Type="http://schemas.openxmlformats.org/officeDocument/2006/relationships/hyperlink" Target="https://www.sec.gov/Archives/edgar/data/107263/000095012310053200/c58430exv3wxiy1.htm" TargetMode="External"/><Relationship Id="rId248" Type="http://schemas.openxmlformats.org/officeDocument/2006/relationships/hyperlink" Target="https://www.sec.gov/Archives/edgar/data/107263/000119312518219725/d522727dex31.htm" TargetMode="External"/><Relationship Id="rId249" Type="http://schemas.openxmlformats.org/officeDocument/2006/relationships/hyperlink" Target="https://www.sec.gov/Archives/edgar/data/107263/000119312518246104/d599321dex31.htm" TargetMode="External"/><Relationship Id="rId250" Type="http://schemas.openxmlformats.org/officeDocument/2006/relationships/hyperlink" Target="https://www.sec.gov/Archives/edgar/data/107263/000010726322000030/wmb_20220930xex34.htm" TargetMode="External"/><Relationship Id="rId251" Type="http://schemas.openxmlformats.org/officeDocument/2006/relationships/hyperlink" Target="https://www.sec.gov/Archives/edgar/data/62142/0000950134-97-001365.txt" TargetMode="External"/><Relationship Id="rId253" Type="http://schemas.openxmlformats.org/officeDocument/2006/relationships/hyperlink" Target="https://www.sec.gov/Archives/edgar/data/62142/0000950134-98-001719.txt" TargetMode="External"/><Relationship Id="rId254" Type="http://schemas.openxmlformats.org/officeDocument/2006/relationships/hyperlink" Target="https://www.sec.gov/Archives/edgar/data/947779/0000950134-99-002187.txt" TargetMode="External"/><Relationship Id="rId255" Type="http://schemas.openxmlformats.org/officeDocument/2006/relationships/hyperlink" Target="https://www.sec.gov/Archives/edgar/data/107263/000095013400002540/0000950134-00-002540.txt" TargetMode="External"/><Relationship Id="rId256" Type="http://schemas.openxmlformats.org/officeDocument/2006/relationships/hyperlink" Target="https://www.sec.gov/Archives/edgar/data/107263/000095012310007517/c55964exv4w3.htm" TargetMode="External"/><Relationship Id="rId257" Type="http://schemas.openxmlformats.org/officeDocument/2006/relationships/hyperlink" Target="https://www.sec.gov/Archives/edgar/data/107263/000095013401002063/d84653ex4-k.txt" TargetMode="External"/><Relationship Id="rId258" Type="http://schemas.openxmlformats.org/officeDocument/2006/relationships/hyperlink" Target="https://www.sec.gov/Archives/edgar/data/107263/000095013402004940/d96548ex4-1.txt" TargetMode="External"/><Relationship Id="rId259" Type="http://schemas.openxmlformats.org/officeDocument/2006/relationships/hyperlink" Target="https://www.sec.gov/Archives/edgar/data/107263/000095012310007517/c55964exv4w1.htm" TargetMode="External"/><Relationship Id="rId260" Type="http://schemas.openxmlformats.org/officeDocument/2006/relationships/hyperlink" Target="https://www.sec.gov/Archives/edgar/data/107263/000119312512508695/d456994dex41.htm" TargetMode="External"/><Relationship Id="rId261" Type="http://schemas.openxmlformats.org/officeDocument/2006/relationships/hyperlink" Target="https://www.sec.gov/Archives/edgar/data/107263/000119312514247357/d748302dex41.htm" TargetMode="External"/><Relationship Id="rId262" Type="http://schemas.openxmlformats.org/officeDocument/2006/relationships/hyperlink" Target="https://www.sec.gov/Archives/edgar/data/107263/000119312520142803/d907306dex41.htm" TargetMode="External"/><Relationship Id="rId263" Type="http://schemas.openxmlformats.org/officeDocument/2006/relationships/hyperlink" Target="https://www.sec.gov/Archives/edgar/data/107263/000119312521064614/d21296dex41.htm" TargetMode="External"/><Relationship Id="rId265" Type="http://schemas.openxmlformats.org/officeDocument/2006/relationships/hyperlink" Target="https://www.sec.gov/Archives/edgar/data/107263/000119312521294940/d234775dex41.htm" TargetMode="External"/><Relationship Id="rId266" Type="http://schemas.openxmlformats.org/officeDocument/2006/relationships/hyperlink" Target="https://www.sec.gov/Archives/edgar/data/107263/000119312522214987/d385113dex41.htm" TargetMode="External"/><Relationship Id="rId267" Type="http://schemas.openxmlformats.org/officeDocument/2006/relationships/hyperlink" Target="https://www.sec.gov/Archives/edgar/data/107263/000119312523058253/d444508dex41.htm" TargetMode="External"/><Relationship Id="rId268" Type="http://schemas.openxmlformats.org/officeDocument/2006/relationships/hyperlink" Target="https://www.sec.gov/Archives/edgar/data/107263/000119312523209031/d529704dex41.htm" TargetMode="External"/><Relationship Id="rId269" Type="http://schemas.openxmlformats.org/officeDocument/2006/relationships/hyperlink" Target="https://www.sec.gov/Archives/edgar/data/107263/000119312524003389/d697925dex41.htm" TargetMode="External"/><Relationship Id="rId270" Type="http://schemas.openxmlformats.org/officeDocument/2006/relationships/hyperlink" Target="https://www.sec.gov/Archives/edgar/data/107263/000119312524199942/d801862dex41.htm" TargetMode="External"/><Relationship Id="rId271" Type="http://schemas.openxmlformats.org/officeDocument/2006/relationships/hyperlink" Target="https://www.sec.gov/Archives/edgar/data/107263/000119312525003565/d862615dex41.htm" TargetMode="External"/><Relationship Id="rId272" Type="http://schemas.openxmlformats.org/officeDocument/2006/relationships/hyperlink" Target="https://www.sec.gov/Archives/edgar/data/107263/000119312525152743/d858564dex41.htm" TargetMode="External"/><Relationship Id="rId273" Type="http://schemas.openxmlformats.org/officeDocument/2006/relationships/hyperlink" Target="https://www.sec.gov/Archives/edgar/data/107263/000119312526007722/d33935dex41.htm" TargetMode="External"/><Relationship Id="rId274" Type="http://schemas.openxmlformats.org/officeDocument/2006/relationships/hyperlink" Target="https://www.sec.gov/Archives/edgar/data/107263/000095012310010940/c56234exv4w1.htm" TargetMode="External"/><Relationship Id="rId275" Type="http://schemas.openxmlformats.org/officeDocument/2006/relationships/hyperlink" Target="https://www.sec.gov/Archives/edgar/data/1483096/000119312515031434/d862478dex45.htm" TargetMode="External"/><Relationship Id="rId277" Type="http://schemas.openxmlformats.org/officeDocument/2006/relationships/hyperlink" Target="https://www.sec.gov/Archives/edgar/data/107263/000119312518246104/d599321dex42.htm" TargetMode="External"/><Relationship Id="rId278" Type="http://schemas.openxmlformats.org/officeDocument/2006/relationships/hyperlink" Target="https://www.sec.gov/Archives/edgar/data/1324518/000095012310104733/c61303exv4w1.htm" TargetMode="External"/><Relationship Id="rId279" Type="http://schemas.openxmlformats.org/officeDocument/2006/relationships/hyperlink" Target="https://www.sec.gov/Archives/edgar/data/1324518/000119312514082303/d686854dex41.htm" TargetMode="External"/><Relationship Id="rId280" Type="http://schemas.openxmlformats.org/officeDocument/2006/relationships/hyperlink" Target="https://www.sec.gov/Archives/edgar/data/1324518/000119312514253320/d750827dex41.htm" TargetMode="External"/><Relationship Id="rId281" Type="http://schemas.openxmlformats.org/officeDocument/2006/relationships/hyperlink" Target="https://www.sec.gov/Archives/edgar/data/1483096/000119312515031434/d862478dex44.htm" TargetMode="External"/><Relationship Id="rId282" Type="http://schemas.openxmlformats.org/officeDocument/2006/relationships/hyperlink" Target="https://www.sec.gov/Archives/edgar/data/1483096/000119312515075126/d882944dex41.htm" TargetMode="External"/><Relationship Id="rId283" Type="http://schemas.openxmlformats.org/officeDocument/2006/relationships/hyperlink" Target="https://www.sec.gov/Archives/edgar/data/1483096/000119312517194685/d407903dex41.htm" TargetMode="External"/><Relationship Id="rId284" Type="http://schemas.openxmlformats.org/officeDocument/2006/relationships/hyperlink" Target="https://www.sec.gov/Archives/edgar/data/1483096/000119312518069525/d546805dex41.htm" TargetMode="External"/><Relationship Id="rId285" Type="http://schemas.openxmlformats.org/officeDocument/2006/relationships/hyperlink" Target="https://www.sec.gov/Archives/edgar/data/107263/000119312518246104/d599321dex41.htm" TargetMode="External"/><Relationship Id="rId286" Type="http://schemas.openxmlformats.org/officeDocument/2006/relationships/hyperlink" Target="https://www.sec.gov/Archives/edgar/data/110019/000119312517108766/d374835dex41.htm" TargetMode="External"/><Relationship Id="rId287" Type="http://schemas.openxmlformats.org/officeDocument/2006/relationships/hyperlink" Target="https://www.sec.gov/Archives/edgar/data/99250/0000950129-96-000543.txt" TargetMode="External"/><Relationship Id="rId289" Type="http://schemas.openxmlformats.org/officeDocument/2006/relationships/hyperlink" Target="https://www.sec.gov/Archives/edgar/data/99250/000095012311076637/c65827exv4w1.htm" TargetMode="External"/><Relationship Id="rId290" Type="http://schemas.openxmlformats.org/officeDocument/2006/relationships/hyperlink" Target="https://www.sec.gov/Archives/edgar/data/99250/000119312512303132/d380672dex41.htm" TargetMode="External"/><Relationship Id="rId291" Type="http://schemas.openxmlformats.org/officeDocument/2006/relationships/hyperlink" Target="https://www.sec.gov/Archives/edgar/data/99250/000119312518084067/d547891dex41.htm" TargetMode="External"/><Relationship Id="rId292" Type="http://schemas.openxmlformats.org/officeDocument/2006/relationships/hyperlink" Target="https://www.sec.gov/Archives/edgar/data/99250/000119312520137568/d921317dex41.htm" TargetMode="External"/><Relationship Id="rId293" Type="http://schemas.openxmlformats.org/officeDocument/2006/relationships/hyperlink" Target="https://www.sec.gov/Archives/edgar/data/99250/000119312525289836/d891569dex41.htm" TargetMode="External"/><Relationship Id="rId294" Type="http://schemas.openxmlformats.org/officeDocument/2006/relationships/hyperlink" Target="https://www.sec.gov/Archives/edgar/data/764044/0000889812-98-002018.txt" TargetMode="External"/><Relationship Id="rId295" Type="http://schemas.openxmlformats.org/officeDocument/2006/relationships/hyperlink" Target="https://www.sec.gov/Archives/edgar/data/764044/000110465911067825/a11-31171_1ex4d1.htm" TargetMode="External"/><Relationship Id="rId296" Type="http://schemas.openxmlformats.org/officeDocument/2006/relationships/hyperlink" Target="https://www.sec.gov/Archives/edgar/data/107263/000010726324000019/wmb_20231231x10kxex439.htm" TargetMode="External"/><Relationship Id="rId297" Type="http://schemas.openxmlformats.org/officeDocument/2006/relationships/hyperlink" Target="https://www.sec.gov/Archives/edgar/data/107263/000010726323000007/wmb_20221231x10kxex435.htm" TargetMode="External"/><Relationship Id="rId298" Type="http://schemas.openxmlformats.org/officeDocument/2006/relationships/hyperlink" Target="https://www.sec.gov/Archives/edgar/data/107263/000010726324000019/wmb_20231231x10kxex101.htm" TargetMode="External"/><Relationship Id="rId299" Type="http://schemas.openxmlformats.org/officeDocument/2006/relationships/hyperlink" Target="https://www.sec.gov/Archives/edgar/data/107263/000129993308004469/exhibit2.htm" TargetMode="External"/><Relationship Id="rId300" Type="http://schemas.openxmlformats.org/officeDocument/2006/relationships/hyperlink" Target="https://www.sec.gov/Archives/edgar/data/107263/000010726314000003/wmb_20131231xex1011.htm" TargetMode="External"/><Relationship Id="rId301" Type="http://schemas.openxmlformats.org/officeDocument/2006/relationships/hyperlink" Target="https://www.sec.gov/Archives/edgar/data/107263/000010726315000003/wmb_20141231xex1012.htm" TargetMode="External"/><Relationship Id="rId303" Type="http://schemas.openxmlformats.org/officeDocument/2006/relationships/hyperlink" Target="https://www.sec.gov/Archives/edgar/data/107263/000010726315000003/wmb_20141231xex1017.htm" TargetMode="External"/><Relationship Id="rId304" Type="http://schemas.openxmlformats.org/officeDocument/2006/relationships/hyperlink" Target="https://www.sec.gov/Archives/edgar/data/107263/000010726317000003/wmb_20161231xex1021.htm" TargetMode="External"/><Relationship Id="rId305" Type="http://schemas.openxmlformats.org/officeDocument/2006/relationships/hyperlink" Target="https://www.sec.gov/Archives/edgar/data/107263/000010726317000003/wmb_20161231xex1022.htm" TargetMode="External"/><Relationship Id="rId306" Type="http://schemas.openxmlformats.org/officeDocument/2006/relationships/hyperlink" Target="https://www.sec.gov/Archives/edgar/data/107263/000010726317000003/wmb_20161231xex1024.htm" TargetMode="External"/><Relationship Id="rId307" Type="http://schemas.openxmlformats.org/officeDocument/2006/relationships/hyperlink" Target="https://www.sec.gov/Archives/edgar/data/107263/000010726317000003/wmb_20161231xex1025.htm" TargetMode="External"/><Relationship Id="rId308" Type="http://schemas.openxmlformats.org/officeDocument/2006/relationships/hyperlink" Target="https://www.sec.gov/Archives/edgar/data/107263/000010726318000013/wmb_20180331xex105.htm" TargetMode="External"/><Relationship Id="rId309" Type="http://schemas.openxmlformats.org/officeDocument/2006/relationships/hyperlink" Target="https://www.sec.gov/Archives/edgar/data/107263/000010726318000024/wmb_20180630xex102.htm" TargetMode="External"/><Relationship Id="rId310" Type="http://schemas.openxmlformats.org/officeDocument/2006/relationships/hyperlink" Target="https://www.sec.gov/Archives/edgar/data/107263/000010726319000014/wmb_20190331xex104.htm" TargetMode="External"/><Relationship Id="rId311" Type="http://schemas.openxmlformats.org/officeDocument/2006/relationships/hyperlink" Target="https://www.sec.gov/Archives/edgar/data/107263/000010726320000016/wmb20200331ex104.htm" TargetMode="External"/><Relationship Id="rId312" Type="http://schemas.openxmlformats.org/officeDocument/2006/relationships/hyperlink" Target="https://www.sec.gov/Archives/edgar/data/107263/000010726322000007/wmb_20211231x10kxex1031.htm" TargetMode="External"/><Relationship Id="rId313" Type="http://schemas.openxmlformats.org/officeDocument/2006/relationships/hyperlink" Target="https://www.sec.gov/Archives/edgar/data/107263/000010726321000006/wmb_20201231x10kxex1029.htm" TargetMode="External"/><Relationship Id="rId314" Type="http://schemas.openxmlformats.org/officeDocument/2006/relationships/hyperlink" Target="https://www.sec.gov/Archives/edgar/data/107263/000010726322000007/wmb_20211231x10kxex1033.htm" TargetMode="External"/><Relationship Id="rId315" Type="http://schemas.openxmlformats.org/officeDocument/2006/relationships/hyperlink" Target="https://www.sec.gov/Archives/edgar/data/107263/000010726323000013/wmb_20230331xex101.htm" TargetMode="External"/><Relationship Id="rId317" Type="http://schemas.openxmlformats.org/officeDocument/2006/relationships/hyperlink" Target="https://www.sec.gov/Archives/edgar/data/107263/000010726323000013/wmb_20230331xex102.htm" TargetMode="External"/><Relationship Id="rId318" Type="http://schemas.openxmlformats.org/officeDocument/2006/relationships/hyperlink" Target="https://www.sec.gov/Archives/edgar/data/107263/000010726324000063/wmb20240331_10qxex101.htm" TargetMode="External"/><Relationship Id="rId319" Type="http://schemas.openxmlformats.org/officeDocument/2006/relationships/hyperlink" Target="https://www.sec.gov/Archives/edgar/data/99250/000010726325000102/wmb_20250331x10qxex101.htm" TargetMode="External"/><Relationship Id="rId320" Type="http://schemas.openxmlformats.org/officeDocument/2006/relationships/hyperlink" Target="https://www.sec.gov/Archives/edgar/data/99250/000010726325000102/wmb_20250331x10qxex102.htm" TargetMode="External"/><Relationship Id="rId321" Type="http://schemas.openxmlformats.org/officeDocument/2006/relationships/hyperlink" Target="https://www.sec.gov/Archives/edgar/data/99250/000010726325000102/wmb_20250331x10qxex103.htm" TargetMode="External"/><Relationship Id="rId322" Type="http://schemas.openxmlformats.org/officeDocument/2006/relationships/hyperlink" Target="https://www.sec.gov/Archives/edgar/data/99250/000010726325000102/wmb_20250331x10qxex104.htm" TargetMode="External"/><Relationship Id="rId323" Type="http://schemas.openxmlformats.org/officeDocument/2006/relationships/hyperlink" Target="https://www.sec.gov/Archives/edgar/data/99250/000010726325000102/wmb_20250331x10qxex105.htm" TargetMode="External"/><Relationship Id="rId324" Type="http://schemas.openxmlformats.org/officeDocument/2006/relationships/hyperlink" Target="https://www.sec.gov/Archives/edgar/data/99250/000010726325000145/wmb_20250930x10qxex101.htm" TargetMode="External"/><Relationship Id="rId325" Type="http://schemas.openxmlformats.org/officeDocument/2006/relationships/hyperlink" Target="https://www.sec.gov/Archives/edgar/data/107263/000010726320000005/wmb20191231ex1029.htm" TargetMode="External"/><Relationship Id="rId326" Type="http://schemas.openxmlformats.org/officeDocument/2006/relationships/hyperlink" Target="https://www.sec.gov/Archives/edgar/data/107263/000010726320000005/wmb20191231ex1030.htm" TargetMode="External"/><Relationship Id="rId327" Type="http://schemas.openxmlformats.org/officeDocument/2006/relationships/hyperlink" Target="https://www.sec.gov/Archives/edgar/data/107263/000010726322000030/wmb_20220930xex101.htm" TargetMode="External"/><Relationship Id="rId328" Type="http://schemas.openxmlformats.org/officeDocument/2006/relationships/hyperlink" Target="https://www.sec.gov/Archives/edgar/data/107263/000010726321000027/exhibit109.htm" TargetMode="External"/><Relationship Id="rId330" Type="http://schemas.openxmlformats.org/officeDocument/2006/relationships/hyperlink" Target="https://www.sec.gov/Archives/edgar/data/107263/000119312521295637/d242480dex101.htm" TargetMode="External"/><Relationship Id="rId331" Type="http://schemas.openxmlformats.org/officeDocument/2006/relationships/hyperlink" Target="https://www.sec.gov/Archives/edgar/data/107263/000119312518246104/d599321dex101.htm" TargetMode="External"/><Relationship Id="rId332" Type="http://schemas.openxmlformats.org/officeDocument/2006/relationships/hyperlink" Target="https://www.sec.gov/Archives/edgar/data/107263/000119312525304001/d82372dex101.htm" TargetMode="External"/><Relationship Id="rId333" Type="http://schemas.openxmlformats.org/officeDocument/2006/relationships/hyperlink" Target="https://www.sec.gov/Archives/edgar/data/107263/000010726324000019/wmb_20231231x10kxex971.htm" TargetMode="External"/><Relationship Id="rId336" Type="http://schemas.openxmlformats.org/officeDocument/2006/relationships/hyperlink" Target="https://www.sec.gov/Archives/edgar/data/99250/000095012311017503/c62424exv2w1.htm" TargetMode="External"/><Relationship Id="rId337" Type="http://schemas.openxmlformats.org/officeDocument/2006/relationships/hyperlink" Target="https://www.sec.gov/Archives/edgar/data/99250/000095012311017503/c62424exv3w1.htm" TargetMode="External"/><Relationship Id="rId338" Type="http://schemas.openxmlformats.org/officeDocument/2006/relationships/hyperlink" Target="https://www.sec.gov/Archives/edgar/data/99250/000095012310097206/c60780exv3w2.htm" TargetMode="External"/><Relationship Id="rId341" Type="http://schemas.openxmlformats.org/officeDocument/2006/relationships/hyperlink" Target="https://www.sec.gov/Archives/edgar/data/1324518/000095012310015038/c56383exv10w3.htm" TargetMode="External"/><Relationship Id="rId342" Type="http://schemas.openxmlformats.org/officeDocument/2006/relationships/hyperlink" Target="https://www.sec.gov/Archives/edgar/data/99250/000119312513080249/d489306dex102.htm" TargetMode="External"/><Relationship Id="rId343" Type="http://schemas.openxmlformats.org/officeDocument/2006/relationships/hyperlink" Target="https://www.sec.gov/Archives/edgar/data/0000107263/000119312521295637/d242480dex101.htm" TargetMode="External"/><Relationship Id="rId345" Type="http://schemas.openxmlformats.org/officeDocument/2006/relationships/hyperlink" Target="https://www.sec.gov/Archives/edgar/data/110019/000129993313001234/exhibit1.htm" TargetMode="External"/><Relationship Id="rId346" Type="http://schemas.openxmlformats.org/officeDocument/2006/relationships/hyperlink" Target="https://www.sec.gov/Archives/edgar/data/110019/000129993313001234/exhibit2.htm" TargetMode="External"/><Relationship Id="rId347" Type="http://schemas.openxmlformats.org/officeDocument/2006/relationships/hyperlink" Target="https://www.sec.gov/Archives/edgar/data/110019/000129993313001234/exhibit3.htm" TargetMode="External"/><Relationship Id="rId348" Type="http://schemas.openxmlformats.org/officeDocument/2006/relationships/hyperlink" Target="https://www.sec.gov/Archives/edgar/data/110019/000095012908000389/h53437exv10w1.htm" TargetMode="External"/><Relationship Id="rId349" Type="http://schemas.openxmlformats.org/officeDocument/2006/relationships/hyperlink" Target="https://www.sec.gov/Archives/edgar/data/110019/000119312513080291/d492933dex10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2026-02-24T13:34:25Z</dcterms:created>
  <dcterms:modified xsi:type="dcterms:W3CDTF">2026-02-24T13:34:25Z</dcterms:modified>
</cp:coreProperties>
</file>