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424d8k.htm"/>
      <w:bookmarkStart w:id="1" w:name="ksd11342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10, 2026 (September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Williams Companies,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1-4174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73-0569878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935"/>
        <w:gridCol w:w="60"/>
        <w:gridCol w:w="119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sz w:val="20"/>
              </w:rPr>
            </w:pPr>
            <w:r>
              <w:rPr>
                <w:b/>
                <w:sz w:val="20"/>
              </w:rPr>
              <w:t>One Williams Center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Tulsa, Oklahoma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74172-0172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(918) 573-2000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WMB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The Williams Companies, Inc. (the “Company”) issued a press release announcing that it had priced the Offering (as defined below). A copy of the press release is furnished and attached as Exhibit 99.1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furnished under this Item 7.01 on this Current Report on Form 8-K and Exhibit 99.1 attached hereto are deemed to be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8, 2026, the Company entered into an underwriting agreement (the “Underwriting Agreement”) with Citigroup Global Markets Inc., Mizuho Securities USA LLC, Morgan Stanley &amp; Co. LLC and SMBC Nikko Securities America, Inc., as representatives of the underwriters named in Schedule 1 thereto, with respect to the offering and sale in an underwritten public offering (the “Offering”) of $500 million aggregate principal amount of its 5.000% Senior Notes due 2029 (the “2029 Notes”), $1.0 billion aggregate principal amount of its 5.600% Senior Notes due 2033 (the “2033 Notes”), $750 million aggregate principal amount of its 5.800% Senior Notes due 2036 (the “2036 Notes”) and $500 million aggregate principal amount of its 6.400% Senior Notes due 2056 (the “2056 Notes” and, together with the 2029 Notes, the 2033 Notes and the 2036 Notes, the “Notes”). The Underwriting Agreement is filed as Exhibit 1.1 to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Offering has been registered under the Securities Act pursuant to a registration statement on Form S-3 (Registration No. 333-277232) of the Company (the “Registration Statement”) and the prospectus supplement dated September 8, 2026 and filed with the Securities and Exchange Commission pursuant to Rule 424(b) of the Securities Act on September 9, 2026. The Offering is expected to close on September 10, 2026. The legal opinion of Gibson, Dunn &amp; Crutcher LLP related to the Offering pursuant to the Registration Statement is filed as Exhibit 5.1 to this report.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pursuant to an Indenture, dated as of December 18, 2012, between the Company and The Bank of New York Mellon Trust Company, N.A., as trustee (the “Trustee”), as supplemented by the Fourteenth Supplemental Indenture (the “Supplemental Indenture”), to be dated as of September 10, 2026, between the Company and the Trustee. The Notes will each be represented by a global security, the applicable forms of which are included as exhibits to the Supplemental Indenture. The form of Supplemental Indenture and the forms of the Notes are filed as Exhibits to this Current Report on Form 8-K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290"/>
        <w:gridCol w:w="8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11.htm">
              <w:r>
                <w:rPr>
                  <w:rStyle w:val="InternetLink"/>
                </w:rPr>
                <w:t xml:space="preserve">Underwriting Agreement, dated September 8, 2026, by and among The Williams Companies, Inc. and Citigroup Global Markets Inc., Mizuho Securities USA LLC, Morgan Stanley &amp; Co. LLC and SMBC Nikko Securities America, Inc., as representatives of the underwriters named in Schedule 1 thereto.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41.htm">
              <w:r>
                <w:rPr>
                  <w:rStyle w:val="InternetLink"/>
                </w:rPr>
                <w:t xml:space="preserve">Form of Fourteenth Supplemental Indenture, to be dated September 10, 2026, between The Williams Companies, Inc. and The Bank of New York Mellon Trust Company, N.A., as trustee.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41.htm">
              <w:r>
                <w:rPr>
                  <w:rStyle w:val="InternetLink"/>
                </w:rPr>
                <w:t xml:space="preserve">Form of 5.000% Senior Notes due 2029 (included in Exhibit 4.1).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41.htm">
              <w:r>
                <w:rPr>
                  <w:rStyle w:val="InternetLink"/>
                </w:rPr>
                <w:t xml:space="preserve">Form of 5.600% Senior Notes due 2033 (included in Exhibit 4.1).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41.htm">
              <w:r>
                <w:rPr>
                  <w:rStyle w:val="InternetLink"/>
                </w:rPr>
                <w:t xml:space="preserve">Form of 5.800% Senior Notes due 2036 (included in Exhibit 4.1).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41.htm">
              <w:r>
                <w:rPr>
                  <w:rStyle w:val="InternetLink"/>
                </w:rPr>
                <w:t xml:space="preserve">Form of 6.400% Senior Notes due 2056 (included in Exhibit 4.1).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51.htm">
              <w:r>
                <w:rPr>
                  <w:rStyle w:val="InternetLink"/>
                </w:rPr>
                <w:t xml:space="preserve">Opinion of Gibson, Dunn &amp; Crutcher LLP relating to the Offering.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51.htm">
              <w:r>
                <w:rPr>
                  <w:rStyle w:val="InternetLink"/>
                </w:rPr>
                <w:t xml:space="preserve">Consent of Gibson, Dunn &amp; Crutcher LLP (included in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424dex991.htm">
              <w:r>
                <w:rPr>
                  <w:rStyle w:val="InternetLink"/>
                </w:rPr>
                <w:t xml:space="preserve">Press Release dated September 8,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The cover page XBRL tags are embedded within the inline XBRL document (contained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458" w:type="dxa"/>
        <w:jc w:val="left"/>
        <w:tblInd w:w="0" w:type="dxa"/>
        <w:tblLayout w:type="fixed"/>
        <w:tblCellMar>
          <w:top w:w="0" w:type="dxa"/>
          <w:left w:w="0" w:type="dxa"/>
          <w:bottom w:w="0" w:type="dxa"/>
          <w:right w:w="0" w:type="dxa"/>
        </w:tblCellMar>
      </w:tblPr>
      <w:tblGrid>
        <w:gridCol w:w="2630"/>
        <w:gridCol w:w="60"/>
        <w:gridCol w:w="23"/>
        <w:gridCol w:w="60"/>
        <w:gridCol w:w="365"/>
        <w:gridCol w:w="60"/>
        <w:gridCol w:w="6260"/>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6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b/>
              </w:rPr>
            </w:pPr>
            <w:r>
              <w:rPr>
                <w:b/>
              </w:rPr>
              <w:t xml:space="preserve">THE WILLIAMS COMPANIES, INC.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32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E. Riley, Jr.</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Robert E. Riley, Jr.</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 and Assistant</w:t>
            </w:r>
          </w:p>
          <w:p>
            <w:pPr>
              <w:pStyle w:val="TableContents"/>
              <w:bidi w:val="0"/>
              <w:spacing w:before="0" w:after="20"/>
              <w:jc w:val="left"/>
              <w:rPr>
                <w:rFonts w:ascii="Times New Roman" w:hAnsi="Times New Roman"/>
                <w:sz w:val="20"/>
              </w:rPr>
            </w:pPr>
            <w:r>
              <w:rPr>
                <w:rFonts w:ascii="Times New Roman" w:hAnsi="Times New Roman"/>
                <w:sz w:val="20"/>
              </w:rPr>
              <w:t>General Counsel – Corporate Secretary and Labor, Employment and Benefits</w:t>
            </w:r>
          </w:p>
        </w:tc>
      </w:tr>
    </w:tbl>
    <w:p>
      <w:pPr>
        <w:pStyle w:val="TextBody"/>
        <w:bidi w:val="0"/>
        <w:spacing w:before="0" w:after="0"/>
        <w:jc w:val="right"/>
        <w:rPr>
          <w:rFonts w:ascii="Times New Roman" w:hAnsi="Times New Roman"/>
          <w:b/>
          <w:sz w:val="20"/>
        </w:rPr>
      </w:pPr>
      <w:bookmarkStart w:id="2" w:name="d113424dex11.htm"/>
      <w:bookmarkStart w:id="3" w:name="ksd113424dex11"/>
      <w:bookmarkEnd w:id="2"/>
      <w:bookmarkEnd w:id="3"/>
      <w:r>
        <w:rPr>
          <w:rFonts w:ascii="Times New Roman" w:hAnsi="Times New Roman"/>
          <w:b/>
          <w:sz w:val="20"/>
        </w:rPr>
        <w:t xml:space="preserve">Exhibit 1.1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THE WILLIAMS COMPANIES, INC. </w:t>
      </w:r>
    </w:p>
    <w:p>
      <w:pPr>
        <w:pStyle w:val="TextBody"/>
        <w:bidi w:val="0"/>
        <w:spacing w:before="240" w:after="0"/>
        <w:jc w:val="center"/>
        <w:rPr>
          <w:rFonts w:ascii="Times New Roman" w:hAnsi="Times New Roman"/>
          <w:b/>
          <w:sz w:val="20"/>
        </w:rPr>
      </w:pPr>
      <w:r>
        <w:rPr>
          <w:rFonts w:ascii="Times New Roman" w:hAnsi="Times New Roman"/>
          <w:b/>
          <w:sz w:val="20"/>
        </w:rPr>
        <w:t xml:space="preserve">$500,000,000 5.000% Senior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5.600% Senior Notes Due 2033 </w:t>
      </w:r>
    </w:p>
    <w:p>
      <w:pPr>
        <w:pStyle w:val="TextBody"/>
        <w:bidi w:val="0"/>
        <w:spacing w:before="0" w:after="0"/>
        <w:jc w:val="center"/>
        <w:rPr>
          <w:rFonts w:ascii="Times New Roman" w:hAnsi="Times New Roman"/>
          <w:b/>
          <w:sz w:val="20"/>
        </w:rPr>
      </w:pPr>
      <w:r>
        <w:rPr>
          <w:rFonts w:ascii="Times New Roman" w:hAnsi="Times New Roman"/>
          <w:b/>
          <w:sz w:val="20"/>
        </w:rPr>
        <w:t xml:space="preserve">$750,000,000 5.800% Senior Notes Due 2036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6.400% Senior Notes Due 2056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Mizuho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SMBC Nikko Securities America,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c/o 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10013 </w:t>
      </w:r>
    </w:p>
    <w:p>
      <w:pPr>
        <w:pStyle w:val="TextBody"/>
        <w:bidi w:val="0"/>
        <w:spacing w:before="240" w:after="0"/>
        <w:jc w:val="left"/>
        <w:rPr>
          <w:rFonts w:ascii="Times New Roman" w:hAnsi="Times New Roman"/>
          <w:sz w:val="20"/>
        </w:rPr>
      </w:pPr>
      <w:r>
        <w:rPr>
          <w:rFonts w:ascii="Times New Roman" w:hAnsi="Times New Roman"/>
          <w:sz w:val="20"/>
        </w:rPr>
        <w:t xml:space="preserve">c/o Mizuho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10020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c/o SMBC Nikko Securities America, Inc. </w:t>
      </w:r>
    </w:p>
    <w:p>
      <w:pPr>
        <w:pStyle w:val="TextBody"/>
        <w:bidi w:val="0"/>
        <w:spacing w:before="0" w:after="0"/>
        <w:jc w:val="left"/>
        <w:rPr>
          <w:rFonts w:ascii="Times New Roman" w:hAnsi="Times New Roman"/>
          <w:sz w:val="20"/>
        </w:rPr>
      </w:pPr>
      <w:r>
        <w:rPr>
          <w:rFonts w:ascii="Times New Roman" w:hAnsi="Times New Roman"/>
          <w:sz w:val="20"/>
        </w:rPr>
        <w:t xml:space="preserve">277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10172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Williams Companies, Inc., a Delaware corporation (the “</w:t>
      </w:r>
      <w:r>
        <w:rPr>
          <w:rFonts w:ascii="Times New Roman" w:hAnsi="Times New Roman"/>
          <w:b/>
          <w:sz w:val="20"/>
        </w:rPr>
        <w:t>Company</w:t>
      </w:r>
      <w:r>
        <w:rPr>
          <w:rFonts w:ascii="Times New Roman" w:hAnsi="Times New Roman"/>
          <w:sz w:val="20"/>
        </w:rPr>
        <w:t>”), proposes to issue and sell to the several Underwriters named in Schedule 1 hereto (the “</w:t>
      </w:r>
      <w:r>
        <w:rPr>
          <w:rFonts w:ascii="Times New Roman" w:hAnsi="Times New Roman"/>
          <w:b/>
          <w:sz w:val="20"/>
        </w:rPr>
        <w:t>Underwriters</w:t>
      </w:r>
      <w:r>
        <w:rPr>
          <w:rFonts w:ascii="Times New Roman" w:hAnsi="Times New Roman"/>
          <w:sz w:val="20"/>
        </w:rPr>
        <w:t>”), $500,000,000 in aggregate principal amount of its 5.000% Senior Notes due 2029 (the “</w:t>
      </w:r>
      <w:r>
        <w:rPr>
          <w:rFonts w:ascii="Times New Roman" w:hAnsi="Times New Roman"/>
          <w:b/>
          <w:sz w:val="20"/>
        </w:rPr>
        <w:t>2029 Notes</w:t>
      </w:r>
      <w:r>
        <w:rPr>
          <w:rFonts w:ascii="Times New Roman" w:hAnsi="Times New Roman"/>
          <w:sz w:val="20"/>
        </w:rPr>
        <w:t>”), $1,000,000,000 in aggregate principal amount of its 5.600% Senior Notes due 2033 (the “</w:t>
      </w:r>
      <w:r>
        <w:rPr>
          <w:rFonts w:ascii="Times New Roman" w:hAnsi="Times New Roman"/>
          <w:b/>
          <w:sz w:val="20"/>
        </w:rPr>
        <w:t>2033 Notes</w:t>
      </w:r>
      <w:r>
        <w:rPr>
          <w:rFonts w:ascii="Times New Roman" w:hAnsi="Times New Roman"/>
          <w:sz w:val="20"/>
        </w:rPr>
        <w:t>”), $750,000,000 in aggregate principal amount of its 5.800% Senior Notes due 2036 (the “</w:t>
      </w:r>
      <w:r>
        <w:rPr>
          <w:rFonts w:ascii="Times New Roman" w:hAnsi="Times New Roman"/>
          <w:b/>
          <w:sz w:val="20"/>
        </w:rPr>
        <w:t>2036 Notes</w:t>
      </w:r>
      <w:r>
        <w:rPr>
          <w:rFonts w:ascii="Times New Roman" w:hAnsi="Times New Roman"/>
          <w:sz w:val="20"/>
        </w:rPr>
        <w:t>”) and $500,000,000 in aggregate principal amount of its 6.400% Senior Notes due 2056 (the “</w:t>
      </w:r>
      <w:r>
        <w:rPr>
          <w:rFonts w:ascii="Times New Roman" w:hAnsi="Times New Roman"/>
          <w:b/>
          <w:sz w:val="20"/>
        </w:rPr>
        <w:t>2056 Notes</w:t>
      </w:r>
      <w:r>
        <w:rPr>
          <w:rFonts w:ascii="Times New Roman" w:hAnsi="Times New Roman"/>
          <w:sz w:val="20"/>
        </w:rPr>
        <w:t>” and, together with the 2029 Notes, the 2033 Notes and the 2036 Notes, the “</w:t>
      </w:r>
      <w:r>
        <w:rPr>
          <w:rFonts w:ascii="Times New Roman" w:hAnsi="Times New Roman"/>
          <w:b/>
          <w:sz w:val="20"/>
        </w:rPr>
        <w:t>Notes</w:t>
      </w:r>
      <w:r>
        <w:rPr>
          <w:rFonts w:ascii="Times New Roman" w:hAnsi="Times New Roman"/>
          <w:sz w:val="20"/>
        </w:rPr>
        <w:t xml:space="preserve">”) to be issued under a base indenture, dated as of December 18, 2012, as supplemented by the first supplemental indenture, dated as of December 18, 2012, the second supplemental indenture, dated as of June 24, 2014, the third supplemental indenture, dated as of May 14, 2020, the fourth supplemental indenture, dated as of February 25, 2021, the fifth supplemental indenture, dated as of October 8, 2021, the sixth supplemental indenture, dated as of August 8, 2022, the seventh supplemental indenture, dated as of March 2, 2023, the eighth supplemental indenture, dated as of August 10, 2023, the ninth supplemental indenture, dated as of January 5, 2024, the tenth supplemental indenture, dated as of August 13, 2024, the eleventh supplemental indenture, dated as of January 9, 2025, a twelfth supplemental indenture, dated as of June 30, 2025, a thirteenth supplemental indenture, dated as of January 8, 2026 and a fourteenth supplemental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to be dated September 10, 2026 (such base indenture and the supplemental indentures thereto being referred to collectively herein as the “</w:t>
      </w:r>
      <w:r>
        <w:rPr>
          <w:rFonts w:ascii="Times New Roman" w:hAnsi="Times New Roman"/>
          <w:b/>
          <w:sz w:val="20"/>
        </w:rPr>
        <w:t>Indenture</w:t>
      </w:r>
      <w:r>
        <w:rPr>
          <w:rFonts w:ascii="Times New Roman" w:hAnsi="Times New Roman"/>
          <w:sz w:val="20"/>
        </w:rPr>
        <w:t>”), each between the Company and The Bank of New York Mellon Trust Company, N.A., as trustee (the “</w:t>
      </w:r>
      <w:r>
        <w:rPr>
          <w:rFonts w:ascii="Times New Roman" w:hAnsi="Times New Roman"/>
          <w:b/>
          <w:sz w:val="20"/>
        </w:rPr>
        <w:t>Trustee</w:t>
      </w:r>
      <w:r>
        <w:rPr>
          <w:rFonts w:ascii="Times New Roman" w:hAnsi="Times New Roman"/>
          <w:sz w:val="20"/>
        </w:rPr>
        <w:t>”). Citigroup Global Markets Inc., Mizuho Securities USA LLC, Morgan Stanley &amp; Co. LLC and SMBC Nikko Securities America, Inc. shall act as representatives (the “</w:t>
      </w:r>
      <w:r>
        <w:rPr>
          <w:rFonts w:ascii="Times New Roman" w:hAnsi="Times New Roman"/>
          <w:b/>
          <w:sz w:val="20"/>
        </w:rPr>
        <w:t>Representatives</w:t>
      </w:r>
      <w:r>
        <w:rPr>
          <w:rFonts w:ascii="Times New Roman" w:hAnsi="Times New Roman"/>
          <w:sz w:val="20"/>
        </w:rPr>
        <w:t xml:space="preserve">”)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herein shall have the same meanings given them in the Prospectus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this offering for those purposes more specifically set forth in the Prospectus under “Use of Proceeds”. </w:t>
      </w:r>
    </w:p>
    <w:p>
      <w:pPr>
        <w:pStyle w:val="TextBody"/>
        <w:bidi w:val="0"/>
        <w:spacing w:before="240" w:after="0"/>
        <w:jc w:val="left"/>
        <w:rPr>
          <w:rFonts w:ascii="Times New Roman" w:hAnsi="Times New Roman"/>
          <w:sz w:val="20"/>
        </w:rPr>
      </w:pPr>
      <w:r>
        <w:rPr>
          <w:rFonts w:ascii="Times New Roman" w:hAnsi="Times New Roman"/>
          <w:sz w:val="20"/>
        </w:rPr>
        <w:t>This is to confirm the agreement (this “</w:t>
      </w:r>
      <w:r>
        <w:rPr>
          <w:rFonts w:ascii="Times New Roman" w:hAnsi="Times New Roman"/>
          <w:b/>
          <w:sz w:val="20"/>
        </w:rPr>
        <w:t>Agreement</w:t>
      </w:r>
      <w:r>
        <w:rPr>
          <w:rFonts w:ascii="Times New Roman" w:hAnsi="Times New Roman"/>
          <w:sz w:val="20"/>
        </w:rPr>
        <w:t xml:space="preserve">”) concerning the purchase of the Notes by the Underwriters. As used in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Applicable Time</w:t>
      </w:r>
      <w:r>
        <w:rPr>
          <w:rFonts w:ascii="Times New Roman" w:hAnsi="Times New Roman"/>
          <w:sz w:val="20"/>
        </w:rPr>
        <w:t xml:space="preserve">” means 5:40 p.m. (New York City time) on September 8, 2026, which the Underwriters have informed the Company and its counsel is a time prior to the time of the first sale of the Notes;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b/>
          <w:sz w:val="20"/>
        </w:rPr>
        <w:t>Effective Date</w:t>
      </w:r>
      <w:r>
        <w:rPr>
          <w:rFonts w:ascii="Times New Roman" w:hAnsi="Times New Roman"/>
          <w:sz w:val="20"/>
        </w:rPr>
        <w:t xml:space="preserve">” means any date as of which any part of the Registration Statement became, or is deemed to have become, effective under the Securities Act in accordance with the Rules and Regulations;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sz w:val="20"/>
        </w:rPr>
        <w:t>Issuer Free Writing Prospectus</w:t>
      </w:r>
      <w:r>
        <w:rPr>
          <w:rFonts w:ascii="Times New Roman" w:hAnsi="Times New Roman"/>
          <w:sz w:val="20"/>
        </w:rPr>
        <w:t xml:space="preserve">” means each “free writing prospectus” (as defined in Rule 405 of the Rules and Regulations) prepared by or on behalf of the Company or used or referred to by the Company in connection with the offering of the Notes;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b/>
          <w:sz w:val="20"/>
        </w:rPr>
        <w:t>Preliminary Prospectus</w:t>
      </w:r>
      <w:r>
        <w:rPr>
          <w:rFonts w:ascii="Times New Roman" w:hAnsi="Times New Roman"/>
          <w:sz w:val="20"/>
        </w:rPr>
        <w:t xml:space="preserve">” means any preliminary prospectus included in such registration statement or filed with the Commission by the Company pursuant to Rule 424(b) of the Rules and Regulations, including any preliminary prospectus supplement thereto relating to the Notes;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Pricing Disclosure Package</w:t>
      </w:r>
      <w:r>
        <w:rPr>
          <w:rFonts w:ascii="Times New Roman" w:hAnsi="Times New Roman"/>
          <w:sz w:val="20"/>
        </w:rPr>
        <w:t>” means, as of the Applicable Time, the most recent Preliminary Prospectus, together with the term sheet attached as Annex I hereto (the “</w:t>
      </w:r>
      <w:r>
        <w:rPr>
          <w:rFonts w:ascii="Times New Roman" w:hAnsi="Times New Roman"/>
          <w:b/>
          <w:sz w:val="20"/>
        </w:rPr>
        <w:t>Term Sheet</w:t>
      </w:r>
      <w:r>
        <w:rPr>
          <w:rFonts w:ascii="Times New Roman" w:hAnsi="Times New Roman"/>
          <w:sz w:val="20"/>
        </w:rPr>
        <w:t xml:space="preserve">”) and each other Issuer Free Writing Prospectus filed or used by the Company on or before the Applicable Time, other than a road show that is an Issuer Free Writing Prospectus but is not required to be filed under Rule 433 of the Rules and Regulations; </w:t>
      </w:r>
    </w:p>
    <w:p>
      <w:pPr>
        <w:pStyle w:val="TextBody"/>
        <w:bidi w:val="0"/>
        <w:spacing w:before="240" w:after="0"/>
        <w:jc w:val="left"/>
        <w:rPr>
          <w:rFonts w:ascii="Times New Roman" w:hAnsi="Times New Roman"/>
          <w:sz w:val="20"/>
        </w:rPr>
      </w:pPr>
      <w:r>
        <w:rPr>
          <w:rFonts w:ascii="Times New Roman" w:hAnsi="Times New Roman"/>
          <w:sz w:val="20"/>
        </w:rPr>
        <w:t>(vi) “</w:t>
      </w:r>
      <w:r>
        <w:rPr>
          <w:rFonts w:ascii="Times New Roman" w:hAnsi="Times New Roman"/>
          <w:b/>
          <w:sz w:val="20"/>
        </w:rPr>
        <w:t>Prospectus</w:t>
      </w:r>
      <w:r>
        <w:rPr>
          <w:rFonts w:ascii="Times New Roman" w:hAnsi="Times New Roman"/>
          <w:sz w:val="20"/>
        </w:rPr>
        <w:t xml:space="preserve">” means the prospectus supplement relating to the Notes that is first filed with the Commission pursuant to Rule 424(b) of the Rules and Regulations after the Applicable Time together with the base prospectus filed as part of the Registration Statement, in the form in which it has most recently been amended prior to the date hereof; and </w:t>
      </w:r>
    </w:p>
    <w:p>
      <w:pPr>
        <w:pStyle w:val="TextBody"/>
        <w:bidi w:val="0"/>
        <w:spacing w:before="240" w:after="0"/>
        <w:jc w:val="left"/>
        <w:rPr>
          <w:rFonts w:ascii="Times New Roman" w:hAnsi="Times New Roman"/>
          <w:sz w:val="20"/>
        </w:rPr>
      </w:pPr>
      <w:r>
        <w:rPr>
          <w:rFonts w:ascii="Times New Roman" w:hAnsi="Times New Roman"/>
          <w:sz w:val="20"/>
        </w:rPr>
        <w:t>(vii) “</w:t>
      </w:r>
      <w:r>
        <w:rPr>
          <w:rFonts w:ascii="Times New Roman" w:hAnsi="Times New Roman"/>
          <w:b/>
          <w:sz w:val="20"/>
        </w:rPr>
        <w:t>Registration Statement</w:t>
      </w:r>
      <w:r>
        <w:rPr>
          <w:rFonts w:ascii="Times New Roman" w:hAnsi="Times New Roman"/>
          <w:sz w:val="20"/>
        </w:rPr>
        <w:t xml:space="preserve">” means, collectively, the various parts of the automatic shelf registration statement on Form S-3 (File No. 333-277232), as amended as of the Effective Date, including any Preliminary Prospectus or the Prospectus and all exhibits to such registration statement. Any reference to any Preliminary Prospectus or the Prospectus shall be deemed to refer to and include any documents incorporated by reference therein pursuant to Form S-3 under the Securities Act as of the date of such Preliminary Prospectus or the Prospectus, as the case may be. Any reference to the “most recent Preliminary Prospectus”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and deemed part of such registration statement pursuant to Rule 430B.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reference to any amendment or supplement to any Preliminary Prospectus or the Prospectus shall be deemed to refer to and include any document filed under the Securities Exchange Act of 1934, as amended (the “</w:t>
      </w:r>
      <w:r>
        <w:rPr>
          <w:rFonts w:ascii="Times New Roman" w:hAnsi="Times New Roman"/>
          <w:b/>
          <w:sz w:val="20"/>
        </w:rPr>
        <w:t>Exchange Act</w:t>
      </w:r>
      <w:r>
        <w:rPr>
          <w:rFonts w:ascii="Times New Roman" w:hAnsi="Times New Roman"/>
          <w:sz w:val="20"/>
        </w:rPr>
        <w:t>”), after the date of such Preliminary Prospectus or the Prospectus, as the case may be, and incorporated by reference in such Preliminary Prospectus or the Prospectus pursuant to Item 12 of Form S-3 under the Securities Act of 1933, as amended (the “</w:t>
      </w:r>
      <w:r>
        <w:rPr>
          <w:rFonts w:ascii="Times New Roman" w:hAnsi="Times New Roman"/>
          <w:b/>
          <w:sz w:val="20"/>
        </w:rPr>
        <w:t>Securities Act</w:t>
      </w:r>
      <w:r>
        <w:rPr>
          <w:rFonts w:ascii="Times New Roman" w:hAnsi="Times New Roman"/>
          <w:sz w:val="20"/>
        </w:rPr>
        <w:t>”), as of the date of such Preliminary Prospectus or the Prospectus, as the case may be; and any reference to any amendment to the Registration Statement shall be deemed to include any annual report of the Company on Form 10-K filed with the Securities and Exchange Commission (the “</w:t>
      </w:r>
      <w:r>
        <w:rPr>
          <w:rFonts w:ascii="Times New Roman" w:hAnsi="Times New Roman"/>
          <w:b/>
          <w:sz w:val="20"/>
        </w:rPr>
        <w:t>Commission</w:t>
      </w:r>
      <w:r>
        <w:rPr>
          <w:rFonts w:ascii="Times New Roman" w:hAnsi="Times New Roman"/>
          <w:sz w:val="20"/>
        </w:rPr>
        <w:t xml:space="preserve">”) pursuant to Section 13(a) or 15(d) of the Exchange Act after the Effective Date that is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Warranties and Agreements of the Company</w:t>
      </w:r>
      <w:r>
        <w:rPr>
          <w:rFonts w:ascii="Times New Roman" w:hAnsi="Times New Roman"/>
          <w:sz w:val="20"/>
        </w:rPr>
        <w:t xml:space="preserve">. The Company represents, warrants and agrees that: </w:t>
      </w:r>
    </w:p>
    <w:p>
      <w:pPr>
        <w:pStyle w:val="TextBody"/>
        <w:bidi w:val="0"/>
        <w:spacing w:before="120" w:after="0"/>
        <w:jc w:val="left"/>
        <w:rPr>
          <w:rFonts w:ascii="Times New Roman" w:hAnsi="Times New Roman"/>
          <w:sz w:val="20"/>
        </w:rPr>
      </w:pPr>
      <w:r>
        <w:rPr>
          <w:rFonts w:ascii="Times New Roman" w:hAnsi="Times New Roman"/>
          <w:sz w:val="20"/>
        </w:rPr>
        <w:t>(a) An “automatic shelf registration statement” as defined in Rule 405 of the Rules and Regulations (as defined below) on Form S-3 (File No. 333-277232) with respect to the Notes has (i) been prepared by the Company in conformity with the requirements of the Securities Act and the rules and regulations (the “</w:t>
      </w:r>
      <w:r>
        <w:rPr>
          <w:rFonts w:ascii="Times New Roman" w:hAnsi="Times New Roman"/>
          <w:b/>
          <w:sz w:val="20"/>
        </w:rPr>
        <w:t>Rules and Regulations</w:t>
      </w:r>
      <w:r>
        <w:rPr>
          <w:rFonts w:ascii="Times New Roman" w:hAnsi="Times New Roman"/>
          <w:sz w:val="20"/>
        </w:rPr>
        <w:t xml:space="preserve">”) of the Commission thereunder, (ii) been filed with the Commission under the Securities Act and (iii) become effective under the Securities Act. Copies of such registration statement have been delivered by the Company to the Representatives. The Commission has not issued any order preventing or suspending the use of any Preliminary Prospectus, the Prospectus or any Issuer Free Writing Prospectus or suspending the effectiveness of the Registration Statement, and no proceeding or examination for such purpose has been instituted or threatened by the Commission. The Commission has not notified the Company of any objection to the use of the form of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if any, (iii) at the time the Company or any person acting on its behalf (within the meaning, for this clause only, of Rule 163(c)) made any offer relating to the Notes in reliance on the exemption in Rule 163 and (iv) as of the date hereof, the Company was or is (as the case may be) a “well-known seasoned issuer” as defined in Rule 405 of the Rules and Regulations. The Company was not at the earliest time after the initial filing of the Registration Statement that the Company or another offering participant made a bona fide offer (within the meaning of Rule 164(h)(2) of the Rules and Regulations) of the Notes, is not on the date hereof and will not be on the Delivery Date (as defined in </w:t>
      </w:r>
      <w:r>
        <w:rPr>
          <w:rFonts w:ascii="Times New Roman" w:hAnsi="Times New Roman"/>
          <w:sz w:val="20"/>
          <w:u w:val="single"/>
        </w:rPr>
        <w:t>Section 4</w:t>
      </w:r>
      <w:r>
        <w:rPr>
          <w:rFonts w:ascii="Times New Roman" w:hAnsi="Times New Roman"/>
          <w:sz w:val="20"/>
        </w:rPr>
        <w:t xml:space="preserve">) an “ineligible issuer” (as defined in Rule 405 of the Rules and Regulations). The Company has been since the time of initial filing of the Registration Statement and continues to be eligible to use Form S-3 for the offering of the Notes. </w:t>
      </w:r>
    </w:p>
    <w:p>
      <w:pPr>
        <w:pStyle w:val="TextBody"/>
        <w:bidi w:val="0"/>
        <w:spacing w:before="240" w:after="0"/>
        <w:jc w:val="left"/>
        <w:rPr>
          <w:rFonts w:ascii="Times New Roman" w:hAnsi="Times New Roman"/>
          <w:sz w:val="20"/>
        </w:rPr>
      </w:pPr>
      <w:r>
        <w:rPr>
          <w:rFonts w:ascii="Times New Roman" w:hAnsi="Times New Roman"/>
          <w:sz w:val="20"/>
        </w:rPr>
        <w:t>(c) The Registration Statement conformed and will conform in all material respects on the Effective Date and on the Delivery Date, and any amendment to the Registration Statement filed after the date hereof will conform in all material respects when filed, to the requirements of the Securities Act, the Rules and Regulations and the Trust Indenture Act of 1939, as amended, and the rules and regulations of the Commission thereunder (collectively, the “</w:t>
      </w:r>
      <w:r>
        <w:rPr>
          <w:rFonts w:ascii="Times New Roman" w:hAnsi="Times New Roman"/>
          <w:b/>
          <w:sz w:val="20"/>
        </w:rPr>
        <w:t>Trust Indenture Act</w:t>
      </w:r>
      <w:r>
        <w:rPr>
          <w:rFonts w:ascii="Times New Roman" w:hAnsi="Times New Roman"/>
          <w:sz w:val="20"/>
        </w:rPr>
        <w:t xml:space="preserve">”).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documents incorporated by reference in any Preliminary Prospectus or the Prospectus conformed, and any further documents incorporated by reference therein will conform, when filed with the Commission, in all material respects to the requirements of the Exchange Act or the Securities Act, as applicable, and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Registration Statement did not, as of the Effective Date, contain an untrue statement of a material fact or omit to state a material fact required to be stated therein or necessary to make the statements therein not misleading and each of the statements made by the Company in the Registration Statement and any further amendments to the Registration Statement within the coverage of Rule 175(b)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Rules and Regulations, including (but not limited to) any statements with respect to future dividends of the Company, was made with a reasonable basis and in good faith; provided that no representation or warranty is made as to (i) that part of the Registration Statement which shall constitute the Statement of Eligibility and Qualification (Form T-1) under the Trust Indenture Act of the Trustee or (ii)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w:t>
      </w:r>
      <w:r>
        <w:rPr>
          <w:rFonts w:ascii="Times New Roman" w:hAnsi="Times New Roman"/>
          <w:sz w:val="20"/>
          <w:u w:val="single"/>
        </w:rPr>
        <w:t>Section 8(e)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Prospectus will not, as of its date and on the Delivery Date, contain an untrue statement of a material fact or omit to state a material fact necessary in order to make the statements therein, in the light of the circumstances under which they were made, not misleading and each of the statements made or to be made by the Company in the Preliminary Prospectus or the Prospectus, as applicable, and any further supplements to the Preliminary Prospectus or the Prospectus within the coverage of Rule 175(b) of the Rules and Regulations, including (but not limited to) any statements with respect to future dividends of the Company, was made with a reasonable basis and in good faith; provided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w:t>
      </w:r>
      <w:r>
        <w:rPr>
          <w:rFonts w:ascii="Times New Roman" w:hAnsi="Times New Roman"/>
          <w:sz w:val="20"/>
          <w:u w:val="single"/>
        </w:rPr>
        <w:t>Section 8(e)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required to be stated therein or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(g) The Pricing Disclosure Package did not, as of the Applicable Time, contain an untrue statement of a material fact or omit to state a material fact necessary in order to make the statements therein, in the light of the circumstances under which they were made, not misleading; provided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w:t>
      </w:r>
      <w:r>
        <w:rPr>
          <w:rFonts w:ascii="Times New Roman" w:hAnsi="Times New Roman"/>
          <w:sz w:val="20"/>
          <w:u w:val="single"/>
        </w:rPr>
        <w:t>Section 8(e)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Each Issuer Free Writing Prospectus (including, without limitation, any road show that is a free writing prospectus under Rule 433 of the Rules and Regulations) and each electronic road show, if any, when considered together with the Pricing Disclosure Package as of the Applicable Time, did not contain an untrue statement of a material fact or omit to state a material fact necessary in order to make the statements therein, in the light of the circumstances under which they were made, not misleading; provided that no representation or warranty is made as to information contained in or omitted from an Issuer Free Writing Prospectus in reliance upon and in conformity with written information furnished to the Company through the Representatives by or on behalf of any Underwriter specifically for inclusion therein, which information is specified in </w:t>
      </w:r>
      <w:r>
        <w:rPr>
          <w:rFonts w:ascii="Times New Roman" w:hAnsi="Times New Roman"/>
          <w:sz w:val="20"/>
          <w:u w:val="single"/>
        </w:rPr>
        <w:t>Section 8(e)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Issuer Free Writing Prospectus, if any, conformed or will conform in all material respects to the requirements of the Securities Act and the Rules and Regulations on the date of first use, and the Company has complied or will comply with any filing requirements applicable to such Issuer Free Writing Prospectus pursuant to the Rules and Regulations. The Company has not made any offer relating to the Notes that would constitute an Issuer Free Writing Prospectus without the prior written consent of the Representatives. The Company has retained in accordance with the Rules and Regulations all Issuer Free Writing Prospectuses that were not required to be filed pursuant to the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The Company has been duly incorporated, is validly existing as a corporation in good standing under the Delaware General Corporation Law, has the corporate power and authority to own its property and to conduct its business as described in the Pricing Disclosure Package and the Prospectus (exclusive of any amendment or supplement thereto) and is duly qualified to do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financial condition, results of operations, business or prospects of the Company and its subsidiaries, taken as a whole (a “</w:t>
      </w:r>
      <w:r>
        <w:rPr>
          <w:rFonts w:ascii="Times New Roman" w:hAnsi="Times New Roman"/>
          <w:b/>
          <w:sz w:val="20"/>
        </w:rPr>
        <w:t>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Each of the Company’s “significant subsidiaries,” as defined in Rule 1-02(w) of Regulation S-X under the Exchange Act (each, a “</w:t>
      </w:r>
      <w:r>
        <w:rPr>
          <w:rFonts w:ascii="Times New Roman" w:hAnsi="Times New Roman"/>
          <w:b/>
          <w:sz w:val="20"/>
        </w:rPr>
        <w:t>Significant Subsidiary</w:t>
      </w:r>
      <w:r>
        <w:rPr>
          <w:rFonts w:ascii="Times New Roman" w:hAnsi="Times New Roman"/>
          <w:sz w:val="20"/>
        </w:rPr>
        <w:t>,” and collectively, the “</w:t>
      </w:r>
      <w:r>
        <w:rPr>
          <w:rFonts w:ascii="Times New Roman" w:hAnsi="Times New Roman"/>
          <w:b/>
          <w:sz w:val="20"/>
        </w:rPr>
        <w:t>Significant Subsidiaries</w:t>
      </w:r>
      <w:r>
        <w:rPr>
          <w:rFonts w:ascii="Times New Roman" w:hAnsi="Times New Roman"/>
          <w:sz w:val="20"/>
        </w:rPr>
        <w:t xml:space="preserve">”) has been duly organized or validly formed, is validly existing and in good standing under the laws of the jurisdiction of its formation or incorporation, has the power (corporate or other) and authority to own its property and to conduct its business as described in the Pricing Disclosure Package and the Prospectus (exclusive of any amendment or supplement thereto) and is duly qualified to do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The partnership agreement, limited liability company agreement or operating agreement, as applicable, each as amended or restated on or prior to the Delivery Date, of each Significant Subsidiary that is a limited partnership or limited liability company has been duly authorized, executed and delivered by each of the parties thereto, and is a valid and legally binding agreement of each of the parties thereto, enforceable against each of the parties thereto in accordance with its terms subject to (i) the effects of bankruptcy, insolvency, reorganization, moratorium, fraudulent conveyance and other similar laws relating to or affecting creditors’ rights generally, (ii) general equitable principles (whether considered in a proceeding in equity or at law), and (iii) except as rights to indemnity and contribution thereunder may be limited by federal or state securities laws or principles of public policy. </w:t>
      </w:r>
    </w:p>
    <w:p>
      <w:pPr>
        <w:pStyle w:val="TextBody"/>
        <w:bidi w:val="0"/>
        <w:spacing w:before="240" w:after="0"/>
        <w:jc w:val="left"/>
        <w:rPr>
          <w:rFonts w:ascii="Times New Roman" w:hAnsi="Times New Roman"/>
          <w:sz w:val="20"/>
        </w:rPr>
      </w:pPr>
      <w:r>
        <w:rPr>
          <w:rFonts w:ascii="Times New Roman" w:hAnsi="Times New Roman"/>
          <w:sz w:val="20"/>
        </w:rPr>
        <w:t>(l) The Company has an authorized capitalization as set forth in each of the most recent Preliminary Prospectus and the Prospectus. All of the outstanding equity interests of each Significant Subsidiary of the Company that are owned directly or indirectly by the Company have been duly authorized and validly issued, are fully paid (in the case of any Significant Subsidiary that is a limited liability company, to the extent required by such Significant Subsidiary’s limited liability company agreement, and in the case of any Significant Subsidiary that is a limited partnership, to the extent required by such Significant Subsidiary’s agreement of limited partnership) and non-assessable (in the case of any Significant Subsidiary that is a limited liability company, except as such nonassessability may be affected by Sections 18-607 and 18-804 of the Delaware Revised Limited Liability Company Act, and in the case of any Significant Subsidiary that is a limited partnership, except as such nonassessability may be affected by Sections 17-303, 17-607 and 17-804 of the Delaware Revised Uniform Limited Partnership Act) and are owned directly or indirectly by the Company, free and clear of all liens, encumbrances, equities or claims (“</w:t>
      </w:r>
      <w:r>
        <w:rPr>
          <w:rFonts w:ascii="Times New Roman" w:hAnsi="Times New Roman"/>
          <w:b/>
          <w:sz w:val="20"/>
        </w:rPr>
        <w:t>Liens</w:t>
      </w:r>
      <w:r>
        <w:rPr>
          <w:rFonts w:ascii="Times New Roman" w:hAnsi="Times New Roman"/>
          <w:sz w:val="20"/>
        </w:rPr>
        <w:t xml:space="preserve">”), except (i) as set forth in each of the Pricing Disclosure Package and the Prospectus or (ii) for such Liens as could not,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 The Company has all requisite power and authority to issue, sell and deliver the Notes in accordance with and upon the terms and conditions set forth in this Agreement, the Term Sheet, the Registration Statement, the most recent Preliminary Prospectus and the Prospectus. On the Delivery Date, all corporate action required to be taken by the Company or any of its stockholders for the authorization, issuance, sale and delivery of the Notes shall have been validly taken. </w:t>
      </w:r>
    </w:p>
    <w:p>
      <w:pPr>
        <w:pStyle w:val="TextBody"/>
        <w:bidi w:val="0"/>
        <w:spacing w:before="240" w:after="0"/>
        <w:jc w:val="left"/>
        <w:rPr>
          <w:rFonts w:ascii="Times New Roman" w:hAnsi="Times New Roman"/>
          <w:sz w:val="20"/>
        </w:rPr>
      </w:pPr>
      <w:r>
        <w:rPr>
          <w:rFonts w:ascii="Times New Roman" w:hAnsi="Times New Roman"/>
          <w:sz w:val="20"/>
        </w:rPr>
        <w:t xml:space="preserve">(n) This Agreement has been duly and validly authorized, executed and delivered by or on behalf of the Company and, assuming due authorization, execution and delivery by the Representatives, constitutes the valid and binding agreement of the Company, enforceable against the Company in accordance with its terms subject to (i) the effects of bankruptcy, insolvency, reorganization, moratorium, fraudulent conveyance and other similar laws relating to or affecting creditors’ rights generally, (ii) general equitable principles (whether considered in a proceeding in equity or at law), and (iii) except as rights to indemnity and contribution thereunder may be limited by federal or state securities laws or principles of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The Indenture has been duly authorized by the Company, and upon its execution and delivery by the Company and, assuming due authorization, execution and delivery by the Trustee, will constitute the valid and binding agreement of the Company, enforceable against the Company in accordance with its terms, subject to (i) the effects of bankruptcy, insolvency, reorganization, moratorium, fraudulent conveyance and other similar laws relating to or affecting creditors’ rights generally and (ii) general equitable principles (whether considered in a proceeding in equity or at law). The Indenture will conform to the description thereof in the Pricing Disclosure Package and the Prospectus (exclusive of any supplement thereto) in all material respects. On the Delivery Date, the Indenture will have been duly qualified under the Trust Indenture Act and will comply in all material respects with the applicable requirements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(p) The Notes have been duly authorized and, when duly executed by the Company in accordance with the terms of the Indenture, and assuming due authentication, execution and delivery by the Trustee in accordance with the Indenture, upon delivery to the Underwriters against payment therefor in accordance with this Agreement, will be validly issued and delivered, and will constitute valid and binding obligations of the Company entitled to the benefits of the Indenture, enforceable against the Company in accordance with their terms, subject to (i) the effects of bankruptcy, insolvency, reorganization, moratorium, fraudulent conveyance and other similar laws relating to or affecting creditors’ rights generally, (ii) general equitable principles (whether considered in a proceeding in equity or at law), and (iii) except as rights to indemnity and contribution thereunder may be limited by federal or state securities laws or principles of public policy. The Notes will conform to the description thereof in the Pricing Disclosure Package and the Prospectus (exclusive of any supplement thereto)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(q) None of the offering, the issuance and sale by the Company of the Notes and the application of the net proceeds therefrom as described under “Use of Proceeds” in the Pricing Disclosure Package or the Prospectus, the execution, delivery and performance of this Agreement by the Company or the execution, delivery and performance of the Indenture and the Notes (i) conflicts or will conflict with or constitutes or will constitute a violation of the certificate of incorporation or bylaws or other organizational documents of the Company, (ii) conflicts or will conflict with or constitutes or will constitute a breach or violation of, or a default under (or an event which, with notice or lapse of time or both, would constitute such an event), any indenture, mortgage, deed of trust, loan agreement, lease or other agreement or instrument to which the Company or any of the Significant Subsidiaries is a party or by which any of them or any of their respective properties may be bound, (iii) violates or will violate any statute, law or regulation or any order, judgment, decree or injunction of any court or governmental agency or body directed to the Company or any of the Significant Subsidiaries or any of their properties in a proceeding to which either of them or their property is a party or (iv) will result in the creation or imposition of any Lien upon any property or assets of the Company or any of the Significant Subsidiaries, except for such conflicts, breaches, violations, defaults or Liens, in the case of clauses (ii), (iii) or (iv), that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 Except for (i) the registration of the Notes under and related filings pursuant to the Securities Act and the qualification of the Indenture under the Trust Indenture Act, (ii) such consents, approvals, authorizations, registrations, filings or qualifications as may be required under the Exchange Act, and applicable state securities laws in connection with the purchase and sale of the Notes by the Underwriters, and (iii) such consents, approvals, authorizations or orders of, or filings or registrations with, any court or governmental agency or body having jurisdiction over the Company or any of the Significant Subsidiaries or any of their properties or assets (each for purposes of this </w:t>
      </w:r>
      <w:r>
        <w:rPr>
          <w:rFonts w:ascii="Times New Roman" w:hAnsi="Times New Roman"/>
          <w:sz w:val="20"/>
          <w:u w:val="single"/>
        </w:rPr>
        <w:t>Section 1(r)</w:t>
      </w:r>
      <w:r>
        <w:rPr>
          <w:rFonts w:ascii="Times New Roman" w:hAnsi="Times New Roman"/>
          <w:sz w:val="20"/>
        </w:rPr>
        <w:t xml:space="preserve"> being referred to as a “consent”) that have been, or prior to the Delivery Date will be, obtained, no consent is required for the execution, delivery and performance of this Agreement by the Company, the execution, delivery and performance of the Indenture and the Notes by the Company and the issuance and sale of the Notes and the application of the proceeds from the sale of the Notes as described under “Use of Proceeds” in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Except as described in the most recent Preliminary Prospectus and the Prospectus, no holders of securities of the Company have rights to the registration of such securities in connection with the 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(t) None of the Company nor any of the Significant Subsidiaries has sustained, since the date of the latest audited financial statements included or incorporated by reference in the Pricing Disclosure Package, any loss or interference with its business from fire, explosion, flood or other calamity, whether or not covered by insurance, or from any labor dispute or court or governmental action, order or decree, which would be reasonably likely to result in any Material Adverse Effect, or any development involving a material adverse change in or affecting the financial condition, results of operations, business or prospects of the Company and its subsidiaries (taken as a whole), otherwise than as disclosed or contemplated in the Pricing Disclosure Package and the Prospectus (exclusive of any amendment or supplement thereto), and, since the respective dates as of which information is given in the Pricing Disclosure Package and the Prospectus (exclusive of any amendment or supplement thereto) or since the date of the Pricing Disclosure Package, there has not been (i) any material adverse change in the capital structure or long-term debt of the Company and its subsidiaries (taken as a whole), (ii) any material adverse change in or affecting the financial condition, results of operations, business or prospects of the Company and its subsidiaries (taken as a whole), or (iii) any transaction entered into by the Company or any of the Significant Subsidiaries, other than in the ordinary course of business, that is material to the Company or the Significant Subsidiaries (taken as a whole) other than as disclosed, in each case, in the Pricing Disclosure Package and the Prospectus (exclusive of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(u) The consolidated financial statements filed with or as part of any document filed by the Company with the Commission and incorporated by reference in the most recent Preliminary Prospectus and the Prospectus (i) comply as to form in all material respects with the requirements of Regulation S-X under the Securities Act and present fairly in all material respects the consolidated financial position, results of operations and cash flows of the Company and its subsidiaries at the dates and for the periods indicated, all in conformity with U.S. generally accepted accounting principles (subject, in the case of interim statements, to normal year-end audit adjustments) and (ii) include and incorporate by reference all interactive data in eXtensible Business Reporting Language (“</w:t>
      </w:r>
      <w:r>
        <w:rPr>
          <w:rFonts w:ascii="Times New Roman" w:hAnsi="Times New Roman"/>
          <w:b/>
          <w:sz w:val="20"/>
        </w:rPr>
        <w:t>XBRL Data</w:t>
      </w:r>
      <w:r>
        <w:rPr>
          <w:rFonts w:ascii="Times New Roman" w:hAnsi="Times New Roman"/>
          <w:sz w:val="20"/>
        </w:rPr>
        <w:t xml:space="preserve">”) required to be included therein; and the XBRL Data included or incorporated by reference therein fairly presents the information called for in all material respects and is prepared in accordance with the Commission’s rules and guidelines applicable thereto; and the Company has no material contingent obligation which is not disclosed in the financial statements or in the Pricing Disclosure Package and the Prospectus (exclusive of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(v) Ernst &amp; Young LLP, who has reported upon the audited financial statements and schedules included or incorporated by reference in the Preliminary Prospectus and the Prospectus, is an independent auditor within the meaning of the rules and regulations promulgated under the Securities Act, Exchange Act and Public Accounting Oversight Board. </w:t>
      </w:r>
    </w:p>
    <w:p>
      <w:pPr>
        <w:pStyle w:val="TextBody"/>
        <w:bidi w:val="0"/>
        <w:spacing w:before="240" w:after="0"/>
        <w:jc w:val="left"/>
        <w:rPr>
          <w:rFonts w:ascii="Times New Roman" w:hAnsi="Times New Roman"/>
          <w:sz w:val="20"/>
        </w:rPr>
      </w:pPr>
      <w:r>
        <w:rPr>
          <w:rFonts w:ascii="Times New Roman" w:hAnsi="Times New Roman"/>
          <w:sz w:val="20"/>
        </w:rPr>
        <w:t xml:space="preserve">(w) Except with respect to pipeline rights-of-way, the Company and the Significant Subsidiaries have good and indefeasible title to all real property and good title to all personal property described as owned by any of them in the most recent Preliminary Prospectus and the Prospectus, in each case free and clear of all Liens, except (i) as are described in the most recent Preliminary Prospectus and the Prospectus, (ii) as do not materially interfere with the use made in the aggregate of such properties, as described in the most recent Preliminary Prospectus and the Prospectus, (iii) as are permitted under the Company’s Amended and Restated Credit Agreement dated as of October 8, 2021, as amended, or (iv) as would not reasonably be expected to have a Material Adverse Effect. With respect to title to pipeline rights-of-way, the Company represents only that neither the Company nor any Significant Subsidiary has received any actual notice or claim from any owner of land upon which any pipeline owned by the Company or Significant Subsidiary (as described in the most recent Preliminary Prospectus and the Prospectus) is located that such entity does not have sufficient title or right to access and use to enable it to use and occupy the pipeline rights-of-way as they are used and occupied (as described in the most recent Preliminary Prospectus and the Prospectus) and that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The statements set forth in the most recent Preliminary Prospectus and the Prospectus under the captions “Summary—The Offering,” “Description of the Notes,” and “Description of Debt Securities,” insofar as they purport to constitute a summary of the terms of the Indenture and the Notes, are accurate summaries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(y) Each of the Company and the Significant Subsidiaries carry, or are covered by, insurance in such amounts and covering such risks as is reasonable in accordance with customary practices for companies engaged in similar businesses in similar industries for the conduct of their respective businesses and the value of their respective properties. </w:t>
      </w:r>
    </w:p>
    <w:p>
      <w:pPr>
        <w:pStyle w:val="TextBody"/>
        <w:bidi w:val="0"/>
        <w:spacing w:before="240" w:after="0"/>
        <w:jc w:val="left"/>
        <w:rPr>
          <w:rFonts w:ascii="Times New Roman" w:hAnsi="Times New Roman"/>
          <w:sz w:val="20"/>
        </w:rPr>
      </w:pPr>
      <w:r>
        <w:rPr>
          <w:rFonts w:ascii="Times New Roman" w:hAnsi="Times New Roman"/>
          <w:sz w:val="20"/>
        </w:rPr>
        <w:t xml:space="preserve">(z) Except as described in the most recent Preliminary Prospectus and the Prospectus, there is no action, suit or proceeding before any government, governmental instrumentality or court, domestic or foreign, now pending or, to the knowledge of the Company, threatened against or affecting the Company or any Significant Subsidiary or to which any of their properties are subject that would reasonably be expected to result in any Material Adverse Effect, or would reasonably be expected to directly affect the issuance of the Notes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(aa) Each of the Company and the Significant Subsidiaries has filed all federal, state and local income and franchise tax returns that are required to be filed by it and has paid all taxes due thereon, other than those that, if not filed or paid, would not have a Material Adverse Effect, or that are being contested in good faith by appropriate proceedings and where the Company or such Significant Subsidiary, as applicable, has maintained in accordance with U.S. generally accepted accounting principles appropriate reserves for the accrual of any of the same. </w:t>
      </w:r>
    </w:p>
    <w:p>
      <w:pPr>
        <w:pStyle w:val="TextBody"/>
        <w:bidi w:val="0"/>
        <w:spacing w:before="240" w:after="0"/>
        <w:jc w:val="left"/>
        <w:rPr>
          <w:rFonts w:ascii="Times New Roman" w:hAnsi="Times New Roman"/>
          <w:sz w:val="20"/>
        </w:rPr>
      </w:pPr>
      <w:r>
        <w:rPr>
          <w:rFonts w:ascii="Times New Roman" w:hAnsi="Times New Roman"/>
          <w:sz w:val="20"/>
        </w:rPr>
        <w:t xml:space="preserve">(bb) The Company (i) makes and keeps books and records which accurately reflect transactions and dispositions of its assets and (ii) maintains internal accounting controls which provide reasonable assurance that (A) transactions are executed in accordance with management’s general or specific authorization, (B) transactions are recorded as necessary to permit preparation of its financial statements and to maintain accountability for its assets, (C) access to its assets is permitted only in accordance with management’s general or specific authorization and (D) all XBRL Data included or incorporated by reference in the Pricing Disclosure Package and the Prospectus fairly presents the information called for in all material respects and is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(cc) The Company has established and maintains disclosure controls and procedures (as such term is defined in Rules 13a-15(e) and 15d-15(e) under the Exchange Act); and such disclosure controls and procedures (i) are designed to ensure that information required to be disclosed by the Company in the reports it files or submits under the Exchange Act is accumulated and communicated to the Company’s management, including its principal executive officer and principal financial officer, as appropriate, to allow timely decisions regarding required disclosure and (ii) are effective at a reasonable assurance level to perform the functions for which they were established. </w:t>
      </w:r>
    </w:p>
    <w:p>
      <w:pPr>
        <w:pStyle w:val="TextBody"/>
        <w:bidi w:val="0"/>
        <w:spacing w:before="240" w:after="0"/>
        <w:jc w:val="left"/>
        <w:rPr>
          <w:rFonts w:ascii="Times New Roman" w:hAnsi="Times New Roman"/>
          <w:sz w:val="20"/>
        </w:rPr>
      </w:pPr>
      <w:r>
        <w:rPr>
          <w:rFonts w:ascii="Times New Roman" w:hAnsi="Times New Roman"/>
          <w:sz w:val="20"/>
        </w:rPr>
        <w:t xml:space="preserve">(dd) Since the date of the filing of the Company’s most recent Annual Report on Form 10-K, the Company’s auditors and the audit committee of the Company (or persons fulfilling the equivalent function) have not been advised of (i) any significant deficiencies or material weaknesses in the design or operation of internal controls over financial reporting which (x) have not been described to counsel for the Underwriters or (y) are reasonably likely to adversely affect the Company’s ability to record, process, summarize and report financial information or (ii) any fraud, whether or not material, that involves management or other employees who have a significant role in the Company’s internal controls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Since the date of the filing of the Company’s most recent Annual Report on Form 10-K, to the best knowledge of the Company, there have been no material changes in internal controls over financial reporting that have materially affected or are reasonably likely to materially affect internal controls over financial reporting except as disclosed in the Pricing Disclosure Package and the Prospectus, exclusive of any amendment or supplement thereto, and excluding M6 Midstream LLC, which was acquired by the Company on September 3, 2026, from the scope of management’s assessment of internal control over financial reporting as permitted by the SEC. </w:t>
      </w:r>
    </w:p>
    <w:p>
      <w:pPr>
        <w:pStyle w:val="TextBody"/>
        <w:bidi w:val="0"/>
        <w:spacing w:before="240" w:after="0"/>
        <w:jc w:val="left"/>
        <w:rPr>
          <w:rFonts w:ascii="Times New Roman" w:hAnsi="Times New Roman"/>
          <w:sz w:val="20"/>
        </w:rPr>
      </w:pPr>
      <w:r>
        <w:rPr>
          <w:rFonts w:ascii="Times New Roman" w:hAnsi="Times New Roman"/>
          <w:sz w:val="20"/>
        </w:rPr>
        <w:t xml:space="preserve">(ff) The Company is in compliance in all material respects with the applicable provisions of the Sarbanes-Oxley Act of 2002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(gg) None of the Company or the Significant Subsidiaries is (i) in violation of its agreement of limited partnership, limited liability company agreement, certificate or articles of incorporation or bylaws or other organizational documents, as applicable, (ii) in default, and no event has occurred which, with notice or lapse of time or both, would constitute such a default, in the due performance or observance of any term, obligation, agreement, covenant or condition contained in any material contract, indenture, mortgage, deed of trust, loan agreement, lease or other agreement or instrument to which it is a party or by which it is bound or which any of its properties or assets may be subject or (iii) in violation of any law, ordinance, governmental rule, regulation or court decree to which it or its property or assets may be subject, except, with respect to (ii) or (iii), for any such violations or defaults that would not be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(hh) Each of the Company and the Significant Subsidiaries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has received all permits, licenses or other approvals required of it under applicable Environmental Laws to conduct its business as presently conducted and (iii) is in compliance with all terms and conditions of any such permit, license or approval, except, with respect to (i), (ii) and (iii), as may be disclosed in the Pricing Disclosure Package and the Prospectus (exclusive of any amendment or supplement thereto) and except where such noncompliance with Environmental Laws, failure to receive required permits, licenses or other approvals or failure to comply with the terms and conditions of such permits, licenses or approvals would not be reasonably likely to,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There has been no storage, disposal, generation, manufacture, refinement, transportation, handling or treatment of toxic wastes, medical wastes, hazardous wastes or hazardous substances by the Company or any Significant Subsidiary (or, to the knowledge of the Company, any predecessors in interest to any of the foregoing) at, upon or from any of the property now or previously owned or leased by the Company or any Significant Subsidiary in violation of any applicable law, ordinance, rule, regulation, order, judgment, decree or permit or which would require remedial action under any applicable law, ordinance, rule, regulation, order, judgment, decree or permit, except as may be disclosed in the Pricing Disclosure Package and the Prospectus (exclusive of any amendment or supplement thereto) and except for any violation or remedial action that would not be reasonably likely to have, individually or in the aggregate, a Material Adverse Effect; there has been no material spill, discharge, leak, emission, injection, escape, dumping or release of any kind onto such property or into the environment surrounding such property of any toxic wastes, medical wastes, solid wastes, hazardous wastes or hazardous substances due to or caused by the Company or any Significant Subsidiary or with respect to which the Company or any Significant Subsidiary has knowledge, except as may be disclosed in the Pricing Disclosure Package and the Prospectus (exclusive of any amendment or supplement thereto) and except for any such spill, discharge, leak, emission, injection, escape, dumping or release that would not be reasonably likely to have, individually or in the aggregate, a Material Adverse Effect; and the terms “hazardous wastes,” “toxic wastes,” “hazardous substances” and “medical wastes” shall have the meanings specified in any applicable local, state, federal and foreign laws or regulations with respect to environmental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(jj) Except as disclosed in the Pricing Disclosure Package and the Prospectus (exclusive of any amendment or supplement thereto), or to the extent that a breach of any of the following representations would not reasonably be expected to result in a Material Adverse Effect: the Company and each Significant Subsidiary is in compliance with all presently applicable provisions of the Employee Retirement Income Security Act of 1974, as amended (“</w:t>
      </w:r>
      <w:r>
        <w:rPr>
          <w:rFonts w:ascii="Times New Roman" w:hAnsi="Times New Roman"/>
          <w:b/>
          <w:sz w:val="20"/>
        </w:rPr>
        <w:t>ERISA</w:t>
      </w:r>
      <w:r>
        <w:rPr>
          <w:rFonts w:ascii="Times New Roman" w:hAnsi="Times New Roman"/>
          <w:sz w:val="20"/>
        </w:rPr>
        <w:t xml:space="preserve">”); no Reportable Event described in Section 4043(c) of ERISA (other than a “reportable event” not subject to the provision for 30-day notice to the Pension Benefit Guaranty Corporation or other than a “reportable event” as such term is described in Section 4043(c)(3) of ERISA) has occurred with respect to any “pension plan” (as defined by ERISA) for which the Company or any Significant Subsidiary would have any liability; neither the Company nor any Significant Subsidiary has incurred or reasonably expects to incur liability under (i) Title IV of ERISA with respect to termination of, or withdrawal from, any “pension plan” or (ii) Sections 412 or 4971 of the Internal Revenue Code of 1986, as amended (the “Code”), including the regulations and published interpretations thereunder; and each “pension plan” for which the Company or any Significant Subsidiary would have any liability that is intended to be qualified under Section 401(a) of the Code is so qualified and nothing has occurred, whether by action or by failure to act, which would reasonably be expected to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(kk) Each of the Company and the Significant Subsidiaries has obtained all consents, authorizations, approvals, orders, certificates and permits of and from, and has made all declarations and filings with, all federal, state, local and other governmental authorities, and all courts or other tribunals (collectively, the “</w:t>
      </w:r>
      <w:r>
        <w:rPr>
          <w:rFonts w:ascii="Times New Roman" w:hAnsi="Times New Roman"/>
          <w:b/>
          <w:sz w:val="20"/>
        </w:rPr>
        <w:t>Licenses</w:t>
      </w:r>
      <w:r>
        <w:rPr>
          <w:rFonts w:ascii="Times New Roman" w:hAnsi="Times New Roman"/>
          <w:sz w:val="20"/>
        </w:rPr>
        <w:t xml:space="preserve">”) necessary to own, hold, or lease, as the case may be, and to operate its properties and to carry on its business as presently conducted, except where the failure to possess such Licenses would not reasonably be expected to have a Material Adverse Effect, and none of the Company or the Significant Subsidiaries has received any written notice of proceedings relating to revocation or modification of any such Licenses, except to the extent that any such revocation or modification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(ll) The Company is not, and after giving effect to the offering and sale of the Notes and the application of the proceeds therefrom as described in the Pricing Disclosure Package and the Prospectus, will not be, an “investment company” as defined in the Investment Company Act of 1940, as amended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(mm) Neither the Company nor any of its subsidiaries, nor, to the knowledge of the Company,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as amended or any other applicable anti-corruption law; or (iv) made any unlawful bribe, rebate, payoff, influence payment, kickback or other unlawful payment. </w:t>
      </w:r>
    </w:p>
    <w:p>
      <w:pPr>
        <w:pStyle w:val="TextBody"/>
        <w:bidi w:val="0"/>
        <w:spacing w:before="240" w:after="0"/>
        <w:jc w:val="left"/>
        <w:rPr>
          <w:rFonts w:ascii="Times New Roman" w:hAnsi="Times New Roman"/>
          <w:sz w:val="20"/>
        </w:rPr>
      </w:pPr>
      <w:r>
        <w:rPr>
          <w:rFonts w:ascii="Times New Roman" w:hAnsi="Times New Roman"/>
          <w:sz w:val="20"/>
        </w:rPr>
        <w:t>(nn)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relevant jurisdictions, the rules and regulations thereunder and any related or similar rules, 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(oo) Neither the Company nor any of its subsidiaries nor, to the knowledge of the Company, any director, officer, agent, employee or affiliate of the Company or any of its subsidiaries is an individual or entity (“</w:t>
      </w:r>
      <w:r>
        <w:rPr>
          <w:rFonts w:ascii="Times New Roman" w:hAnsi="Times New Roman"/>
          <w:b/>
          <w:sz w:val="20"/>
        </w:rPr>
        <w:t>Person</w:t>
      </w:r>
      <w:r>
        <w:rPr>
          <w:rFonts w:ascii="Times New Roman" w:hAnsi="Times New Roman"/>
          <w:sz w:val="20"/>
        </w:rPr>
        <w:t>”), or is owned or controlled by one or more Persons, that is: (i) currently subject to any U.S. sanctions administered by the Office of Foreign Assets Control of the U.S. Treasury Department (“</w:t>
      </w:r>
      <w:r>
        <w:rPr>
          <w:rFonts w:ascii="Times New Roman" w:hAnsi="Times New Roman"/>
          <w:b/>
          <w:sz w:val="20"/>
        </w:rPr>
        <w:t>OFAC</w:t>
      </w:r>
      <w:r>
        <w:rPr>
          <w:rFonts w:ascii="Times New Roman" w:hAnsi="Times New Roman"/>
          <w:sz w:val="20"/>
        </w:rPr>
        <w:t xml:space="preserve">”), or (ii) located, organized or resident in a country or territory that is the subject of sanctions administered by OFAC (including, without limitation, the so-called Donetsk People’s Republic or so-called Luhansk People’s Republic, the Crimea Region, and the non-government controlled areas of the Zaporizhzhia and Kherson Regions of Ukraine, Cuba, Iran, North Korea and Venezuela); and the Company will not directly or indirectly use the proceeds of the offering, or lend, contribute or otherwise make available such proceeds to any subsidiary, joint venture partner or other person or entity, for the purpose of financing the activities of any person that, at the time of such financing, is subject to any U.S. sanctions administered by OFAC. </w:t>
      </w:r>
    </w:p>
    <w:p>
      <w:pPr>
        <w:pStyle w:val="TextBody"/>
        <w:bidi w:val="0"/>
        <w:spacing w:before="240" w:after="0"/>
        <w:jc w:val="left"/>
        <w:rPr>
          <w:rFonts w:ascii="Times New Roman" w:hAnsi="Times New Roman"/>
          <w:sz w:val="20"/>
        </w:rPr>
      </w:pPr>
      <w:r>
        <w:rPr>
          <w:rFonts w:ascii="Times New Roman" w:hAnsi="Times New Roman"/>
          <w:sz w:val="20"/>
        </w:rPr>
        <w:t>(pp) (i) To the knowledge of the Company, there has been no material security breach or incident, unauthorized access or disclosure, or other compromise of or relating to the Company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 w:hAnsi="Times New Roman"/>
          <w:b/>
          <w:sz w:val="20"/>
        </w:rPr>
        <w:t>IT Systems and Data</w:t>
      </w:r>
      <w:r>
        <w:rPr>
          <w:rFonts w:ascii="Times New Roman" w:hAnsi="Times New Roman"/>
          <w:sz w:val="20"/>
        </w:rPr>
        <w:t xml:space="preserve">”); (ii) neither the Company nor its subsidiaries have been notified of, and each of them have no knowledge of any imminent event or current condition that is likely to result in, any material security breach or incident, unauthorized access or disclosure or other compromise to their IT Systems and Data and (iii) the Company has implemented appropriate controls, policies, procedures, and technological safeguards to maintain and protect the integrity, continuous operation, redundancy and security of its IT Systems and Data reasonably consistent with industry standards and practices, or as required by applicable regulatory standards in all material respects.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(qq) The Company has not distributed and, prior to the Delivery Date and completion of the distribution of the Notes, will not distribute any offering material in connection with the offering and sale of the Notes other than any Preliminary Prospectus, the Prospectus, the Term Sheet and any other Issuer Free Writing Prospectus to which the Representatives have consented in accordance with </w:t>
      </w:r>
      <w:r>
        <w:rPr>
          <w:rFonts w:ascii="Times New Roman" w:hAnsi="Times New Roman"/>
          <w:sz w:val="20"/>
          <w:u w:val="single"/>
        </w:rPr>
        <w:t>Sections 5(a)(i)</w:t>
      </w:r>
      <w:r>
        <w:rPr>
          <w:rFonts w:ascii="Times New Roman" w:hAnsi="Times New Roman"/>
          <w:sz w:val="20"/>
        </w:rPr>
        <w:t xml:space="preserve"> or </w:t>
      </w:r>
      <w:r>
        <w:rPr>
          <w:rFonts w:ascii="Times New Roman" w:hAnsi="Times New Roman"/>
          <w:sz w:val="20"/>
          <w:u w:val="single"/>
        </w:rPr>
        <w:t>5(a)(vi)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(rr) The Company has not taken, nor will it take, directly or indirectly, any action designed to or that has constituted or that could reasonably be expected to cause or result in the stabilization or manipulation of the price of the Notes to facilitate the sale or resale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(ss) Except pursuant to this Agreement, there is no broker, finder or other party that is entitled to receive from the Company any brokerage or finder’s fee or other fee or commission as a result of any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(tt) None of the Company or its subsidiaries is a ‘covered foreign person’ as that term is used in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(the “</w:t>
      </w:r>
      <w:r>
        <w:rPr>
          <w:rFonts w:ascii="Times New Roman" w:hAnsi="Times New Roman"/>
          <w:b/>
          <w:sz w:val="20"/>
        </w:rPr>
        <w:t>Outbound Investment Rules</w:t>
      </w:r>
      <w:r>
        <w:rPr>
          <w:rFonts w:ascii="Times New Roman" w:hAnsi="Times New Roman"/>
          <w:sz w:val="20"/>
        </w:rPr>
        <w:t xml:space="preserve">”). None of the Company or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 the Underwriters to be in violation of the Outbound Investment Rules or cause the Underwriters to be legally prohibited by the Outbound Investment Rules from performing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certificate signed by or on behalf of the Company and delivered to the Underwriters or counsel for the Underwriters pursuant to this Agreement shall be deemed to be a representation and warranty by the Company to the Underwriters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Purchase of the Notes by the Underwriters</w:t>
      </w:r>
      <w:r>
        <w:rPr>
          <w:rFonts w:ascii="Times New Roman" w:hAnsi="Times New Roman"/>
          <w:sz w:val="20"/>
        </w:rPr>
        <w:t xml:space="preserve">. On the basis of the representations and warranties contained in and subject to the terms and conditions of this Agreement, the Company agrees to sell the Notes to the several Underwriters and each of the Underwriters, severally and not jointly, agrees to purchase the amount of the Notes set forth opposite such Underwriter’s name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The price of the 2029 Notes shall be 99.581% of the aggregate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The price of the 2033 Notes shall be 99.374% of the aggregate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The price of the 2036 Notes shall be 99.169% of the aggregate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The price of the 2056 Notes shall be 98.925% of the aggregate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obligated to deliver any of the Notes to be delivered on the Delivery Date, except upon payment for all of the Notes to be purchased on the Delivery Date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Offering of Notes by the Underwriters</w:t>
      </w:r>
      <w:r>
        <w:rPr>
          <w:rFonts w:ascii="Times New Roman" w:hAnsi="Times New Roman"/>
          <w:sz w:val="20"/>
        </w:rPr>
        <w:t xml:space="preserve">. Upon authorization by the Representatives of the release of Notes, the several Underwriters propose to offer the Notes for sale upon the terms and conditions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Delivery of and Payment for the Notes</w:t>
      </w:r>
      <w:r>
        <w:rPr>
          <w:rFonts w:ascii="Times New Roman" w:hAnsi="Times New Roman"/>
          <w:sz w:val="20"/>
        </w:rPr>
        <w:t>. Delivery of and payment for the Notes shall be made at the offices of Weil, Gotshal &amp; Manges LLP, 767 Fifth Avenue, New York, New York 10153 at 9:00 A.M., New York, New York time, on the second full business day following the date of this Agreement or at such other date or place as shall be determined by agreement among the Representatives and the Company. This date and time are herein called the “Delivery Date.” On the Delivery Date, the Company shall deliver or cause to be delivered the Notes to the Representatives for the account of each Underwriter in book entry form through the facilities of The Depository Trust Company (“</w:t>
      </w:r>
      <w:r>
        <w:rPr>
          <w:rFonts w:ascii="Times New Roman" w:hAnsi="Times New Roman"/>
          <w:b/>
          <w:sz w:val="20"/>
        </w:rPr>
        <w:t>DTC</w:t>
      </w:r>
      <w:r>
        <w:rPr>
          <w:rFonts w:ascii="Times New Roman" w:hAnsi="Times New Roman"/>
          <w:sz w:val="20"/>
        </w:rPr>
        <w:t xml:space="preserve">”) against payment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Further Agreements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and agrees with each Underwriter: </w:t>
      </w:r>
    </w:p>
    <w:p>
      <w:pPr>
        <w:pStyle w:val="TextBody"/>
        <w:bidi w:val="0"/>
        <w:spacing w:before="240" w:after="0"/>
        <w:jc w:val="left"/>
        <w:rPr>
          <w:rFonts w:ascii="Times New Roman" w:hAnsi="Times New Roman"/>
          <w:sz w:val="20"/>
        </w:rPr>
      </w:pPr>
      <w:r>
        <w:rPr>
          <w:rFonts w:ascii="Times New Roman" w:hAnsi="Times New Roman"/>
          <w:sz w:val="20"/>
        </w:rPr>
        <w:t xml:space="preserve">(i) To prepare the Prospectus in a form approved by the Representatives and to file such Prospectus pursuant to Rule 424(b) of the Rules and Regulations no later than the Commission’s close of business on the second business day following the execution and delivery of this Agreement; to file the Term Sheet in accordance with Rule 433 and to file any other Issuer Free Writing Prospectus to the extent required to be filed under Rule 433 of the Rules and Regulations; to make no further amendment or any supplement to the Registration Statement or the Prospectus prior to the Delivery Date except as provided herein; to advise the Representatives, promptly after it receives notice thereof, of the time when any amendment to the Registration Statement has been filed or becomes effective or any supplement to the Prospectus or any amended Prospectus has been filed and to furnish the Representatives with copies thereof;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Notes; to advise the Representatives, promptly after it receives notice thereof, of the issuance by the Commission of any stop order or of any order suspending the effectiveness of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preventing or suspending the use of any Preliminary Prospectus, the Prospectus or any Issuer Free Writing Prospectus, of the suspension of the qualification of the Notes for offering or sale in any jurisdiction, of the initiation or threatening of any proceeding for any such purpose or of any request by the Commission for the amending or supplementing of the Registration Statement, any Preliminary Prospectus, the Prospectus or any Issuer Free Writing Prospectus or for additional information; in the event of the issuance of any stop order or of any order suspending the effectiveness of the Registration Statement or preventing or suspending the use of any Preliminary Prospectus, the Prospectus or any Issuer Free Writing Prospectus or suspending any such qualification, to use promptly its best efforts to obtain its withdrawal; and to pay any fees required by the Commission relating to the Notes within the time required by Rule 456(b)(1) without regard to the proviso therein and otherwise in accordance with Rules 456(b) and 457(r); </w:t>
      </w:r>
    </w:p>
    <w:p>
      <w:pPr>
        <w:pStyle w:val="TextBody"/>
        <w:bidi w:val="0"/>
        <w:spacing w:before="240" w:after="0"/>
        <w:jc w:val="left"/>
        <w:rPr>
          <w:rFonts w:ascii="Times New Roman" w:hAnsi="Times New Roman"/>
          <w:sz w:val="20"/>
        </w:rPr>
      </w:pPr>
      <w:r>
        <w:rPr>
          <w:rFonts w:ascii="Times New Roman" w:hAnsi="Times New Roman"/>
          <w:sz w:val="20"/>
        </w:rPr>
        <w:t xml:space="preserve">(ii) To furnish promptly to the Representatives and to counsel for the Underwriters a signed copy of the Registration Statement as originally filed with the Commission, and each amendment thereto filed with the Commission, including all consents and exhibits filed therewith; </w:t>
      </w:r>
    </w:p>
    <w:p>
      <w:pPr>
        <w:pStyle w:val="TextBody"/>
        <w:bidi w:val="0"/>
        <w:spacing w:before="240" w:after="0"/>
        <w:jc w:val="left"/>
        <w:rPr>
          <w:rFonts w:ascii="Times New Roman" w:hAnsi="Times New Roman"/>
          <w:sz w:val="20"/>
        </w:rPr>
      </w:pPr>
      <w:r>
        <w:rPr>
          <w:rFonts w:ascii="Times New Roman" w:hAnsi="Times New Roman"/>
          <w:sz w:val="20"/>
        </w:rPr>
        <w:t xml:space="preserve">(iii) To deliver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unit earnings), (B) each Preliminary Prospectus, the Prospectus and any amended or supplemented Prospectus, (C) each Issuer Free Writing Prospectus and (D) other than documents available by EDGAR (as defined below) any document incorporated by reference in the Preliminary Prospectus or the Prospectus (excluding exhibits thereto); and, if the delivery of a prospectus is required at any time after the date hereof in connection with the offering or sale of the Notes or any other securities relating thereto (or in lieu thereof, the notice referred to in Rule l73(a)) and if at such time any events shall have occurred as a result of which the Pricing Disclosure Package or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the Registration Statement or amend or supplement the Pricing Disclosure Package or the Prospectus or to file under the Exchange Act any document incorporated by reference in the Prospectus in order to comply with the Securities Act or the Exchange Act, to notify the Representatives and, upon their request, to file such document and to prepare and furnish without charge to each Underwriter and to any dealer in securities as many copies as the Representatives may from time to time reasonably request of an amended supplemented Pricing Disclosure Package or the Prospectus that will correct such statement or omission or effect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(iv) To file promptly with the Commission any amendment to the Registration Statement, the Pricing Disclosure Package or the Prospectus that may, in the reasonable judgment of the Company or the Representatives, be required by the Securities Act or the Exchange Act or requested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 During such period as the Underwriters are required to deliver a prospectus in connection with the offering contemplated hereby, prior to filing with the Commission any amendment or supplement to the Registration Statement, the Pricing Disclosure Package or the Prospectus, any document incorporated by reference in the Pricing Disclosure Package or the Prospectus or any amendment to any document incorporated by reference in the Pricing Disclosure Package or the Prospectus or any prospectus pursuant to Rule 424(b) of the Rules and Regulations to furnish a copy thereof to the Representatives and counsel for the Underwriters and obtain the consent of the Representatives to the filing, which consent shall not be reasonably withheld and which shall be provided to the Company promptly after having been given notice of the proposed filing; provided that, the foregoing provision shall not apply if such filing is, in the judgment of counsel to the Company,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Not to make any offer relating to the Notes that would constitute an Issuer Free Writing Prospectus without the prior written consent of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(vii) To retain in accordance with the Rules and Regulations all Issuer Free Writing Prospectuses not required to be filed pursuant to the Rules and Regulations; and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(viii) As soon as practicable after the Effective Date and in any event not later than 16 months after the date hereof, to make generally available via the Commission’s Electronic Data Gathering, Analysis and Retrieval (EDGAR) System, to the Company’s security holders and to the Representatives an earnings statement of the Company and its subsidiaries (which need not be audited) complying with Section 11(a) of the Securities Act and the Rules and Regulations (including, at the option of the Company, Rule 158); </w:t>
      </w:r>
    </w:p>
    <w:p>
      <w:pPr>
        <w:pStyle w:val="TextBody"/>
        <w:bidi w:val="0"/>
        <w:spacing w:before="240" w:after="0"/>
        <w:jc w:val="left"/>
        <w:rPr>
          <w:rFonts w:ascii="Times New Roman" w:hAnsi="Times New Roman"/>
          <w:sz w:val="20"/>
        </w:rPr>
      </w:pPr>
      <w:r>
        <w:rPr>
          <w:rFonts w:ascii="Times New Roman" w:hAnsi="Times New Roman"/>
          <w:sz w:val="20"/>
        </w:rPr>
        <w:t xml:space="preserve">(ix) For a period of two years following the Effective Date, to furnish, or to make available via EDGAR, to the Representatives a copy of all materials furnished by the Company to its stockholders (excluding any periodic income tax reporting materials) and all public reports and all reports and financial statements furnished by the Company to the principal national securities exchange or automated quotation system upon which its common stock may be listed pursuant to requirements of or agreements with such exchange or to the Commission pursuant to the Exchange Act or any rule or regulation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(x) Promptly from time to time to take such action as the Representatives may reasonably request to qualify the Notes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Notes; provided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 </w:t>
      </w:r>
    </w:p>
    <w:p>
      <w:pPr>
        <w:pStyle w:val="TextBody"/>
        <w:bidi w:val="0"/>
        <w:spacing w:before="240" w:after="0"/>
        <w:jc w:val="left"/>
        <w:rPr>
          <w:rFonts w:ascii="Times New Roman" w:hAnsi="Times New Roman"/>
          <w:sz w:val="20"/>
        </w:rPr>
      </w:pPr>
      <w:r>
        <w:rPr>
          <w:rFonts w:ascii="Times New Roman" w:hAnsi="Times New Roman"/>
          <w:sz w:val="20"/>
        </w:rPr>
        <w:t xml:space="preserve">(xi) During the period from the date hereof through and including the Delivery Date, the Company will not, without the prior written consent of the Representatives, offer, sell, contract to sell or otherwise dispose of any debt securities issued or granted by the Company and having a tenor of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(xii) To apply the net proceeds from the offering of the Notes as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(xiii) To take such steps as shall be necessary to ensure that the Company shall not become an “investment company” as defined in the Investment Company Act; and </w:t>
      </w:r>
    </w:p>
    <w:p>
      <w:pPr>
        <w:pStyle w:val="TextBody"/>
        <w:bidi w:val="0"/>
        <w:spacing w:before="240" w:after="0"/>
        <w:jc w:val="left"/>
        <w:rPr>
          <w:rFonts w:ascii="Times New Roman" w:hAnsi="Times New Roman"/>
          <w:sz w:val="20"/>
        </w:rPr>
      </w:pPr>
      <w:r>
        <w:rPr>
          <w:rFonts w:ascii="Times New Roman" w:hAnsi="Times New Roman"/>
          <w:sz w:val="20"/>
        </w:rPr>
        <w:t xml:space="preserve">(xiv) To not directly or indirectly take any action designed to or which constitutes or which might reasonably be expected to cause or result in, under the Exchange Act or otherwise, stabilization or manipulation of the price of any security of the Company to facilitate the sale or resale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Underwriter severally and not jointly agrees that such Underwriter shall not include any “issuer information” (as defined in Rule 433 of the Rules and Regulations) in any “free writing prospectus” (as defined in Rule 405 of the Rules and Regulations but excluding any Issuer Free Writing Prospectus, including any road show constituting a free writing prospectus under Rule 433 of the Rules and Regulations in connection with the offer and sale of the Notes) used or referred to by such Underwriter without the prior consent of the Company (any such issuer information with respect to whose use the Company has given its consent, being defined as “Permitted Issuer Information”); provided that (i) no such consent shall be required with respect to any such issuer information contained in any document filed by the Company with the Commission prior to the use of such free writing prospectus or customary Bloomberg e-mails containing comparable bond price information and (ii) “issuer information,” as used in this </w:t>
      </w:r>
      <w:r>
        <w:rPr>
          <w:rFonts w:ascii="Times New Roman" w:hAnsi="Times New Roman"/>
          <w:sz w:val="20"/>
          <w:u w:val="single"/>
        </w:rPr>
        <w:t>Section 5(b)</w:t>
      </w:r>
      <w:r>
        <w:rPr>
          <w:rFonts w:ascii="Times New Roman" w:hAnsi="Times New Roman"/>
          <w:sz w:val="20"/>
        </w:rPr>
        <w:t xml:space="preserve">, shall not be deemed to include information prepared by or on behalf of such Underwriter on the basis of or derived from issuer information.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prior to the filing of the Prospectus pursuant to Rule 424(b), any event occurs as a result of which the Pricing Disclosure Package would include an untrue statement of a material fact or omit to state any material fact necessary to make the statements therein, in the light of the circumstances under which they were made or the circumstances then prevailing, not misleading, the Company will (i) notify promptly the Representatives so that any use of the Pricing Disclosure Package may cease until it is amended or supplemented; (ii) amend or supplement the Pricing Disclosure Package to correct such statement or omission; and (iii) supply any amendment or supplement to you in such quantities as you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when a prospectus relating to the Notes is required to be delivered under the Securities Act (including in circumstances where such requirement may be satisfied pursuant to Rule 172), any event occurs as a result of which the Prospectus as then supplemented would include an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Securities Act or the Exchange Act or the respective rules thereunder, including in connection with use or delivery of the Prospectus, the Company promptly will (i) notify the Representatives of any such event, (ii) prepare and file with the Commission, subject to clause (a)(i) of this </w:t>
      </w:r>
      <w:r>
        <w:rPr>
          <w:rFonts w:ascii="Times New Roman" w:hAnsi="Times New Roman"/>
          <w:sz w:val="20"/>
          <w:u w:val="single"/>
        </w:rPr>
        <w:t>Section 5</w:t>
      </w:r>
      <w:r>
        <w:rPr>
          <w:rFonts w:ascii="Times New Roman" w:hAnsi="Times New Roman"/>
          <w:sz w:val="20"/>
        </w:rPr>
        <w:t xml:space="preserve">,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Prospectus and (iv) supply any amendment or supplement to you in such quantities as you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Expenses</w:t>
      </w:r>
      <w:r>
        <w:rPr>
          <w:rFonts w:ascii="Times New Roman" w:hAnsi="Times New Roman"/>
          <w:sz w:val="20"/>
        </w:rPr>
        <w:t xml:space="preserve">. The Company agrees, whether or not the offering contemplated by this Agreement is consummated or this Agreement is terminated, to pay all costs, expenses, fees and taxes incident to and in connection with (a) the authorization, issuance, sale and delivery of the Notes and any stamp duties or other taxes payable in that connection; (b) the preparation, printing and filing under the Securities Act of the Registration Statement (including any exhibits thereto), any Preliminary Prospectus, the Prospectus, any Issuer Free Writing Prospectus and any amendment or supplement thereto; (c) the distribution of the Registration Statement (including any exhibits thereto), any Preliminary Prospectus, the Prospectus, any Issuer Free Writing Prospectus and any amendment or supplement thereto, all as provided in this Agreement; (d) the production and distribution of this Agreement, any supplemental agreement among Underwriters, and any other related documents in connection with the offering, purchase, sale and delivery of the Notes; (e) the filing fees incident to securing any required review by the Financial Industry Regulatory Authority, Inc. of the terms of sale of the Notes (including reasonable related fees and expenses of counsel to the Underwriters); (f) the qualification of the Notes under the securities laws of the several jurisdictions as provided in </w:t>
      </w:r>
      <w:r>
        <w:rPr>
          <w:rFonts w:ascii="Times New Roman" w:hAnsi="Times New Roman"/>
          <w:sz w:val="20"/>
          <w:u w:val="single"/>
        </w:rPr>
        <w:t>Section 5(a)(x)</w:t>
      </w:r>
      <w:r>
        <w:rPr>
          <w:rFonts w:ascii="Times New Roman" w:hAnsi="Times New Roman"/>
          <w:sz w:val="20"/>
        </w:rPr>
        <w:t xml:space="preserve"> and the preparation, printing and distribution of a Blue Sky Memorandum (including reasonable related fees and expenses of counsel to the Underwriters); (g) the preparation and printing of certificates representing the Notes; (h) the fees and expenses of the Trustee and its counsel; (i) the investor presentations on any “road show” undertaken in connection with the marketing of the Notes, including, without limitation,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associated with any electronic roadshow, travel and lodging expenses of the representatives and officers of the Company; (j) any costs, fees and expenses in connection with acquiring or maintaining a rating for the Notes by any rating agency; and (k) all other costs and expenses incident to the performance of the obligations of the Company under this Agreement; provided that, except as provided in this </w:t>
      </w:r>
      <w:r>
        <w:rPr>
          <w:rFonts w:ascii="Times New Roman" w:hAnsi="Times New Roman"/>
          <w:sz w:val="20"/>
          <w:u w:val="single"/>
        </w:rPr>
        <w:t>Section 6</w:t>
      </w:r>
      <w:r>
        <w:rPr>
          <w:rFonts w:ascii="Times New Roman" w:hAnsi="Times New Roman"/>
          <w:sz w:val="20"/>
        </w:rPr>
        <w:t xml:space="preserve"> and in </w:t>
      </w:r>
      <w:r>
        <w:rPr>
          <w:rFonts w:ascii="Times New Roman" w:hAnsi="Times New Roman"/>
          <w:sz w:val="20"/>
          <w:u w:val="single"/>
        </w:rPr>
        <w:t>Section 11</w:t>
      </w:r>
      <w:r>
        <w:rPr>
          <w:rFonts w:ascii="Times New Roman" w:hAnsi="Times New Roman"/>
          <w:sz w:val="20"/>
        </w:rPr>
        <w:t xml:space="preserve">, the Underwriters shall pay their own costs and expenses, including the costs and expenses of their counsel and the expenses of advertising any offering of the Notes made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Conditions of Underwriters’ Obligations</w:t>
      </w:r>
      <w:r>
        <w:rPr>
          <w:rFonts w:ascii="Times New Roman" w:hAnsi="Times New Roman"/>
          <w:sz w:val="20"/>
        </w:rPr>
        <w:t xml:space="preserve">. The respective obligations of the Underwriters hereunder are subject to the accuracy, as of the Applicable Time and on the Delivery Date, of the representations and warranties of the Company contained herein, to the performance by the Company of its obligations hereunder, and to each of the following additional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timely filed with the Commission in accordance with </w:t>
      </w:r>
      <w:r>
        <w:rPr>
          <w:rFonts w:ascii="Times New Roman" w:hAnsi="Times New Roman"/>
          <w:sz w:val="20"/>
          <w:u w:val="single"/>
        </w:rPr>
        <w:t>Section 5(a)(i)</w:t>
      </w:r>
      <w:r>
        <w:rPr>
          <w:rFonts w:ascii="Times New Roman" w:hAnsi="Times New Roman"/>
          <w:sz w:val="20"/>
        </w:rPr>
        <w:t xml:space="preserve"> hereof; the Company shall have complied with all filing requirements applicable to any Issuer Free Writing Prospectus used or referred to after the date hereof; no stop order suspending the effectiveness of the Registration Statement or preventing or suspending the use of any Preliminary Prospectus, the Prospectus or any Issuer Free Writing Prospectus shall have been issued and no proceeding for such purpose shall have been initiated or threatened by the Commission; and any request of the Commission for inclusion of additional information in the Registration Statement, any Preliminary Prospectus or the Prospectus or otherwise shall have been complied with; and the Commission shall not have notified the Company of any objection to the use of the form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No Underwriter shall have discovered and disclosed to the Company on or prior to the Delivery Date that the Registration Statement, any Preliminary Prospectus, the Prospectus or the Pricing Disclosure Package, or any amendment or supplement thereto contains an untrue statement of a fact which, in the reasonable opinion of Weil, Gotshal &amp; Manges LLP, counsel for the Underwriters, is material or omits to state a fact which, in the reasonable opinion of such counsel, is material and is required to be stated therein or is necessary to make the statements therein not misleading (in the case of any Preliminary Prospectus, the Prospectus or the Pricing Disclosure Package, in the light of the circumstances under which such statements were made). </w:t>
      </w:r>
    </w:p>
    <w:p>
      <w:pPr>
        <w:pStyle w:val="TextBody"/>
        <w:bidi w:val="0"/>
        <w:spacing w:before="240" w:after="0"/>
        <w:jc w:val="left"/>
        <w:rPr>
          <w:rFonts w:ascii="Times New Roman" w:hAnsi="Times New Roman"/>
          <w:sz w:val="20"/>
        </w:rPr>
      </w:pPr>
      <w:r>
        <w:rPr>
          <w:rFonts w:ascii="Times New Roman" w:hAnsi="Times New Roman"/>
          <w:sz w:val="20"/>
        </w:rPr>
        <w:t xml:space="preserve">(c) All corporate proceedings and other legal matters incident to the authorization, form and validity of this Agreement, the Notes, the Registration Statement, any Preliminary Prospectus, the Prospectus and any Issuer Free Writing Prospectus, and all other legal matters relating to this Agreement shall be reasonably satisfactory in all material respects to counsel for the Underwriters, and the Company shall have furnished to such counsel all documents and information that they may reasonably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(d) Gibson, Dunn &amp; Crutcher LLP shall have furnished to the Representatives its written opinion and negative assurance letter, as counsel to the Company, addressed to the Underwriters and dated the Delivery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(e) The Representatives shall have received from T. Lane Wilson, General Counsel of the Company, his written opinion and negative assurance statement, addressed to the Underwriters and dated the Delivery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 The Representatives shall have received from Weil, Gotshal &amp; Manges LLP, counsel for the Underwriters, such opinion or opinions, dated the Delivery Date, with respect to the issuance and sale of the Notes, the Registration Statement, the most recent Preliminary Prospectus, the Prospectus and the Pricing Disclosure Package and other related matters as the Representatives may reasonably require, and the Company shall have furnished to such counsel such documents as they reasonably request for the purpose of enabling them to pass upon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At the time of execution of this Agreement, the Representatives shall have received from Ernst &amp; Young LLP three letters, in form and substance satisfactory to the Representatives, addressed to the Underwriters and each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 </w:t>
      </w:r>
    </w:p>
    <w:p>
      <w:pPr>
        <w:pStyle w:val="TextBody"/>
        <w:bidi w:val="0"/>
        <w:spacing w:before="240" w:after="0"/>
        <w:jc w:val="left"/>
        <w:rPr>
          <w:rFonts w:ascii="Times New Roman" w:hAnsi="Times New Roman"/>
          <w:sz w:val="20"/>
        </w:rPr>
      </w:pPr>
      <w:r>
        <w:rPr>
          <w:rFonts w:ascii="Times New Roman" w:hAnsi="Times New Roman"/>
          <w:sz w:val="20"/>
        </w:rPr>
        <w:t xml:space="preserve">(h) With respect to the three letters of Ernst &amp; Young LLP referred to in the preceding paragraph and delivered to the Representatives concurrently with the execution of this Agreement (each an “initial letter”), the Company shall have furnished to the Representatives a letter (each a “bring-down letter”) of such accountants, addressed to the Underwriters and dated the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 </w:t>
      </w:r>
    </w:p>
    <w:p>
      <w:pPr>
        <w:pStyle w:val="TextBody"/>
        <w:bidi w:val="0"/>
        <w:spacing w:before="240" w:after="0"/>
        <w:jc w:val="left"/>
        <w:rPr>
          <w:rFonts w:ascii="Times New Roman" w:hAnsi="Times New Roman"/>
          <w:sz w:val="20"/>
        </w:rPr>
      </w:pPr>
      <w:r>
        <w:rPr>
          <w:rFonts w:ascii="Times New Roman" w:hAnsi="Times New Roman"/>
          <w:sz w:val="20"/>
        </w:rPr>
        <w:t xml:space="preserve">(i) On the Delivery Date, the Company shall have furnished to the Representatives a certificate of the Company, signed by an executive officer of the Company, dated the Delivery Date, stating that: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warranties and agreements of the Company contained in </w:t>
      </w:r>
      <w:r>
        <w:rPr>
          <w:rFonts w:ascii="Times New Roman" w:hAnsi="Times New Roman"/>
          <w:sz w:val="20"/>
          <w:u w:val="single"/>
        </w:rPr>
        <w:t>Section 1</w:t>
      </w:r>
      <w:r>
        <w:rPr>
          <w:rFonts w:ascii="Times New Roman" w:hAnsi="Times New Roman"/>
          <w:sz w:val="20"/>
        </w:rPr>
        <w:t xml:space="preserve"> of this Agreement are true and correct as of the Delivery Date, and the Company has complied with all of its agreements contained herein and satisfied all the conditions on its part to be performed or satisfied hereunder at or prior to the Delivery Date; </w:t>
      </w:r>
    </w:p>
    <w:p>
      <w:pPr>
        <w:pStyle w:val="TextBody"/>
        <w:bidi w:val="0"/>
        <w:spacing w:before="240" w:after="0"/>
        <w:jc w:val="left"/>
        <w:rPr>
          <w:rFonts w:ascii="Times New Roman" w:hAnsi="Times New Roman"/>
          <w:sz w:val="20"/>
        </w:rPr>
      </w:pPr>
      <w:r>
        <w:rPr>
          <w:rFonts w:ascii="Times New Roman" w:hAnsi="Times New Roman"/>
          <w:sz w:val="20"/>
        </w:rPr>
        <w:t xml:space="preserve">(ii) the Prospectus has been timely filed with the Commission in accordance with </w:t>
      </w:r>
      <w:r>
        <w:rPr>
          <w:rFonts w:ascii="Times New Roman" w:hAnsi="Times New Roman"/>
          <w:sz w:val="20"/>
          <w:u w:val="single"/>
        </w:rPr>
        <w:t>Section 5(a)(i)</w:t>
      </w:r>
      <w:r>
        <w:rPr>
          <w:rFonts w:ascii="Times New Roman" w:hAnsi="Times New Roman"/>
          <w:sz w:val="20"/>
        </w:rPr>
        <w:t xml:space="preserve"> of this Agreement; no stop order suspending the effectiveness of the Registration Statement or any part thereof has been issued; and no proceedings for that purpose have been instituted or, to the knowledge of such officer, threatened by the Commission; all requests of the Commission for inclusion of additional information in the Registration Statement or the Prospectus or otherwise has been complied with; and the Commission has not notified the Company of any objection to the use of the form of the Registration Statement or any post-effective amendment thereto; and </w:t>
      </w:r>
    </w:p>
    <w:p>
      <w:pPr>
        <w:pStyle w:val="TextBody"/>
        <w:bidi w:val="0"/>
        <w:spacing w:before="240" w:after="0"/>
        <w:jc w:val="left"/>
        <w:rPr>
          <w:rFonts w:ascii="Times New Roman" w:hAnsi="Times New Roman"/>
          <w:sz w:val="20"/>
        </w:rPr>
      </w:pPr>
      <w:r>
        <w:rPr>
          <w:rFonts w:ascii="Times New Roman" w:hAnsi="Times New Roman"/>
          <w:sz w:val="20"/>
        </w:rPr>
        <w:t xml:space="preserve">(iii) since the respective dates as of which information is given in the Registration Statement, the Pricing Disclosure Package and the Prospectus (exclusive of any amendment or supplement thereto), there has been no material adverse change or any development that would reasonably be expected to result in a prospective material adverse change in the financial condition, earnings, business or operations of the Company and its subsidiaries (taken as a whole) from that set forth in or contemplated in the Registration Statement, the Pricing Disclosure Package and the Prospectus (exclusive of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(j) Since the date of the most recent financial statements included or incorporated by reference in the most recent Preliminary Prospectus and the Prospectus, there shall not have been any change, or any development that would reasonably be expected to result in a prospective change, in the financial condition, earnings, business or operations of the Company and its subsidiaries (taken as a whole) from that set forth or contemplated in the Prospectus, the effect of which is, in the judgment of the Representatives, so material and adverse as to make it impracticable or inadvisable to proceed with the public offering or the delivery of the Notes being delivered on the Delivery Date on the terms and in the manner contemplated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Subsequent to the execution and delivery of this Agreement (i) no downgrading shall have occurred in the rating accorded the Company’s debt securities by any “nationally recognized statistical rating organization” (as that term is defined in Section 3(a)(62) of the Exchange Act), and (ii) no such organization shall have publicly announced that it has under surveillance or review, with possible negative implications, its rating of any of the Company’s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(l) Subsequent to the execution and delivery of this Agreement there shall not have occurred any of the following: (i) trading in securities generally on the NYSE, NYSE American LLC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trading in any securities of the Company on any exchange or in the over-the-counter market shall have been suspended or limited or the settlement of such trading shall have been materially disrupted or minimum prices shall have been established on any such exchange or such market by the Commission, by such exchange or by any other regulatory body or governmental authority having jurisdiction, (iii) a banking moratorium shall have been declared by federal or state authorities, (iv) the United States shall have become engaged in hostilities, there shall have been an escalation in hostilities involving the United States or there shall have been a declaration of a national emergency or war by the United States or (v) such a material adverse change in general economic, political or financial conditions, including, without limitation, as a result of terrorist activities after the date hereof (or the effect of international conditions on the financial markets in the United States shall be such), in the case of clauses (iv) and (v), as to make it, in the judgment of the Representatives, impracticable or inadvisable to proceed with the public offering or delivery of the Notes being delivered on the Delivery Date on the terms and in the manner contemplated in the Prospectus (exclusive of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(m) The Company shall have furnished the Representatives such additional documents and certificates as the Representatives or counsel for the Underwriters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documents, evidence and certificates mentioned above or elsewhere in this Agreement shall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indemnify and hold harmless each Underwriter, its directors, officers, employees, agents, affiliates and each person, if any, who controls any Underwriter within the meaning of Section 15 of the Securities Act, from and against any loss, claim, damage or liability, joint or several, or any action in respect thereof (including, but not limited to, any loss, claim, damage, liability or action relating to purchases and sales of Notes), to which that Underwriter, director, officer, employee, agent, affiliate or controlling person may become subject, under the Securities Act or otherwise, insofar as such loss, claim, damage, liability or action arises out of, or is based upon, (i) an untrue statement or alleged untrue statement of a material fact contained in (A) any Preliminary Prospectus, the Registration Statement or the Prospectus or in any amendment or supplement thereto, (B) any Issuer Free Writing Prospectus or in any amendment or supplement thereto, or (C) any Permitted Issuer Information used or referred to in any “free writing prospectus” (as defined in Rule 405 of the Rules and Regulations) used or referred to by any Underwriter, or (ii) the omission or alleged omission to state in any Preliminary Prospectus, the Registration Statement, the Prospectus, any Issuer Free Writing Prospectus or in any amendment or supplement thereto or in any Permitted Issuer Information, any material fact required to be stated therein or necessary to make the statements therein not misleading (in the case of any Preliminary Prospectus, the Prospectus, any Issuer Free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18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Writing Prospectus or any Permitted Issuer Information, in the light of the circumstances under which any such statements were made), and shall reimburse each Underwriter and each such director, officer, employee, agent, affiliate or controlling person promptly upon demand for any legal or other expenses reasonably incurred by that Underwriter, director, officer, employee, agent, affiliate or controlling person in connection with investigating or defending or preparing to defend against any such loss, claim, damage, liability or action as such expenses are incurred; provided, however, that the Company shall not be liable in any such case to the extent that any such loss, claim, damage, liability or action arises out of, or is based upon, an untrue statement or alleged untrue statement or omission or alleged omission made in any Preliminary Prospectus, the Registration Statement, the Prospectus, any Issuer Free Writing Prospectus or in any such amendment or supplement thereto or in any Permitted Issuer Information,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w:t>
      </w:r>
      <w:r>
        <w:rPr>
          <w:rFonts w:ascii="Times New Roman" w:hAnsi="Times New Roman"/>
          <w:sz w:val="20"/>
          <w:u w:val="single"/>
        </w:rPr>
        <w:t>Section 8(e)</w:t>
      </w:r>
      <w:r>
        <w:rPr>
          <w:rFonts w:ascii="Times New Roman" w:hAnsi="Times New Roman"/>
          <w:sz w:val="20"/>
        </w:rPr>
        <w:t xml:space="preserve"> hereof. The foregoing indemnity agreement is in addition to any liability that the Company may otherwise have to any Underwriter or to any director, officer, employee, agent, affiliate or controlling person of that Underwriter.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severally and not jointly, shall indemnify and hold harmless the Company, its directors (including any person who, with his or her consent, is named in the Registration Statement as about to become a director of the Company), managers, officers and employees, and each person, if any, who controls the Company within the meaning of Section 15 of the Securities Act, from and against any loss, claim, damage or liability, joint or several, or any action in respect thereof, to which the Company or any such director, manager, officer, employee or controlling person may become subject, under the Securities Act or otherwise, insofar as such loss, claim, damage, liability or action arises out of, or is based upon, (i) an untrue statement or alleged untrue statement of a material fact contained in any Preliminary Prospectus, the Registration Statement, the Prospectus, any Issuer Free Writing Prospectus or in any amendment or supplement thereto, or (ii) the omission or alleged omission to state in any Preliminary Prospectus, the Registration Statement, the Prospectus, any Issuer Free Writing Prospectus or in any amendment or supplement thereto, any material fact required to be stated therein or necessary to make the statements therein not misleading (in the case of any Preliminary Prospectus, the Prospectus or any Issuer Free Writing Prospectus, in the light of the circumstances under which any such statements were made),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w:t>
      </w:r>
      <w:r>
        <w:rPr>
          <w:rFonts w:ascii="Times New Roman" w:hAnsi="Times New Roman"/>
          <w:sz w:val="20"/>
          <w:u w:val="single"/>
        </w:rPr>
        <w:t>Section 8(e)</w:t>
      </w:r>
      <w:r>
        <w:rPr>
          <w:rFonts w:ascii="Times New Roman" w:hAnsi="Times New Roman"/>
          <w:sz w:val="20"/>
        </w:rPr>
        <w:t xml:space="preserve"> hereof. The foregoing indemnity agreement is in addition to any liability that any Underwriter may otherwise have to the Company or any such director, manager, officer, employee or controlling person.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w:t>
      </w:r>
      <w:r>
        <w:rPr>
          <w:rFonts w:ascii="Times New Roman" w:hAnsi="Times New Roman"/>
          <w:sz w:val="20"/>
          <w:u w:val="single"/>
        </w:rPr>
        <w:t>Section 8</w:t>
      </w:r>
      <w:r>
        <w:rPr>
          <w:rFonts w:ascii="Times New Roman" w:hAnsi="Times New Roman"/>
          <w:sz w:val="20"/>
        </w:rPr>
        <w:t xml:space="preserve"> of notice of any claim or the commencement of any action, the indemnified party shall, if a claim in respect thereof is to be made against the indemnifying party under this </w:t>
      </w:r>
      <w:r>
        <w:rPr>
          <w:rFonts w:ascii="Times New Roman" w:hAnsi="Times New Roman"/>
          <w:sz w:val="20"/>
          <w:u w:val="single"/>
        </w:rPr>
        <w:t>Section 8</w:t>
      </w:r>
      <w:r>
        <w:rPr>
          <w:rFonts w:ascii="Times New Roman" w:hAnsi="Times New Roman"/>
          <w:sz w:val="20"/>
        </w:rPr>
        <w:t xml:space="preserve">, notify the indemnifying party in writing of the claim or the commencement of that action; provided, however, that the failure to notify the indemnifying party shall not relieve it from any liability which it may have under this </w:t>
      </w:r>
      <w:r>
        <w:rPr>
          <w:rFonts w:ascii="Times New Roman" w:hAnsi="Times New Roman"/>
          <w:sz w:val="20"/>
          <w:u w:val="single"/>
        </w:rPr>
        <w:t>Section 8</w:t>
      </w:r>
      <w:r>
        <w:rPr>
          <w:rFonts w:ascii="Times New Roman" w:hAnsi="Times New Roman"/>
          <w:sz w:val="20"/>
        </w:rPr>
        <w:t xml:space="preserve"> except to the extent it has been materially prejudiced by such failure; provided further, that the failure to notify the indemnifying party shall not relieve it from any liability which it may have to an indemnified party otherwise than under this </w:t>
      </w:r>
      <w:r>
        <w:rPr>
          <w:rFonts w:ascii="Times New Roman" w:hAnsi="Times New Roman"/>
          <w:sz w:val="20"/>
          <w:u w:val="single"/>
        </w:rPr>
        <w:t>Section 8</w:t>
      </w:r>
      <w:r>
        <w:rPr>
          <w:rFonts w:ascii="Times New Roman" w:hAnsi="Times New Roman"/>
          <w:sz w:val="20"/>
        </w:rPr>
        <w:t xml:space="preserve">.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w:t>
      </w:r>
      <w:r>
        <w:rPr>
          <w:rFonts w:ascii="Times New Roman" w:hAnsi="Times New Roman"/>
          <w:sz w:val="20"/>
          <w:u w:val="single"/>
        </w:rPr>
        <w:t>Section 8</w:t>
      </w:r>
      <w:r>
        <w:rPr>
          <w:rFonts w:ascii="Times New Roman" w:hAnsi="Times New Roman"/>
          <w:sz w:val="20"/>
        </w:rPr>
        <w:t xml:space="preserve"> for any legal or other expenses subsequently incurred by the indemnified party in connection with the defense thereof other than reasonable costs of investigation; provided, however, that the indemnified party shall have the right to employ separate counsel and the indemnifying party shall bear the reasonable fees, costs and expenses of such separate counsel if (i) the indemnified party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19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indemnifying party shall have so mutually agreed; (ii) the indemnifying party has failed within a reasonable time to retain counsel reasonably satisfactory to the indemnified party; (iii) the indemnified party shall have reasonably concluded that there may be legal defenses available to it and/or other indemnified parties that are different from or in addition to those available to the indemnifying party; or (iv) the named parties in any such proceeding (including any impleaded parties) include both the indemnified party, on the one hand, and the indemnifying party, on the other hand, and representation of both sets of parties by the same counsel would present such counsel with a conflict of interest.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w:t>
      </w:r>
      <w:r>
        <w:rPr>
          <w:rFonts w:ascii="Times New Roman" w:hAnsi="Times New Roman"/>
          <w:sz w:val="20"/>
          <w:u w:val="single"/>
        </w:rPr>
        <w:t>Section 8</w:t>
      </w:r>
      <w:r>
        <w:rPr>
          <w:rFonts w:ascii="Times New Roman" w:hAnsi="Times New Roman"/>
          <w:sz w:val="20"/>
        </w:rPr>
        <w:t xml:space="preserve"> shall for any reason be unavailable to or insufficient to hold harmless an indemnified party under </w:t>
      </w:r>
      <w:r>
        <w:rPr>
          <w:rFonts w:ascii="Times New Roman" w:hAnsi="Times New Roman"/>
          <w:sz w:val="20"/>
          <w:u w:val="single"/>
        </w:rPr>
        <w:t>Section 8(a)</w:t>
      </w:r>
      <w:r>
        <w:rPr>
          <w:rFonts w:ascii="Times New Roman" w:hAnsi="Times New Roman"/>
          <w:sz w:val="20"/>
        </w:rPr>
        <w:t xml:space="preserve"> or </w:t>
      </w:r>
      <w:r>
        <w:rPr>
          <w:rFonts w:ascii="Times New Roman" w:hAnsi="Times New Roman"/>
          <w:sz w:val="20"/>
          <w:u w:val="single"/>
        </w:rPr>
        <w:t>8(b)</w:t>
      </w:r>
      <w:r>
        <w:rPr>
          <w:rFonts w:ascii="Times New Roman" w:hAnsi="Times New Roman"/>
          <w:sz w:val="20"/>
        </w:rPr>
        <w:t xml:space="preserve"> hereof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Notes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Notes purchased under this Agreement (before deducting expenses) received by the Company, as set forth in the table on the cover page of the Prospectus, on the one hand, and the total underwriting discounts and commissions received by the Underwriters with respect to the Notes purchased under this Agreement, as set forth in the table on the cover page of the Prospectus, on the other hand, bear to the total gross proceeds from the offering of the Notes under this Agreement, as set forth in the table on the cover page of the Prospectus.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w:t>
      </w:r>
      <w:r>
        <w:rPr>
          <w:rFonts w:ascii="Times New Roman" w:hAnsi="Times New Roman"/>
          <w:sz w:val="20"/>
          <w:u w:val="single"/>
        </w:rPr>
        <w:t>Section 8(d)</w:t>
      </w:r>
      <w:r>
        <w:rPr>
          <w:rFonts w:ascii="Times New Roman" w:hAnsi="Times New Roman"/>
          <w:sz w:val="20"/>
        </w:rPr>
        <w:t xml:space="preserv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w:t>
      </w:r>
      <w:r>
        <w:rPr>
          <w:rFonts w:ascii="Times New Roman" w:hAnsi="Times New Roman"/>
          <w:sz w:val="20"/>
          <w:u w:val="single"/>
        </w:rPr>
        <w:t>Section 8(d)</w:t>
      </w:r>
      <w:r>
        <w:rPr>
          <w:rFonts w:ascii="Times New Roman" w:hAnsi="Times New Roman"/>
          <w:sz w:val="20"/>
        </w:rPr>
        <w:t xml:space="preserve"> shall be deemed to include, for purposes of this </w:t>
      </w:r>
      <w:r>
        <w:rPr>
          <w:rFonts w:ascii="Times New Roman" w:hAnsi="Times New Roman"/>
          <w:sz w:val="20"/>
          <w:u w:val="single"/>
        </w:rPr>
        <w:t>Section 8(d)</w:t>
      </w:r>
      <w:r>
        <w:rPr>
          <w:rFonts w:ascii="Times New Roman" w:hAnsi="Times New Roman"/>
          <w:sz w:val="20"/>
        </w:rPr>
        <w:t xml:space="preserve">, any legal or other expenses reasonably incurred by such indemnified party in connection with investigating or defending any such action or claim. Notwithstanding the provisions of this </w:t>
      </w:r>
      <w:r>
        <w:rPr>
          <w:rFonts w:ascii="Times New Roman" w:hAnsi="Times New Roman"/>
          <w:sz w:val="20"/>
          <w:u w:val="single"/>
        </w:rPr>
        <w:t>Section 8(d)</w:t>
      </w:r>
      <w:r>
        <w:rPr>
          <w:rFonts w:ascii="Times New Roman" w:hAnsi="Times New Roman"/>
          <w:sz w:val="20"/>
        </w:rPr>
        <w:t xml:space="preserve">, no Underwriter shall be required to contribute any amount in excess of the underwriting discount or commission applicable to the Notes purchased by such Underwriter hereunder.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Times New Roman" w:hAnsi="Times New Roman"/>
          <w:sz w:val="20"/>
          <w:u w:val="single"/>
        </w:rPr>
        <w:t>Section 8(d)</w:t>
      </w:r>
      <w:r>
        <w:rPr>
          <w:rFonts w:ascii="Times New Roman" w:hAnsi="Times New Roman"/>
          <w:sz w:val="20"/>
        </w:rPr>
        <w:t xml:space="preserve"> are several in proportion to their respective underwriting obligations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20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Underwriters severally confirm and the Company acknowledge that the statements set forth in the third paragraph and the seventh paragraph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the Registration Statement, any Preliminary Prospectus, the Prospectus, any Issuer Free Writing Prospectus or in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Defaulting Underwriters</w:t>
      </w:r>
      <w:r>
        <w:rPr>
          <w:rFonts w:ascii="Times New Roman" w:hAnsi="Times New Roman"/>
          <w:sz w:val="20"/>
        </w:rPr>
        <w:t xml:space="preserve">. If, on the Delivery Date, any Underwriter defaults in the performance of its obligations under this Agreement, the remaining non-defaulting Underwriters shall be obligated to purchase the Notes, that the defaulting Underwriter agreed but failed to purchase on the Delivery Date in the respective proportions which the amount of the Notes, set forth opposite the name of each remaining non-defaulting Underwriter in Schedule 1 hereto bears to the total amount of the Notes set forth opposite the names of all the respective remaining non-defaulting Underwriters in Schedule 1 hereto; provided, however, that the remaining non-defaulting Underwriters shall not be obligated to purchase any of the Notes on the Delivery Date if the total amount of the Notes which the defaulting Underwriter or Underwriters agreed but failed to purchase on such date exceeds 9.09% of the total amount of the Notes to be purchased on the Delivery Date, and any remaining non-defaulting Underwriter shall not be obligated to purchase more than 110% of the amount of the Notes which it agreed to purchase on the Delivery Date pursuant to the terms of </w:t>
      </w:r>
      <w:r>
        <w:rPr>
          <w:rFonts w:ascii="Times New Roman" w:hAnsi="Times New Roman"/>
          <w:sz w:val="20"/>
          <w:u w:val="single"/>
        </w:rPr>
        <w:t>Section 2</w:t>
      </w:r>
      <w:r>
        <w:rPr>
          <w:rFonts w:ascii="Times New Roman" w:hAnsi="Times New Roman"/>
          <w:sz w:val="20"/>
        </w:rPr>
        <w:t xml:space="preserve">. If the foregoing maximums are exceeded, the remaining non-defaulting Underwriters, or those other underwriters satisfactory to the Representatives who so agree, shall have the right, but shall not be obligated, to purchase, in such proportion as may be agreed upon among them, all the Notes to be purchased on the Delivery Date. If the remaining Underwriters or other underwriters satisfactory to the Representatives do not elect to purchase the Notes that the defaulting Underwriter or Underwriters agreed but failed to purchase on the Delivery Date, this Agreement shall terminate without liability on the part of any non-defaulting Underwriter or the Company, except that the Company will continue to be liable for the payment of expenses to the extent set forth in </w:t>
      </w:r>
      <w:r>
        <w:rPr>
          <w:rFonts w:ascii="Times New Roman" w:hAnsi="Times New Roman"/>
          <w:sz w:val="20"/>
          <w:u w:val="single"/>
        </w:rPr>
        <w:t>Section 6</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As used in this Agreement, the term “Underwriter” includes, for all purposes of this Agreement unless the context requires otherwise, any party not listed in Schedule 1 hereto who, pursuant to this </w:t>
      </w:r>
      <w:r>
        <w:rPr>
          <w:rFonts w:ascii="Times New Roman" w:hAnsi="Times New Roman"/>
          <w:sz w:val="20"/>
          <w:u w:val="single"/>
        </w:rPr>
        <w:t>Section 9</w:t>
      </w:r>
      <w:r>
        <w:rPr>
          <w:rFonts w:ascii="Times New Roman" w:hAnsi="Times New Roman"/>
          <w:sz w:val="20"/>
        </w:rPr>
        <w:t xml:space="preserve">, purchases Notes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relieve a defaulting Underwriter of any liability it may have to the Company for damages caused by its default. If other Underwriters are obligated or agree to purchase the Notes of a defaulting or withdrawing Underwriter, either the Representatives or the Company, as the case may be, may postpone the Delivery Date for up to seven full business days in order to effect any changes that in the opinion of counsel for the Company or counsel for the Underwriters may be necessary in the Registration Statement, any Preliminary Prospectus or the Prospectus or in any other document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The obligations of the Underwriters hereunder may be terminated by the Representatives by notice given to and received by the Company prior to delivery of and payment for the Notes if, prior to that time, any of the events described in </w:t>
      </w:r>
      <w:r>
        <w:rPr>
          <w:rFonts w:ascii="Times New Roman" w:hAnsi="Times New Roman"/>
          <w:sz w:val="20"/>
          <w:u w:val="single"/>
        </w:rPr>
        <w:t>Sections 7(g)</w:t>
      </w:r>
      <w:r>
        <w:rPr>
          <w:rFonts w:ascii="Times New Roman" w:hAnsi="Times New Roman"/>
          <w:sz w:val="20"/>
        </w:rPr>
        <w:t xml:space="preserve">, </w:t>
      </w:r>
      <w:r>
        <w:rPr>
          <w:rFonts w:ascii="Times New Roman" w:hAnsi="Times New Roman"/>
          <w:sz w:val="20"/>
          <w:u w:val="single"/>
        </w:rPr>
        <w:t>7(k)</w:t>
      </w:r>
      <w:r>
        <w:rPr>
          <w:rFonts w:ascii="Times New Roman" w:hAnsi="Times New Roman"/>
          <w:sz w:val="20"/>
        </w:rPr>
        <w:t xml:space="preserve"> or </w:t>
      </w:r>
      <w:r>
        <w:rPr>
          <w:rFonts w:ascii="Times New Roman" w:hAnsi="Times New Roman"/>
          <w:sz w:val="20"/>
          <w:u w:val="single"/>
        </w:rPr>
        <w:t>7(l)</w:t>
      </w:r>
      <w:r>
        <w:rPr>
          <w:rFonts w:ascii="Times New Roman" w:hAnsi="Times New Roman"/>
          <w:sz w:val="20"/>
        </w:rPr>
        <w:t xml:space="preserve"> hereof, shall have occurred or if the Underwriters shall decline to purchase the Notes for any reason permitted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Reimbursement of Underwriters’ Expenses</w:t>
      </w:r>
      <w:r>
        <w:rPr>
          <w:rFonts w:ascii="Times New Roman" w:hAnsi="Times New Roman"/>
          <w:sz w:val="20"/>
        </w:rPr>
        <w:t xml:space="preserve">. If the Company shall fail to tender the Notes for delivery to the Underwriters by reason of any failure, refusal or inability on the part of the Company to perform any agreement on its part to be performed, or because any other condition of the Underwriters’ obligations hereunder required to be fulfilled by the Company is not fulfilled, the Company agrees to reimburse the Underwriters severally through the Representatives on demand for all reasonable out-of-pocket expenses (including reasonable fees and disbursements of counsel) incurred by the Underwriters severally in connection with this Agreement and the proposed purchase of the Notes (the “Expenses”). If this Agreement is terminated pursuant to </w:t>
      </w:r>
      <w:r>
        <w:rPr>
          <w:rFonts w:ascii="Times New Roman" w:hAnsi="Times New Roman"/>
          <w:sz w:val="20"/>
          <w:u w:val="single"/>
        </w:rPr>
        <w:t>Section 9</w:t>
      </w:r>
      <w:r>
        <w:rPr>
          <w:rFonts w:ascii="Times New Roman" w:hAnsi="Times New Roman"/>
          <w:sz w:val="20"/>
        </w:rPr>
        <w:t xml:space="preserve"> by reason of the default of one or more Underwriters, the Company shall not be obligated to reimburse any defaulting Underwriter on account of those Expenses. If this agreement is terminated pursuant to </w:t>
      </w:r>
      <w:r>
        <w:rPr>
          <w:rFonts w:ascii="Times New Roman" w:hAnsi="Times New Roman"/>
          <w:sz w:val="20"/>
          <w:u w:val="single"/>
        </w:rPr>
        <w:t>Section 10</w:t>
      </w:r>
      <w:r>
        <w:rPr>
          <w:rFonts w:ascii="Times New Roman" w:hAnsi="Times New Roman"/>
          <w:sz w:val="20"/>
        </w:rPr>
        <w:t xml:space="preserve"> because any of the events described in </w:t>
      </w:r>
      <w:r>
        <w:rPr>
          <w:rFonts w:ascii="Times New Roman" w:hAnsi="Times New Roman"/>
          <w:sz w:val="20"/>
          <w:u w:val="single"/>
        </w:rPr>
        <w:t>Section 7(l)</w:t>
      </w:r>
      <w:r>
        <w:rPr>
          <w:rFonts w:ascii="Times New Roman" w:hAnsi="Times New Roman"/>
          <w:sz w:val="20"/>
        </w:rPr>
        <w:t xml:space="preserve"> shall have occurred, the Company will reimburse the Underwriters severally through the Representatives on demand for the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21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Research Analyst Independence</w:t>
      </w:r>
      <w:r>
        <w:rPr>
          <w:rFonts w:ascii="Times New Roman" w:hAnsi="Times New Roman"/>
          <w:sz w:val="20"/>
        </w:rPr>
        <w:t xml:space="preserve">. In addition, 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of the Notes that differ from the views of their respective investment bankers.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full-service securities firm and as such from time to time, subject to applicable securities laws, may effect transactions for its own account or the account of its customers and hold long or short positions in debt or equity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 Fiduciary Duty</w:t>
      </w:r>
      <w:r>
        <w:rPr>
          <w:rFonts w:ascii="Times New Roman" w:hAnsi="Times New Roman"/>
          <w:sz w:val="20"/>
        </w:rPr>
        <w:t xml:space="preserve">. The Company acknowledges and agrees that in connection with the offering of the Notes, the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Company and any other person, on the one hand, and the Underwriters, on the other, exists; (ii) the Underwriters are not acting as advisors, expert or otherwise, to the Company, and such relationship between the Company, on the one hand, and the Underwriters, on the other, is entirely and solely commercial, based on arms-length negotiations; (iii) any duties and obligations that the Underwriters may have to the Company shall be limited to those duties and obligations specifically stated herein; and (iv) the Underwriters and their respective affiliates may have interests that differ from those of the Company. Furthermore, the Company agrees that it is responsible for making its own judgments and decisions in connection with this offering. The Company hereby waives any claims that the Company may have against the Underwriters with respect to any breach of fiduciary duty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USA Patriot Act</w:t>
      </w:r>
      <w:r>
        <w:rPr>
          <w:rFonts w:ascii="Times New Roman" w:hAnsi="Times New Roman"/>
          <w:sz w:val="20"/>
        </w:rPr>
        <w:t xml:space="preserve">. In accordance with the requirements of the USA Patriot Act (Title 111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if sent to the Representatives, will be mailed, delivered or telefaxed to c/o Citigroup Global Markets Inc., 388 Greenwich Street, New York, New York 10013, Attention: General Counsel, Fax: (646) 291-1469; c/o Mizuho Securities USA LLC, 1271 Avenue of the Americas, New York, New York 10020, Attention: Debt Capital Markets, Email: BA_DCM_Notices@mizuhogroup.com; c/o Morgan Stanley &amp; Co. LLC, 1585 Broadway New York, New York 10036; and c/o SMBC Nikko Securities America, Inc., 277 Park Avenue, New York, New York 10172, Attention: Debt Capital Markets, Email: NikkoGCNotices@smbcnikko-si.com, with a copy mailed, delivered or telefaxed to Weil, Gotshal &amp; Manges LLP, 767 Fifth Avenue, New York, New York 10153, Fax: (212) 310-8007; Attention: Merritt S. Johnson, Esq.; or, if sent to the Company, will be mailed, delivered or telefaxed to c/o The Williams Companies, Inc., (918) 573-2065 and confirmed to it at One Williams Center, Tulsa, Oklahoma 74172-0172, Attention: Treasurer, with a copy mailed, delivered or telefaxed to Gibson, Dunn &amp; Crutcher LLP, 1801 California Street, Suite 4200, Denver, Colorado 80202; Attention: Robyn E. Zolman, Fax: (303) 313-2830 and confirmed at (303) 298-5740.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22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Successors</w:t>
      </w:r>
      <w:r>
        <w:rPr>
          <w:rFonts w:ascii="Times New Roman" w:hAnsi="Times New Roman"/>
          <w:sz w:val="20"/>
        </w:rPr>
        <w:t xml:space="preserve">. This Agreement shall inure to the benefit of and be binding upon the Underwriters, the Company and their respective successors and the indemnified persons referred to in </w:t>
      </w:r>
      <w:r>
        <w:rPr>
          <w:rFonts w:ascii="Times New Roman" w:hAnsi="Times New Roman"/>
          <w:sz w:val="20"/>
          <w:u w:val="single"/>
        </w:rPr>
        <w:t>Section 8</w:t>
      </w:r>
      <w:r>
        <w:rPr>
          <w:rFonts w:ascii="Times New Roman" w:hAnsi="Times New Roman"/>
          <w:sz w:val="20"/>
        </w:rPr>
        <w:t xml:space="preserve"> hereof, and no other person will have any right or obligation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Amendments or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Entire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supersedes all prior agreements and understandings (whether written or oral) between or among the Company and the Underwriters, or any of them,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Survival</w:t>
      </w:r>
      <w:r>
        <w:rPr>
          <w:rFonts w:ascii="Times New Roman" w:hAnsi="Times New Roman"/>
          <w:sz w:val="20"/>
        </w:rPr>
        <w:t xml:space="preserve">. The respective indemnities, representations, warranties and agreements of the Company and the Underwriters contained in this Agreement or made by or on behalf on them, respectively, pursuant to this Agreement, shall survive the delivery of and payment for the Notes and shall remain in full force and effect, regardless of any investigation made by or on behalf of any of them or their respective successors or the controlling persons referred to in </w:t>
      </w:r>
      <w:r>
        <w:rPr>
          <w:rFonts w:ascii="Times New Roman" w:hAnsi="Times New Roman"/>
          <w:sz w:val="20"/>
          <w:u w:val="single"/>
        </w:rPr>
        <w:t>Section 8</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Definition of the Terms “Business Day” and “subsidiary</w:t>
      </w:r>
      <w:r>
        <w:rPr>
          <w:rFonts w:ascii="Times New Roman" w:hAnsi="Times New Roman"/>
          <w:sz w:val="20"/>
        </w:rPr>
        <w:t xml:space="preserve">”. For purposes of this Agreement, (a) “business day” means each Monday, Tuesday, Wednesday, Thursday or Friday that is not a day on which banking institutions in New York are generally authorized or obligated by law or executive order to close and (b) “subsidiary” and “affiliate” have their respective meaning set forth in Rule 405 of the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Applicable Law and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IS GOVERNED BY THE LAW OF THE STATE OF NEW YORK. THE COMPANY AND THE UNDERWRITERS EACH WAIVE TRIAL BY JURY IN ANY ACTION, PROCEEDING OR COUNTERCLAIM BROUGHT BY OR ON BEHALF OF EITHER PARTY WITH RESPECT TO ANY MATTER WHATSOEVER RELATING TO OR ARISING OUT OF THE TERMS OF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hereby irrevocably submit to the non-exclusive jurisdiction of any New York State or federal court sitting in the Borough of Manhattan in The City of New York in any action or proceeding arising out of or relating to the terms of this Agreement and the offering contemplated hereby, and the parties hereby irrevocably agree that all claims in respect of such action or proceeding may be heard and determined in such New York State or federal court. The parties hereby irrevocably waive, to the fullest extent that they may legally do so, the defense of an inconvenient forum to the maintenance of such action or proceeding and each party irrevocably consents to the service of any and all process in any action or proceeding by the mailing or delivery of copies of such process to it at the office of the party set forth under Notices herein. The parties agree that a final judgment in any such action or proceeding shall be conclusive and may be enforced in other jurisdictions by suit on the judgment or in any other manner provided by law. To the extent that either party has or hereafter may acquire any immunity from jurisdiction of any court or from any legal process (whether through service or notice, attachment prior to judgment, attachment in aid of execution or otherwise) with respect to its obligations hereunder, each waives such immunity to the extent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23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interest and obligation in or under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w:t>
      </w:r>
      <w:r>
        <w:rPr>
          <w:rFonts w:ascii="Times New Roman" w:hAnsi="Times New Roman"/>
          <w:sz w:val="20"/>
          <w:u w:val="single"/>
        </w:rPr>
        <w:t>Section 22</w:t>
      </w:r>
      <w:r>
        <w:rPr>
          <w:rFonts w:ascii="Times New Roman" w:hAnsi="Times New Roman"/>
          <w:sz w:val="20"/>
        </w:rPr>
        <w:t xml:space="preserve">, the following terms shall have the respective meanings set out below: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(i) a “</w:t>
      </w:r>
      <w:r>
        <w:rPr>
          <w:rFonts w:ascii="Times New Roman" w:hAnsi="Times New Roman"/>
          <w:sz w:val="20"/>
          <w:u w:val="single"/>
        </w:rPr>
        <w:t>covered entity</w:t>
      </w:r>
      <w:r>
        <w:rPr>
          <w:rFonts w:ascii="Times New Roman" w:hAnsi="Times New Roman"/>
          <w:sz w:val="20"/>
        </w:rPr>
        <w:t xml:space="preserve">” as that term is defined in, and interpreted in accordance with, 12 C.F.R. § 252.82(b); </w:t>
      </w:r>
    </w:p>
    <w:p>
      <w:pPr>
        <w:pStyle w:val="TextBody"/>
        <w:bidi w:val="0"/>
        <w:spacing w:before="240" w:after="0"/>
        <w:jc w:val="left"/>
        <w:rPr>
          <w:rFonts w:ascii="Times New Roman" w:hAnsi="Times New Roman"/>
          <w:sz w:val="20"/>
        </w:rPr>
      </w:pPr>
      <w:r>
        <w:rPr>
          <w:rFonts w:ascii="Times New Roman" w:hAnsi="Times New Roman"/>
          <w:sz w:val="20"/>
        </w:rPr>
        <w:t>(ii) a “</w:t>
      </w:r>
      <w:r>
        <w:rPr>
          <w:rFonts w:ascii="Times New Roman" w:hAnsi="Times New Roman"/>
          <w:sz w:val="20"/>
          <w:u w:val="single"/>
        </w:rPr>
        <w:t>covered bank</w:t>
      </w:r>
      <w:r>
        <w:rPr>
          <w:rFonts w:ascii="Times New Roman" w:hAnsi="Times New Roman"/>
          <w:sz w:val="20"/>
        </w:rPr>
        <w:t xml:space="preserve">”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(iii) a “</w:t>
      </w:r>
      <w:r>
        <w:rPr>
          <w:rFonts w:ascii="Times New Roman" w:hAnsi="Times New Roman"/>
          <w:sz w:val="20"/>
          <w:u w:val="single"/>
        </w:rPr>
        <w:t>covered FSI</w:t>
      </w:r>
      <w:r>
        <w:rPr>
          <w:rFonts w:ascii="Times New Roman" w:hAnsi="Times New Roman"/>
          <w:sz w:val="20"/>
        </w:rPr>
        <w:t xml:space="preserve">”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w:t>
      </w:r>
      <w:r>
        <w:rPr>
          <w:rFonts w:ascii="Times New Roman" w:hAnsi="Times New Roman"/>
          <w:sz w:val="20"/>
        </w:rPr>
        <w:t xml:space="preserve">t”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term or provision of this Agreement or the performance thereof shall be invalid or unenforceable to any extent, such invalidity or unenforceability shall not affect or render invalid or unenforceable any other provision of this Agreement and this Agreement shall be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any other party may be made by facsimile, electronic mail (including any electronic signature complying with the New York Electronic Signatures and Records Act (N.Y. State Tech. §§ 301-309), as amended from time to time, the U.S. federal ESIGN Act of 2000, Uniform Electronic Transactions Act, the Electronic Signatures and Records Act, or other applicable law) or other transmission method, and the parties hereto agree that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24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Headings</w:t>
      </w:r>
      <w:r>
        <w:rPr>
          <w:rFonts w:ascii="Times New Roman" w:hAnsi="Times New Roman"/>
          <w:sz w:val="20"/>
        </w:rPr>
        <w:t xml:space="preserve">. The headings herein are inserted for convenience of reference only and are not intended to be part of, or to affect the meaning or interpretation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25 of 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agreement among the Company and the Underwriters, please indicate your acceptance in the space provided for that purpose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THE WILLIAMS COMPANIES,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Peter S. Burgess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Name:  Peter S. Burgess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Title: 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 UNDERWRITING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05"/>
        <w:gridCol w:w="60"/>
        <w:gridCol w:w="3317"/>
      </w:tblGrid>
      <w:tr>
        <w:trPr/>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foregoing Agreement is hereby confirmed and accepted as of the date set forth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CITIGROUP GLOBAL MARKETS INC.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/s/ Adam D. Bordner</w:t>
            </w:r>
          </w:p>
        </w:tc>
      </w:tr>
      <w:tr>
        <w:trPr/>
        <w:tc>
          <w:tcPr>
            <w:tcW w:w="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Adam D. Bordner</w:t>
            </w:r>
          </w:p>
        </w:tc>
      </w:tr>
      <w:tr>
        <w:trPr/>
        <w:tc>
          <w:tcPr>
            <w:tcW w:w="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MIZUHO SECURITIES USA LLC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/s/ Stephen E. Leamer</w:t>
            </w:r>
          </w:p>
        </w:tc>
      </w:tr>
      <w:tr>
        <w:trPr/>
        <w:tc>
          <w:tcPr>
            <w:tcW w:w="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Stephen E. Leamer</w:t>
            </w:r>
          </w:p>
        </w:tc>
      </w:tr>
      <w:tr>
        <w:trPr/>
        <w:tc>
          <w:tcPr>
            <w:tcW w:w="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MORGAN STANLEY &amp; CO. LLC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/s/ Yiming Hu</w:t>
            </w:r>
          </w:p>
        </w:tc>
      </w:tr>
      <w:tr>
        <w:trPr/>
        <w:tc>
          <w:tcPr>
            <w:tcW w:w="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Yiming Hu</w:t>
            </w:r>
          </w:p>
        </w:tc>
      </w:tr>
      <w:tr>
        <w:trPr/>
        <w:tc>
          <w:tcPr>
            <w:tcW w:w="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SMBC NIKKO SECURITIES AMERICA, INC.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/s/ Amanda Boggs</w:t>
            </w:r>
          </w:p>
        </w:tc>
      </w:tr>
      <w:tr>
        <w:trPr/>
        <w:tc>
          <w:tcPr>
            <w:tcW w:w="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Amanda Boggs</w:t>
            </w:r>
          </w:p>
        </w:tc>
      </w:tr>
      <w:tr>
        <w:trPr/>
        <w:tc>
          <w:tcPr>
            <w:tcW w:w="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 themselves and as Representatives of the several Underwriters named in Schedule 1 hereto.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4"/>
        <w:gridCol w:w="183"/>
        <w:gridCol w:w="140"/>
        <w:gridCol w:w="1275"/>
        <w:gridCol w:w="60"/>
        <w:gridCol w:w="183"/>
        <w:gridCol w:w="140"/>
        <w:gridCol w:w="1407"/>
        <w:gridCol w:w="60"/>
        <w:gridCol w:w="183"/>
        <w:gridCol w:w="140"/>
        <w:gridCol w:w="1275"/>
        <w:gridCol w:w="60"/>
        <w:gridCol w:w="183"/>
        <w:gridCol w:w="140"/>
        <w:gridCol w:w="1275"/>
        <w:gridCol w:w="67"/>
      </w:tblGrid>
      <w:tr>
        <w:trPr/>
        <w:tc>
          <w:tcPr>
            <w:tcW w:w="3434"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4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183"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 due 2029</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 due 2033</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 due 2036</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 due 2056</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71,250,000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47,500,000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71,250,000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47,500,000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71,250,000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47,500,000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71,250,000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47,500,000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32,500,000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65,000,000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48,750,000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32,500,000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32,500,000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65,000,000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48,750,000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32,500,000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32,500,000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65,000,000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48,750,000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32,500,000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32,500,000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65,000,000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48,750,000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32,500,000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32,500,000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65,000,000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48,750,000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32,500,000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32,500,000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65,000,000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48,750,000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32,500,000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12,500,000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BOK Financial Securities, Inc.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12,500,000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12,500,000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12,500,000</w:t>
            </w:r>
          </w:p>
        </w:tc>
        <w:tc>
          <w:tcPr>
            <w:tcW w:w="67" w:type="dxa"/>
            <w:tcBorders/>
            <w:vAlign w:val="bottom"/>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12,500,000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tcPr>
          <w:p>
            <w:pPr>
              <w:pStyle w:val="TableContents"/>
              <w:bidi w:val="0"/>
              <w:spacing w:before="0" w:after="0"/>
              <w:jc w:val="left"/>
              <w:rPr>
                <w:rFonts w:ascii="Times New Roman" w:hAnsi="Times New Roman"/>
                <w:sz w:val="20"/>
              </w:rPr>
            </w:pPr>
            <w:r>
              <w:rPr>
                <w:rFonts w:ascii="Times New Roman" w:hAnsi="Times New Roman"/>
                <w:sz w:val="20"/>
              </w:rPr>
              <w:t>Tuohy Brothers Investment Research, Inc.</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3,750,000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2,500,000</w:t>
            </w:r>
          </w:p>
        </w:tc>
        <w:tc>
          <w:tcPr>
            <w:tcW w:w="67" w:type="dxa"/>
            <w:tcBorders/>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4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7" w:type="dxa"/>
            <w:tcBorders/>
            <w:shd w:fill="CCEEFF" w:val="clear"/>
            <w:vAlign w:val="bottom"/>
          </w:tcPr>
          <w:p>
            <w:pPr>
              <w:pStyle w:val="TableContents"/>
              <w:bidi w:val="0"/>
              <w:spacing w:before="0" w:after="283"/>
              <w:jc w:val="right"/>
              <w:rPr/>
            </w:pPr>
            <w:r>
              <w:rPr/>
              <w:t>1,000,000,000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500,000,000</w:t>
            </w:r>
          </w:p>
        </w:tc>
        <w:tc>
          <w:tcPr>
            <w:tcW w:w="67" w:type="dxa"/>
            <w:tcBorders/>
            <w:shd w:fill="CCEEFF" w:val="clear"/>
            <w:vAlign w:val="bottom"/>
          </w:tcPr>
          <w:p>
            <w:pPr>
              <w:pStyle w:val="TableContents"/>
              <w:bidi w:val="0"/>
              <w:spacing w:before="0" w:after="283"/>
              <w:jc w:val="left"/>
              <w:rPr/>
            </w:pPr>
            <w:r>
              <w:rPr/>
              <w:t> </w:t>
            </w:r>
          </w:p>
        </w:tc>
      </w:tr>
      <w:tr>
        <w:trPr/>
        <w:tc>
          <w:tcPr>
            <w:tcW w:w="343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12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WILLIAMS COMPANIES, INC. </w:t>
      </w:r>
    </w:p>
    <w:p>
      <w:pPr>
        <w:pStyle w:val="TextBody"/>
        <w:bidi w:val="0"/>
        <w:spacing w:before="120" w:after="0"/>
        <w:jc w:val="center"/>
        <w:rPr>
          <w:rFonts w:ascii="Times New Roman" w:hAnsi="Times New Roman"/>
          <w:b/>
          <w:sz w:val="20"/>
        </w:rPr>
      </w:pPr>
      <w:r>
        <w:rPr>
          <w:rFonts w:ascii="Times New Roman" w:hAnsi="Times New Roman"/>
          <w:b/>
          <w:sz w:val="20"/>
        </w:rPr>
        <w:t xml:space="preserve">$500,000,000 5.000% Senior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5.600% Senior Notes Due 2033 </w:t>
      </w:r>
    </w:p>
    <w:p>
      <w:pPr>
        <w:pStyle w:val="TextBody"/>
        <w:bidi w:val="0"/>
        <w:spacing w:before="0" w:after="0"/>
        <w:jc w:val="center"/>
        <w:rPr>
          <w:rFonts w:ascii="Times New Roman" w:hAnsi="Times New Roman"/>
          <w:b/>
          <w:sz w:val="20"/>
        </w:rPr>
      </w:pPr>
      <w:r>
        <w:rPr>
          <w:rFonts w:ascii="Times New Roman" w:hAnsi="Times New Roman"/>
          <w:b/>
          <w:sz w:val="20"/>
        </w:rPr>
        <w:t xml:space="preserve">$750,000,000 5.800% Senior Notes Due 2036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6.400% Senior Notes Due 2056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PRICING TERM SHEET </w:t>
      </w:r>
    </w:p>
    <w:p>
      <w:pPr>
        <w:pStyle w:val="TextBody"/>
        <w:bidi w:val="0"/>
        <w:spacing w:before="120" w:after="0"/>
        <w:jc w:val="center"/>
        <w:rPr>
          <w:rFonts w:ascii="Times New Roman" w:hAnsi="Times New Roman"/>
          <w:b/>
          <w:sz w:val="20"/>
        </w:rPr>
      </w:pPr>
      <w:r>
        <w:rPr>
          <w:rFonts w:ascii="Times New Roman" w:hAnsi="Times New Roman"/>
          <w:b/>
          <w:sz w:val="20"/>
        </w:rPr>
        <w:t xml:space="preserve">Dated: September 8,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203"/>
        <w:gridCol w:w="6839"/>
      </w:tblGrid>
      <w:tr>
        <w:trPr/>
        <w:tc>
          <w:tcPr>
            <w:tcW w:w="316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Issuer:</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The Williams Companies, Inc.</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Expected Ratings (Moody’s / S&amp;P / Fitch)*:</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sz w:val="4"/>
                <w:szCs w:val="4"/>
              </w:rPr>
            </w:pPr>
            <w:r>
              <w:rPr>
                <w:sz w:val="4"/>
                <w:szCs w:val="4"/>
              </w:rPr>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Pricing Date: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September 8, 2026</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Settlement Date:</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September 10, 2026 (T + 2)</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Use of Proceeds: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We intend to use the net proceeds of this offering to repay outstanding commercial paper and for other general corporate purposes, including funding capital expenditures. As of September 4, 2026, we had approximately $910 million of commercial paper outstanding with a weighted average annual interest rate of 3.8802% and a weighted average maturity of 6.14 days.</w:t>
            </w:r>
          </w:p>
        </w:tc>
      </w:tr>
    </w:tbl>
    <w:p>
      <w:pPr>
        <w:pStyle w:val="TextBody"/>
        <w:bidi w:val="0"/>
        <w:spacing w:before="0" w:after="0"/>
        <w:jc w:val="left"/>
        <w:rPr/>
      </w:pPr>
      <w:r>
        <w:rPr/>
        <w:t> </w:t>
      </w:r>
    </w:p>
    <w:tbl>
      <w:tblPr>
        <w:tblW w:w="11605" w:type="dxa"/>
        <w:jc w:val="center"/>
        <w:tblInd w:w="0" w:type="dxa"/>
        <w:tblLayout w:type="fixed"/>
        <w:tblCellMar>
          <w:top w:w="0" w:type="dxa"/>
          <w:left w:w="0" w:type="dxa"/>
          <w:bottom w:w="0" w:type="dxa"/>
          <w:right w:w="0" w:type="dxa"/>
        </w:tblCellMar>
      </w:tblPr>
      <w:tblGrid>
        <w:gridCol w:w="1085"/>
        <w:gridCol w:w="120"/>
        <w:gridCol w:w="2510"/>
        <w:gridCol w:w="120"/>
        <w:gridCol w:w="2510"/>
        <w:gridCol w:w="120"/>
        <w:gridCol w:w="2510"/>
        <w:gridCol w:w="120"/>
        <w:gridCol w:w="2510"/>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0" w:type="dxa"/>
            <w:tcBorders/>
            <w:vAlign w:val="bottom"/>
          </w:tcPr>
          <w:p>
            <w:pPr>
              <w:pStyle w:val="TableContents"/>
              <w:bidi w:val="0"/>
              <w:spacing w:before="0" w:after="283"/>
              <w:jc w:val="center"/>
              <w:rPr>
                <w:b/>
              </w:rPr>
            </w:pPr>
            <w:r>
              <w:rPr>
                <w:b/>
              </w:rPr>
              <w:t>Notes due 2029</w:t>
            </w:r>
          </w:p>
        </w:tc>
        <w:tc>
          <w:tcPr>
            <w:tcW w:w="120" w:type="dxa"/>
            <w:tcBorders/>
            <w:vAlign w:val="bottom"/>
          </w:tcPr>
          <w:p>
            <w:pPr>
              <w:pStyle w:val="TableContents"/>
              <w:bidi w:val="0"/>
              <w:spacing w:before="0" w:after="283"/>
              <w:jc w:val="left"/>
              <w:rPr/>
            </w:pPr>
            <w:r>
              <w:rPr/>
              <w:t>  </w:t>
            </w:r>
          </w:p>
        </w:tc>
        <w:tc>
          <w:tcPr>
            <w:tcW w:w="2510" w:type="dxa"/>
            <w:tcBorders/>
            <w:vAlign w:val="bottom"/>
          </w:tcPr>
          <w:p>
            <w:pPr>
              <w:pStyle w:val="TableContents"/>
              <w:bidi w:val="0"/>
              <w:spacing w:before="0" w:after="283"/>
              <w:jc w:val="center"/>
              <w:rPr>
                <w:b/>
              </w:rPr>
            </w:pPr>
            <w:r>
              <w:rPr>
                <w:b/>
              </w:rPr>
              <w:t>Notes due 2033</w:t>
            </w:r>
          </w:p>
        </w:tc>
        <w:tc>
          <w:tcPr>
            <w:tcW w:w="120" w:type="dxa"/>
            <w:tcBorders/>
            <w:vAlign w:val="bottom"/>
          </w:tcPr>
          <w:p>
            <w:pPr>
              <w:pStyle w:val="TableContents"/>
              <w:bidi w:val="0"/>
              <w:spacing w:before="0" w:after="283"/>
              <w:jc w:val="left"/>
              <w:rPr/>
            </w:pPr>
            <w:r>
              <w:rPr/>
              <w:t>  </w:t>
            </w:r>
          </w:p>
        </w:tc>
        <w:tc>
          <w:tcPr>
            <w:tcW w:w="2510" w:type="dxa"/>
            <w:tcBorders/>
            <w:vAlign w:val="bottom"/>
          </w:tcPr>
          <w:p>
            <w:pPr>
              <w:pStyle w:val="TableContents"/>
              <w:bidi w:val="0"/>
              <w:spacing w:before="0" w:after="283"/>
              <w:jc w:val="center"/>
              <w:rPr>
                <w:b/>
              </w:rPr>
            </w:pPr>
            <w:r>
              <w:rPr>
                <w:b/>
              </w:rPr>
              <w:t>Notes due 2036</w:t>
            </w:r>
          </w:p>
        </w:tc>
        <w:tc>
          <w:tcPr>
            <w:tcW w:w="120" w:type="dxa"/>
            <w:tcBorders/>
            <w:vAlign w:val="bottom"/>
          </w:tcPr>
          <w:p>
            <w:pPr>
              <w:pStyle w:val="TableContents"/>
              <w:bidi w:val="0"/>
              <w:spacing w:before="0" w:after="283"/>
              <w:jc w:val="left"/>
              <w:rPr/>
            </w:pPr>
            <w:r>
              <w:rPr/>
              <w:t>  </w:t>
            </w:r>
          </w:p>
        </w:tc>
        <w:tc>
          <w:tcPr>
            <w:tcW w:w="2510" w:type="dxa"/>
            <w:tcBorders/>
            <w:vAlign w:val="bottom"/>
          </w:tcPr>
          <w:p>
            <w:pPr>
              <w:pStyle w:val="TableContents"/>
              <w:bidi w:val="0"/>
              <w:spacing w:before="0" w:after="283"/>
              <w:jc w:val="center"/>
              <w:rPr>
                <w:b/>
              </w:rPr>
            </w:pPr>
            <w:r>
              <w:rPr>
                <w:b/>
              </w:rPr>
              <w:t>Notes due 2056</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Security Type:</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5.000% Senior Notes Due 2029</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5.600% Senior Notes Due 2033</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5.800% Senior Notes Due 2036</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6.400% Senior Notes Due 2056</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Maturity Date:</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October 15, 2029</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September 15, 2033</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September 15, 2036</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September 15, 2056</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Payment Dates:</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April 15 and October 15, commencing April 15, 2027</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March 15 and September 15, commencing March 15, 2027</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March 15 and September 15, commencing March 15, 2027</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March 15 and September 15, commencing March 15, 2027</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$500,000,000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$1,000,000,000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$750,000,000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$500,000,000</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Benchmark Treasury:</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4.250% due August 15, 2029</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4.500% due August 31, 2033</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4.625% due August 15, 2036</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5.000% due May 15, 2056</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Benchmark Treasury Price:</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99-125⁄8</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98-30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98-19</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96-01</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Benchmark Treasury Yield:</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4.472%</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4.680%</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4.804%</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5.265%</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Spread to Benchmark Treasury:</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55 bps</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92 bps</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102 bps</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115 bps</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Re-Offer Yield:</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5.022%</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5.600%</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5.824%</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6.415%</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Coupon:</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5.000%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5.600%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5.800%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6.400%</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99.931% of the principal amount</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99.999% of the principal amount</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99.819% of the principal amount</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99.800% of the principal amount</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Make-Whole Call:</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T+10 bps (prior to September 15, 2029)</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T+15 bps (prior to July 15, 2033)</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T+20 bps (prior to June 15, 2036)</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pPr>
            <w:r>
              <w:rPr/>
              <w:t>T+20 bps (prior to March 15, 2056)</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 Call:</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On or after September 15, 2029</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On or after July 15, 2033</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On or after June 15, 2036</w:t>
            </w:r>
          </w:p>
        </w:tc>
        <w:tc>
          <w:tcPr>
            <w:tcW w:w="120" w:type="dxa"/>
            <w:tcBorders/>
            <w:shd w:fill="CCEEFF" w:val="clear"/>
            <w:vAlign w:val="bottom"/>
          </w:tcPr>
          <w:p>
            <w:pPr>
              <w:pStyle w:val="TableContents"/>
              <w:bidi w:val="0"/>
              <w:spacing w:before="0" w:after="283"/>
              <w:jc w:val="left"/>
              <w:rPr/>
            </w:pPr>
            <w:r>
              <w:rPr/>
              <w:t>  </w:t>
            </w:r>
          </w:p>
        </w:tc>
        <w:tc>
          <w:tcPr>
            <w:tcW w:w="2510" w:type="dxa"/>
            <w:tcBorders/>
            <w:shd w:fill="CCEEFF" w:val="clear"/>
          </w:tcPr>
          <w:p>
            <w:pPr>
              <w:pStyle w:val="TableContents"/>
              <w:bidi w:val="0"/>
              <w:spacing w:before="0" w:after="283"/>
              <w:jc w:val="left"/>
              <w:rPr/>
            </w:pPr>
            <w:r>
              <w:rPr/>
              <w:t>On or after March 15, 2056</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CUSIP / ISIN:</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969457 DA5</w:t>
            </w:r>
          </w:p>
          <w:p>
            <w:pPr>
              <w:pStyle w:val="TableContents"/>
              <w:bidi w:val="0"/>
              <w:spacing w:before="0" w:after="20"/>
              <w:jc w:val="left"/>
              <w:rPr>
                <w:rFonts w:ascii="Times New Roman" w:hAnsi="Times New Roman"/>
                <w:sz w:val="20"/>
              </w:rPr>
            </w:pPr>
            <w:r>
              <w:rPr>
                <w:rFonts w:ascii="Times New Roman" w:hAnsi="Times New Roman"/>
                <w:sz w:val="20"/>
              </w:rPr>
              <w:t>US969457DA58</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969457 CX6</w:t>
            </w:r>
          </w:p>
          <w:p>
            <w:pPr>
              <w:pStyle w:val="TableContents"/>
              <w:bidi w:val="0"/>
              <w:spacing w:before="0" w:after="20"/>
              <w:jc w:val="left"/>
              <w:rPr>
                <w:rFonts w:ascii="Times New Roman" w:hAnsi="Times New Roman"/>
                <w:sz w:val="20"/>
              </w:rPr>
            </w:pPr>
            <w:r>
              <w:rPr>
                <w:rFonts w:ascii="Times New Roman" w:hAnsi="Times New Roman"/>
                <w:sz w:val="20"/>
              </w:rPr>
              <w:t>US969457CX60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969457 CY4</w:t>
            </w:r>
          </w:p>
          <w:p>
            <w:pPr>
              <w:pStyle w:val="TableContents"/>
              <w:bidi w:val="0"/>
              <w:spacing w:before="0" w:after="20"/>
              <w:jc w:val="left"/>
              <w:rPr>
                <w:rFonts w:ascii="Times New Roman" w:hAnsi="Times New Roman"/>
                <w:sz w:val="20"/>
              </w:rPr>
            </w:pPr>
            <w:r>
              <w:rPr>
                <w:rFonts w:ascii="Times New Roman" w:hAnsi="Times New Roman"/>
                <w:sz w:val="20"/>
              </w:rPr>
              <w:t>US969457CY44</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969457 CZ1</w:t>
            </w:r>
          </w:p>
          <w:p>
            <w:pPr>
              <w:pStyle w:val="TableContents"/>
              <w:bidi w:val="0"/>
              <w:spacing w:before="0" w:after="20"/>
              <w:jc w:val="left"/>
              <w:rPr>
                <w:rFonts w:ascii="Times New Roman" w:hAnsi="Times New Roman"/>
                <w:sz w:val="20"/>
              </w:rPr>
            </w:pPr>
            <w:r>
              <w:rPr>
                <w:rFonts w:ascii="Times New Roman" w:hAnsi="Times New Roman"/>
                <w:sz w:val="20"/>
              </w:rPr>
              <w:t>US969457CZ19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63"/>
        <w:gridCol w:w="204"/>
        <w:gridCol w:w="6838"/>
      </w:tblGrid>
      <w:tr>
        <w:trPr/>
        <w:tc>
          <w:tcPr>
            <w:tcW w:w="316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838"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Joint Book-Running Managers:</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20"/>
              <w:jc w:val="left"/>
              <w:rPr>
                <w:rFonts w:ascii="Times New Roman" w:hAnsi="Times New Roman"/>
                <w:sz w:val="20"/>
              </w:rPr>
            </w:pPr>
            <w:r>
              <w:rPr>
                <w:rFonts w:ascii="Times New Roman" w:hAnsi="Times New Roman"/>
                <w:sz w:val="20"/>
              </w:rPr>
              <w:t>SMBC Nikko Securities America, Inc.</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Passive Book-Running Managers:</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Co-Managers:</w:t>
            </w:r>
          </w:p>
        </w:tc>
        <w:tc>
          <w:tcPr>
            <w:tcW w:w="204" w:type="dxa"/>
            <w:tcBorders/>
            <w:vAlign w:val="bottom"/>
          </w:tcPr>
          <w:p>
            <w:pPr>
              <w:pStyle w:val="TableContents"/>
              <w:bidi w:val="0"/>
              <w:spacing w:before="0" w:after="283"/>
              <w:jc w:val="left"/>
              <w:rPr/>
            </w:pPr>
            <w:r>
              <w:rPr/>
              <w:t>  </w:t>
            </w:r>
          </w:p>
        </w:tc>
        <w:tc>
          <w:tcPr>
            <w:tcW w:w="6838"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BBVA Securities Inc.</w:t>
            </w:r>
          </w:p>
          <w:p>
            <w:pPr>
              <w:pStyle w:val="TableContents"/>
              <w:bidi w:val="0"/>
              <w:spacing w:before="0" w:after="0"/>
              <w:jc w:val="left"/>
              <w:rPr>
                <w:rFonts w:ascii="Times New Roman" w:hAnsi="Times New Roman"/>
                <w:sz w:val="20"/>
              </w:rPr>
            </w:pPr>
            <w:r>
              <w:rPr>
                <w:rFonts w:ascii="Times New Roman" w:hAnsi="Times New Roman"/>
                <w:sz w:val="20"/>
              </w:rPr>
              <w:t>BOK Financial Securities, Inc.</w:t>
            </w:r>
          </w:p>
          <w:p>
            <w:pPr>
              <w:pStyle w:val="TableContents"/>
              <w:bidi w:val="0"/>
              <w:spacing w:before="0" w:after="0"/>
              <w:jc w:val="left"/>
              <w:rPr>
                <w:rFonts w:ascii="Times New Roman" w:hAnsi="Times New Roman"/>
                <w:sz w:val="20"/>
              </w:rPr>
            </w:pPr>
            <w:r>
              <w:rPr>
                <w:rFonts w:ascii="Times New Roman" w:hAnsi="Times New Roman"/>
                <w:sz w:val="20"/>
              </w:rPr>
              <w:t>CIBC World Markets Corp.</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Tuohy Brothers Investment Research,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 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It is expected that delivery of the notes in this offering will be made against payment therefor by purchasers in this offering on or about September 10, 2026, which is the second business day following the pricing date of the notes (such settlement cycle being referred to as T+2). Under Rule 15c6-1 under the Exchange Act, trades in the secondary market generally are required to settle in one business day, unless the parties to any such trade expressly agree otherwise. Accordingly, purchasers who wish to trade the notes prior to the business day before the settlement date will be required, by virtue of the fact that the notes initially will settle in T+2, to specify an alternative settlement cycle at the time of any such trade to prevent a failed settlement. Purchasers of the notes who wish to trade the notes prior to the business day before the settlement date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filed a registration statement (including a preliminary prospectus supplement and a prospectus) and a prospectus supplement with the U.S. Securities and Exchange Commission (SEC) for the offering to which this communication relates; terms used in this term sheet, but otherwise not defined, shall have the meanings assigned to them in the related prospectus supplement and prospectus. Before you invest, you should read the prospectus supplement for this offering, the issuer’s prospectus in that registration statement and any other documents the issuer has filed with the SEC for more complete information about the issuer and this offering. You may get these documents for free by searching the SEC online data base (EDGAR) on the SEC web site at http://www.sec.gov. Alternatively, the issuer, any underwriter or any dealer participating in the offering will arrange to send you the prospectus supplement and prospectus if you request it by calling Citigroup Global Markets Inc., toll free, at 1-800-831-9146; Mizuho Securities USA LLC, toll free, at 1-866-271-7403; Morgan Stanley &amp; Co. LLC, toll free, at 1-866-718-1649; and SMBC Nikko Securities America, Inc., toll free, at 1-888-868-6856.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4" w:name="d113424dex41.htm"/>
      <w:bookmarkStart w:id="5" w:name="ksd113424dex41"/>
      <w:bookmarkEnd w:id="4"/>
      <w:bookmarkEnd w:id="5"/>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BANK OF NEW YORK MELLON TRUST COMPANY, N.A.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FOURTEENTH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10, 2026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December 18, 2012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5.000% Senior Notes due 2029 </w:t>
      </w:r>
    </w:p>
    <w:p>
      <w:pPr>
        <w:pStyle w:val="TextBody"/>
        <w:bidi w:val="0"/>
        <w:spacing w:before="0" w:after="0"/>
        <w:jc w:val="center"/>
        <w:rPr>
          <w:rFonts w:ascii="Times New Roman" w:hAnsi="Times New Roman"/>
          <w:sz w:val="20"/>
        </w:rPr>
      </w:pPr>
      <w:r>
        <w:rPr>
          <w:rFonts w:ascii="Times New Roman" w:hAnsi="Times New Roman"/>
          <w:sz w:val="20"/>
        </w:rPr>
        <w:t xml:space="preserve">5.600% Senior Notes due 2033 </w:t>
      </w:r>
    </w:p>
    <w:p>
      <w:pPr>
        <w:pStyle w:val="TextBody"/>
        <w:bidi w:val="0"/>
        <w:spacing w:before="0" w:after="0"/>
        <w:jc w:val="center"/>
        <w:rPr>
          <w:rFonts w:ascii="Times New Roman" w:hAnsi="Times New Roman"/>
          <w:sz w:val="20"/>
        </w:rPr>
      </w:pPr>
      <w:r>
        <w:rPr>
          <w:rFonts w:ascii="Times New Roman" w:hAnsi="Times New Roman"/>
          <w:sz w:val="20"/>
        </w:rPr>
        <w:t xml:space="preserve">5.800% Senior Notes due 2036 </w:t>
      </w:r>
    </w:p>
    <w:p>
      <w:pPr>
        <w:pStyle w:val="TextBody"/>
        <w:bidi w:val="0"/>
        <w:spacing w:before="0" w:after="0"/>
        <w:jc w:val="center"/>
        <w:rPr>
          <w:rFonts w:ascii="Times New Roman" w:hAnsi="Times New Roman"/>
          <w:sz w:val="20"/>
        </w:rPr>
      </w:pPr>
      <w:r>
        <w:rPr>
          <w:rFonts w:ascii="Times New Roman" w:hAnsi="Times New Roman"/>
          <w:sz w:val="20"/>
        </w:rPr>
        <w:t xml:space="preserve">6.400% Senior Notes due 2056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2"/>
        <w:gridCol w:w="125"/>
        <w:gridCol w:w="7468"/>
        <w:gridCol w:w="175"/>
        <w:gridCol w:w="96"/>
        <w:gridCol w:w="425"/>
        <w:gridCol w:w="64"/>
      </w:tblGrid>
      <w:tr>
        <w:trPr/>
        <w:tc>
          <w:tcPr>
            <w:tcW w:w="185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468"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45" w:type="dxa"/>
            <w:gridSpan w:val="3"/>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I    DEFINITIONS AND OTHER PROVISIONS OF GENERAL APPLICATION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Definitions; 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Relationship with Base Indenture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Effect of Headings and Table of Contents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Successors and Assigns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Separability Clause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Governing Law; Waiver of Trial by Jury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Counterparts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Submission to Jurisdiction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Foreign Account Tax Compliance Act (FATCA)</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Certain Rights of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Payments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Electronic Means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II  THE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Establishment, Form and Dating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Registrar and Paying Agent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Execution, Authentication, Delivery and Dating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III  LEGAL DEFEASANCE AND COVENANT DEFEASANCE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IV  EVENTS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V   ADDITIONAL COVENANTS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Limitation on Liens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left"/>
              <w:rPr/>
            </w:pPr>
            <w:r>
              <w:rPr/>
              <w:t>Article VI  REDEMPTION OF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Optional Redemption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1852" w:type="dxa"/>
            <w:tcBorders/>
            <w:vAlign w:val="center"/>
          </w:tcPr>
          <w:p>
            <w:pPr>
              <w:pStyle w:val="TableContents"/>
              <w:bidi w:val="0"/>
              <w:spacing w:before="0" w:after="283"/>
              <w:jc w:val="left"/>
              <w:rPr>
                <w:sz w:val="4"/>
                <w:szCs w:val="4"/>
              </w:rPr>
            </w:pPr>
            <w:r>
              <w:rPr>
                <w:sz w:val="4"/>
                <w:szCs w:val="4"/>
              </w:rPr>
            </w:r>
          </w:p>
        </w:tc>
        <w:tc>
          <w:tcPr>
            <w:tcW w:w="7593"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8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5" w:type="dxa"/>
            <w:tcBorders/>
            <w:vAlign w:val="bottom"/>
          </w:tcPr>
          <w:p>
            <w:pPr>
              <w:pStyle w:val="TableContents"/>
              <w:bidi w:val="0"/>
              <w:spacing w:before="0" w:after="283"/>
              <w:jc w:val="left"/>
              <w:rPr/>
            </w:pPr>
            <w:r>
              <w:rPr/>
              <w:t> </w:t>
            </w:r>
          </w:p>
        </w:tc>
        <w:tc>
          <w:tcPr>
            <w:tcW w:w="7468" w:type="dxa"/>
            <w:tcBorders/>
          </w:tcPr>
          <w:p>
            <w:pPr>
              <w:pStyle w:val="TableContents"/>
              <w:bidi w:val="0"/>
              <w:spacing w:before="0" w:after="283"/>
              <w:jc w:val="left"/>
              <w:rPr/>
            </w:pPr>
            <w:r>
              <w:rPr/>
              <w:t>Election to Redeem; Notice to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 A FORM OF 2029 NOTE </w:t>
      </w:r>
    </w:p>
    <w:p>
      <w:pPr>
        <w:pStyle w:val="TextBody"/>
        <w:bidi w:val="0"/>
        <w:spacing w:before="0" w:after="0"/>
        <w:jc w:val="left"/>
        <w:rPr>
          <w:rFonts w:ascii="Times New Roman" w:hAnsi="Times New Roman"/>
          <w:sz w:val="20"/>
        </w:rPr>
      </w:pPr>
      <w:r>
        <w:rPr>
          <w:rFonts w:ascii="Times New Roman" w:hAnsi="Times New Roman"/>
          <w:sz w:val="20"/>
        </w:rPr>
        <w:t xml:space="preserve">EXHIBIT B FORM OF 2033 NOTE </w:t>
      </w:r>
    </w:p>
    <w:p>
      <w:pPr>
        <w:pStyle w:val="TextBody"/>
        <w:bidi w:val="0"/>
        <w:spacing w:before="0" w:after="0"/>
        <w:jc w:val="left"/>
        <w:rPr>
          <w:rFonts w:ascii="Times New Roman" w:hAnsi="Times New Roman"/>
          <w:sz w:val="20"/>
        </w:rPr>
      </w:pPr>
      <w:r>
        <w:rPr>
          <w:rFonts w:ascii="Times New Roman" w:hAnsi="Times New Roman"/>
          <w:sz w:val="20"/>
        </w:rPr>
        <w:t xml:space="preserve">EXHIBIT C FORM OF 2036 NOTE </w:t>
      </w:r>
    </w:p>
    <w:p>
      <w:pPr>
        <w:pStyle w:val="TextBody"/>
        <w:bidi w:val="0"/>
        <w:spacing w:before="0" w:after="0"/>
        <w:jc w:val="left"/>
        <w:rPr>
          <w:rFonts w:ascii="Times New Roman" w:hAnsi="Times New Roman"/>
          <w:sz w:val="20"/>
        </w:rPr>
      </w:pPr>
      <w:r>
        <w:rPr>
          <w:rFonts w:ascii="Times New Roman" w:hAnsi="Times New Roman"/>
          <w:sz w:val="20"/>
        </w:rPr>
        <w:t xml:space="preserve">EXHIBIT D FORM OF 2056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FOURTEENTH SUPPLEMENTAL INDENTURE (this “</w:t>
      </w:r>
      <w:r>
        <w:rPr>
          <w:rFonts w:ascii="Times New Roman" w:hAnsi="Times New Roman"/>
          <w:sz w:val="20"/>
          <w:u w:val="single"/>
        </w:rPr>
        <w:t>Supplemental Indenture</w:t>
      </w:r>
      <w:r>
        <w:rPr>
          <w:rFonts w:ascii="Times New Roman" w:hAnsi="Times New Roman"/>
          <w:sz w:val="20"/>
        </w:rPr>
        <w:t>”), dated as of September 10, 2026, between THE WILLIAMS COMPANIES, INC., a Delaware corporation (the “</w:t>
      </w:r>
      <w:r>
        <w:rPr>
          <w:rFonts w:ascii="Times New Roman" w:hAnsi="Times New Roman"/>
          <w:sz w:val="20"/>
          <w:u w:val="single"/>
        </w:rPr>
        <w:t>Company</w:t>
      </w:r>
      <w:r>
        <w:rPr>
          <w:rFonts w:ascii="Times New Roman" w:hAnsi="Times New Roman"/>
          <w:sz w:val="20"/>
        </w:rPr>
        <w:t>”), and THE BANK OF NEW YORK MELLON TRUST COMPANY, N.A., a national banking association, duly organized and validly existing under the laws of the United States of America,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heretofore executed and delivered to the Trustee an Indenture, dated as of December 18, 2012 (the “</w:t>
      </w:r>
      <w:r>
        <w:rPr>
          <w:rFonts w:ascii="Times New Roman" w:hAnsi="Times New Roman"/>
          <w:sz w:val="20"/>
          <w:u w:val="single"/>
        </w:rPr>
        <w:t>Base Indenture</w:t>
      </w:r>
      <w:r>
        <w:rPr>
          <w:rFonts w:ascii="Times New Roman" w:hAnsi="Times New Roman"/>
          <w:sz w:val="20"/>
        </w:rPr>
        <w:t>” and, as supplemented by this Supplemental Indenture, the “</w:t>
      </w:r>
      <w:r>
        <w:rPr>
          <w:rFonts w:ascii="Times New Roman" w:hAnsi="Times New Roman"/>
          <w:sz w:val="20"/>
          <w:u w:val="single"/>
        </w:rPr>
        <w:t>Indenture</w:t>
      </w:r>
      <w:r>
        <w:rPr>
          <w:rFonts w:ascii="Times New Roman" w:hAnsi="Times New Roman"/>
          <w:sz w:val="20"/>
        </w:rPr>
        <w:t xml:space="preserve">”), between the Company and the Trustee, providing for the issuance from time to time of one or more series of Securities. </w:t>
      </w:r>
    </w:p>
    <w:p>
      <w:pPr>
        <w:pStyle w:val="TextBody"/>
        <w:bidi w:val="0"/>
        <w:spacing w:before="240" w:after="0"/>
        <w:jc w:val="left"/>
        <w:rPr>
          <w:rFonts w:ascii="Times New Roman" w:hAnsi="Times New Roman"/>
          <w:sz w:val="20"/>
        </w:rPr>
      </w:pPr>
      <w:r>
        <w:rPr>
          <w:rFonts w:ascii="Times New Roman" w:hAnsi="Times New Roman"/>
          <w:sz w:val="20"/>
        </w:rPr>
        <w:t>The Company has duly authorized the execution and delivery of this Supplemental Indenture to provide for the issuance of its 5.000% Senior Notes due 2029, 5.600% Senior Notes due 2033, 5.800% Senior Notes due 2036 and 6.400% Senior Notes due 2056 (collectively, the “</w:t>
      </w:r>
      <w:r>
        <w:rPr>
          <w:rFonts w:ascii="Times New Roman" w:hAnsi="Times New Roman"/>
          <w:sz w:val="20"/>
          <w:u w:val="single"/>
        </w:rPr>
        <w:t>Notes</w:t>
      </w:r>
      <w:r>
        <w:rPr>
          <w:rFonts w:ascii="Times New Roman" w:hAnsi="Times New Roman"/>
          <w:sz w:val="20"/>
        </w:rPr>
        <w:t xml:space="preserve">”), and the Company and the Trustee agree as follows for the benefit of each other and for the equal and ratable benefit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and has requested the Trustee to join with it in the execution and delivery of this Supplemental Indenture in order to supplement the Base Indenture and to add covenants to, remove covenants from and replace Events of Default in, the Base Indenture with respect to the Notes as and to the extent set forth herein to provide for the issuance and the 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this Supplemental Indenture a valid and legally binding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SUPPLEMENTAL INDENTURE WITNESSETH: </w:t>
      </w:r>
    </w:p>
    <w:p>
      <w:pPr>
        <w:pStyle w:val="TextBody"/>
        <w:bidi w:val="0"/>
        <w:spacing w:before="120" w:after="0"/>
        <w:jc w:val="left"/>
        <w:rPr>
          <w:rFonts w:ascii="Times New Roman" w:hAnsi="Times New Roman"/>
          <w:sz w:val="20"/>
        </w:rPr>
      </w:pPr>
      <w:r>
        <w:rPr>
          <w:rFonts w:ascii="Times New Roman" w:hAnsi="Times New Roman"/>
          <w:sz w:val="20"/>
        </w:rPr>
        <w:t xml:space="preserve">For and in consideration of the premises and the purchase of the Notes by the Holders thereof, it is mutually covenanted and agreed, for the equal and proportionate benefit of all Holders of the Notes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 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in or pursuant to this Supplemental Indenture or unless the context otherwise requires, for all purposes of this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(1) the terms defined in this Article have the meanings assigned to them in this Article, and include the plural as well as the singular; </w:t>
      </w:r>
    </w:p>
    <w:p>
      <w:pPr>
        <w:pStyle w:val="TextBody"/>
        <w:bidi w:val="0"/>
        <w:spacing w:before="240" w:after="0"/>
        <w:jc w:val="left"/>
        <w:rPr>
          <w:rFonts w:ascii="Times New Roman" w:hAnsi="Times New Roman"/>
          <w:sz w:val="20"/>
        </w:rPr>
      </w:pPr>
      <w:r>
        <w:rPr>
          <w:rFonts w:ascii="Times New Roman" w:hAnsi="Times New Roman"/>
          <w:sz w:val="20"/>
        </w:rPr>
        <w:t xml:space="preserve">(2) all other terms used herein which are defined in the Trust Indenture Act, either directly or by reference therein, have the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 xml:space="preserve">(3) all accounting terms not otherwise defined herein have the meanings assigned to them in accordance with generally accepted accounting principles and, except as otherwise herein expressly provided, the terms “generally accepted accounting principles” or “GAAP” with respect to any computation required or permitted hereunder shall mean such accounting principles as are generally accepted at the date of such computation; </w:t>
      </w:r>
    </w:p>
    <w:p>
      <w:pPr>
        <w:pStyle w:val="TextBody"/>
        <w:bidi w:val="0"/>
        <w:spacing w:before="240" w:after="0"/>
        <w:jc w:val="left"/>
        <w:rPr>
          <w:rFonts w:ascii="Times New Roman" w:hAnsi="Times New Roman"/>
          <w:sz w:val="20"/>
        </w:rPr>
      </w:pPr>
      <w:r>
        <w:rPr>
          <w:rFonts w:ascii="Times New Roman" w:hAnsi="Times New Roman"/>
          <w:sz w:val="20"/>
        </w:rPr>
        <w:t xml:space="preserve">(4) the words “herein,” “hereof,” “hereto” and “hereunder” and other words of similar import refer to this Supplemental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(5) the word “or” is always used inclusively (for example, the phrase “A or B” means “A or B or both,” not “either A or B but not both”);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provisions apply to successive events and transactions; </w:t>
      </w:r>
    </w:p>
    <w:p>
      <w:pPr>
        <w:pStyle w:val="TextBody"/>
        <w:bidi w:val="0"/>
        <w:spacing w:before="240" w:after="0"/>
        <w:jc w:val="left"/>
        <w:rPr>
          <w:rFonts w:ascii="Times New Roman" w:hAnsi="Times New Roman"/>
          <w:sz w:val="20"/>
        </w:rPr>
      </w:pPr>
      <w:r>
        <w:rPr>
          <w:rFonts w:ascii="Times New Roman" w:hAnsi="Times New Roman"/>
          <w:sz w:val="20"/>
        </w:rPr>
        <w:t xml:space="preserve">(7) any reference to gender includes the masculine, feminine and the neuter,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(8) references to agreements and other instruments include subsequent amendments thereto and restatements thereof; </w:t>
      </w:r>
    </w:p>
    <w:p>
      <w:pPr>
        <w:pStyle w:val="TextBody"/>
        <w:bidi w:val="0"/>
        <w:spacing w:before="240" w:after="0"/>
        <w:jc w:val="left"/>
        <w:rPr>
          <w:rFonts w:ascii="Times New Roman" w:hAnsi="Times New Roman"/>
          <w:sz w:val="20"/>
        </w:rPr>
      </w:pPr>
      <w:r>
        <w:rPr>
          <w:rFonts w:ascii="Times New Roman" w:hAnsi="Times New Roman"/>
          <w:sz w:val="20"/>
        </w:rPr>
        <w:t xml:space="preserve">(9)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(10) all exhibits are incorporated by reference herein and expressly made a part of this Supplemental Indenture; and </w:t>
      </w:r>
    </w:p>
    <w:p>
      <w:pPr>
        <w:pStyle w:val="TextBody"/>
        <w:bidi w:val="0"/>
        <w:spacing w:before="240" w:after="0"/>
        <w:jc w:val="left"/>
        <w:rPr>
          <w:rFonts w:ascii="Times New Roman" w:hAnsi="Times New Roman"/>
          <w:sz w:val="20"/>
        </w:rPr>
      </w:pPr>
      <w:r>
        <w:rPr>
          <w:rFonts w:ascii="Times New Roman" w:hAnsi="Times New Roman"/>
          <w:sz w:val="20"/>
        </w:rPr>
        <w:t xml:space="preserve">(11) all references to articles, sections and exhibits (and subparts thereof) are to articles, sections and exhibits (and subparts thereof)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principally in certain Articles hereof are defined in those Articles. Capitalized terms used but not defined in this Supplemental Indenture shall have the meaning ascribed to them in the Base Indenture. </w:t>
      </w:r>
    </w:p>
    <w:p>
      <w:pPr>
        <w:pStyle w:val="TextBody"/>
        <w:bidi w:val="0"/>
        <w:spacing w:before="240" w:after="0"/>
        <w:jc w:val="left"/>
        <w:rPr/>
      </w:pPr>
      <w:r>
        <w:rPr/>
        <w:t>“</w:t>
      </w:r>
      <w:r>
        <w:rPr>
          <w:rFonts w:ascii="Times New Roman" w:hAnsi="Times New Roman"/>
          <w:sz w:val="20"/>
          <w:u w:val="single"/>
        </w:rPr>
        <w:t>2029 Notes</w:t>
      </w:r>
      <w:r>
        <w:rPr>
          <w:rFonts w:ascii="Times New Roman" w:hAnsi="Times New Roman"/>
          <w:sz w:val="20"/>
        </w:rPr>
        <w:t xml:space="preserve">” means the Company’s 5.000% Senior Notes due 2029. </w:t>
      </w:r>
    </w:p>
    <w:p>
      <w:pPr>
        <w:pStyle w:val="TextBody"/>
        <w:bidi w:val="0"/>
        <w:spacing w:before="240" w:after="0"/>
        <w:jc w:val="left"/>
        <w:rPr/>
      </w:pPr>
      <w:r>
        <w:rPr/>
        <w:t>“</w:t>
      </w:r>
      <w:r>
        <w:rPr>
          <w:rFonts w:ascii="Times New Roman" w:hAnsi="Times New Roman"/>
          <w:sz w:val="20"/>
          <w:u w:val="single"/>
        </w:rPr>
        <w:t>2033 Notes</w:t>
      </w:r>
      <w:r>
        <w:rPr>
          <w:rFonts w:ascii="Times New Roman" w:hAnsi="Times New Roman"/>
          <w:sz w:val="20"/>
        </w:rPr>
        <w:t xml:space="preserve">” means the Company’s 5.600% Senior Notes due 2033. </w:t>
      </w:r>
    </w:p>
    <w:p>
      <w:pPr>
        <w:pStyle w:val="TextBody"/>
        <w:bidi w:val="0"/>
        <w:spacing w:before="240" w:after="0"/>
        <w:jc w:val="left"/>
        <w:rPr/>
      </w:pPr>
      <w:r>
        <w:rPr/>
        <w:t>“</w:t>
      </w:r>
      <w:r>
        <w:rPr>
          <w:rFonts w:ascii="Times New Roman" w:hAnsi="Times New Roman"/>
          <w:sz w:val="20"/>
          <w:u w:val="single"/>
        </w:rPr>
        <w:t>2036 Notes</w:t>
      </w:r>
      <w:r>
        <w:rPr>
          <w:rFonts w:ascii="Times New Roman" w:hAnsi="Times New Roman"/>
          <w:sz w:val="20"/>
        </w:rPr>
        <w:t xml:space="preserve">” means the Company’s 5.800% Senior Notes due 2036. </w:t>
      </w:r>
    </w:p>
    <w:p>
      <w:pPr>
        <w:pStyle w:val="TextBody"/>
        <w:bidi w:val="0"/>
        <w:spacing w:before="240" w:after="0"/>
        <w:jc w:val="left"/>
        <w:rPr/>
      </w:pPr>
      <w:r>
        <w:rPr/>
        <w:t>“</w:t>
      </w:r>
      <w:r>
        <w:rPr>
          <w:rFonts w:ascii="Times New Roman" w:hAnsi="Times New Roman"/>
          <w:sz w:val="20"/>
          <w:u w:val="single"/>
        </w:rPr>
        <w:t>2056 Notes</w:t>
      </w:r>
      <w:r>
        <w:rPr>
          <w:rFonts w:ascii="Times New Roman" w:hAnsi="Times New Roman"/>
          <w:sz w:val="20"/>
        </w:rPr>
        <w:t xml:space="preserve">” means the Company’s 6.400% Senior Notes due 2056. </w:t>
      </w:r>
    </w:p>
    <w:p>
      <w:pPr>
        <w:pStyle w:val="TextBody"/>
        <w:bidi w:val="0"/>
        <w:spacing w:before="240" w:after="0"/>
        <w:jc w:val="left"/>
        <w:rPr/>
      </w:pPr>
      <w:r>
        <w:rPr/>
        <w:t>“</w:t>
      </w:r>
      <w:r>
        <w:rPr>
          <w:rFonts w:ascii="Times New Roman" w:hAnsi="Times New Roman"/>
          <w:sz w:val="20"/>
          <w:u w:val="single"/>
        </w:rPr>
        <w:t>Additional Notes</w:t>
      </w:r>
      <w:r>
        <w:rPr>
          <w:rFonts w:ascii="Times New Roman" w:hAnsi="Times New Roman"/>
          <w:sz w:val="20"/>
        </w:rPr>
        <w:t xml:space="preserve">” means any additional Notes issued under the Indenture as part of the same series as one of the series of the Notes. </w:t>
      </w:r>
    </w:p>
    <w:p>
      <w:pPr>
        <w:pStyle w:val="TextBody"/>
        <w:bidi w:val="0"/>
        <w:spacing w:before="240" w:after="0"/>
        <w:jc w:val="left"/>
        <w:rPr/>
      </w:pPr>
      <w:r>
        <w:rPr/>
        <w:t>“</w:t>
      </w:r>
      <w:r>
        <w:rPr>
          <w:rFonts w:ascii="Times New Roman" w:hAnsi="Times New Roman"/>
          <w:sz w:val="20"/>
          <w:u w:val="single"/>
        </w:rPr>
        <w:t>Base Indenture</w:t>
      </w:r>
      <w:r>
        <w:rPr>
          <w:rFonts w:ascii="Times New Roman" w:hAnsi="Times New Roman"/>
          <w:sz w:val="20"/>
        </w:rPr>
        <w:t xml:space="preserve">” has the meaning assigned to it in the recitals hereto. </w:t>
      </w:r>
    </w:p>
    <w:p>
      <w:pPr>
        <w:pStyle w:val="TextBody"/>
        <w:bidi w:val="0"/>
        <w:spacing w:before="240" w:after="0"/>
        <w:jc w:val="left"/>
        <w:rPr/>
      </w:pPr>
      <w:r>
        <w:rPr/>
        <w:t>“</w:t>
      </w:r>
      <w:r>
        <w:rPr>
          <w:rFonts w:ascii="Times New Roman" w:hAnsi="Times New Roman"/>
          <w:sz w:val="20"/>
          <w:u w:val="single"/>
        </w:rPr>
        <w:t>Business Entity</w:t>
      </w:r>
      <w:r>
        <w:rPr>
          <w:rFonts w:ascii="Times New Roman" w:hAnsi="Times New Roman"/>
          <w:sz w:val="20"/>
        </w:rPr>
        <w:t xml:space="preserve">” has the meaning assigned to it in the definition of “Non-Recourse Subsidiary” in this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Consolidated Net Tangible Assets</w:t>
      </w:r>
      <w:r>
        <w:rPr>
          <w:rFonts w:ascii="Times New Roman" w:hAnsi="Times New Roman"/>
          <w:sz w:val="20"/>
        </w:rPr>
        <w:t xml:space="preserve">” means at any date of determination, the total amount of assets of the Company and its Subsidiaries after deducting therefrom: </w:t>
      </w:r>
    </w:p>
    <w:p>
      <w:pPr>
        <w:pStyle w:val="TextBody"/>
        <w:bidi w:val="0"/>
        <w:spacing w:before="120" w:after="0"/>
        <w:jc w:val="left"/>
        <w:rPr>
          <w:rFonts w:ascii="Times New Roman" w:hAnsi="Times New Roman"/>
          <w:sz w:val="20"/>
        </w:rPr>
      </w:pPr>
      <w:r>
        <w:rPr>
          <w:rFonts w:ascii="Times New Roman" w:hAnsi="Times New Roman"/>
          <w:sz w:val="20"/>
        </w:rPr>
        <w:t xml:space="preserve">(1) all current liabilities (excluding (A) any current liabilities that by their terms are extendable or renewable at the option of the obligor thereon to a time more than 12 months after the time as of which the amount thereof is being computed, and (B) current maturities of long-term debt); and </w:t>
      </w:r>
    </w:p>
    <w:p>
      <w:pPr>
        <w:pStyle w:val="TextBody"/>
        <w:bidi w:val="0"/>
        <w:spacing w:before="240" w:after="0"/>
        <w:jc w:val="left"/>
        <w:rPr>
          <w:rFonts w:ascii="Times New Roman" w:hAnsi="Times New Roman"/>
          <w:sz w:val="20"/>
        </w:rPr>
      </w:pPr>
      <w:r>
        <w:rPr>
          <w:rFonts w:ascii="Times New Roman" w:hAnsi="Times New Roman"/>
          <w:sz w:val="20"/>
        </w:rPr>
        <w:t xml:space="preserve">(2) the value (net of any applicable reserves) of all goodwill, trade names, trademarks, patents and other like intangible assets, all as set forth, or on a pro forma basis would be set forth, on the consolidated balance sheet of the Company for the Company’s most recently completed fiscal quarter, prepared in accordance with GAAP.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any Subsidiary of the Company that is incorporated or organized under the laws of the United States of America, any state thereof or the District of Columbia. </w:t>
      </w:r>
    </w:p>
    <w:p>
      <w:pPr>
        <w:pStyle w:val="TextBody"/>
        <w:bidi w:val="0"/>
        <w:spacing w:before="240" w:after="0"/>
        <w:jc w:val="left"/>
        <w:rPr/>
      </w:pPr>
      <w:r>
        <w:rPr/>
        <w:t>“</w:t>
      </w:r>
      <w:r>
        <w:rPr>
          <w:rFonts w:ascii="Times New Roman" w:hAnsi="Times New Roman"/>
          <w:sz w:val="20"/>
          <w:u w:val="single"/>
        </w:rPr>
        <w:t>Global Note</w:t>
      </w:r>
      <w:r>
        <w:rPr>
          <w:rFonts w:ascii="Times New Roman" w:hAnsi="Times New Roman"/>
          <w:sz w:val="20"/>
        </w:rPr>
        <w:t xml:space="preserve">” means a certificated Note deposited with or on behalf of and registered in the name of the Depositary or its nominee, substantially in the form of Exhibit A, Exhibit B, Exhibit C or Exhibit D hereto, as applicable, and that bears the Global Security Legend and that has the “Schedule of Adjustments” attached thereto. As of the date of this Supplemental Indenture all of the Notes are represented by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Global Security Legend</w:t>
      </w:r>
      <w:r>
        <w:rPr>
          <w:rFonts w:ascii="Times New Roman" w:hAnsi="Times New Roman"/>
          <w:sz w:val="20"/>
        </w:rPr>
        <w:t xml:space="preserve">” means the legend set forth in Section 203 of the Base Indenture and any other legend required by the Depositary.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specified Person, any obligation created or assumed by such Person, whether or not contingent, for the repayment of money borrowed from others or any guarantee thereof.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the Base Indenture, as supplemented by this Supplemental Indenture, and as may be amended or further supplemented from time to time, pursuant to the applicable provisions of the Base Indenture and this Supplemental Indenture. </w:t>
      </w:r>
    </w:p>
    <w:p>
      <w:pPr>
        <w:pStyle w:val="TextBody"/>
        <w:bidi w:val="0"/>
        <w:spacing w:before="240" w:after="0"/>
        <w:jc w:val="left"/>
        <w:rPr/>
      </w:pPr>
      <w:r>
        <w:rPr/>
        <w:t>“</w:t>
      </w:r>
      <w:r>
        <w:rPr>
          <w:rFonts w:ascii="Times New Roman" w:hAnsi="Times New Roman"/>
          <w:sz w:val="20"/>
          <w:u w:val="single"/>
        </w:rPr>
        <w:t>Initial Notes</w:t>
      </w:r>
      <w:r>
        <w:rPr>
          <w:rFonts w:ascii="Times New Roman" w:hAnsi="Times New Roman"/>
          <w:sz w:val="20"/>
        </w:rPr>
        <w:t xml:space="preserve">” means the first $500,000,000 aggregate principal amount of the 2029 Notes, $1,000,000,000 aggregate principal amount of the 2033 Notes, $750,000,000 aggregate principal amount of the 2036 Notes or $500,000,000 aggregate principal amount of the 2056 Notes, as applicable, issued under the Indenture on the date hereof. </w:t>
      </w:r>
    </w:p>
    <w:p>
      <w:pPr>
        <w:pStyle w:val="TextBody"/>
        <w:bidi w:val="0"/>
        <w:spacing w:before="240" w:after="0"/>
        <w:jc w:val="left"/>
        <w:rPr/>
      </w:pPr>
      <w:r>
        <w:rPr/>
        <w:t>“</w:t>
      </w:r>
      <w:r>
        <w:rPr>
          <w:rFonts w:ascii="Times New Roman" w:hAnsi="Times New Roman"/>
          <w:sz w:val="20"/>
          <w:u w:val="single"/>
        </w:rPr>
        <w:t>International Subsidiary</w:t>
      </w:r>
      <w:r>
        <w:rPr>
          <w:rFonts w:ascii="Times New Roman" w:hAnsi="Times New Roman"/>
          <w:sz w:val="20"/>
        </w:rPr>
        <w:t xml:space="preserve">” means each Subsidiary of the Company other than a Domestic Subsidiary.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lien, security interest or other similar encumbrance. </w:t>
      </w:r>
    </w:p>
    <w:p>
      <w:pPr>
        <w:pStyle w:val="TextBody"/>
        <w:bidi w:val="0"/>
        <w:spacing w:before="240" w:after="0"/>
        <w:jc w:val="left"/>
        <w:rPr/>
      </w:pPr>
      <w:r>
        <w:rPr/>
        <w:t>“</w:t>
      </w:r>
      <w:r>
        <w:rPr>
          <w:rFonts w:ascii="Times New Roman" w:hAnsi="Times New Roman"/>
          <w:sz w:val="20"/>
          <w:u w:val="single"/>
        </w:rPr>
        <w:t>Non-Recourse Indebtedness</w:t>
      </w:r>
      <w:r>
        <w:rPr>
          <w:rFonts w:ascii="Times New Roman" w:hAnsi="Times New Roman"/>
          <w:sz w:val="20"/>
        </w:rPr>
        <w:t xml:space="preserve">” means any Indebtedness incurred by any Joint Venture or Non-Recourse Subsidiary which does not provide for recourse against the Company or any of its Subsidiaries (other than a Non-Recourse Subsidiary) or any property or assets of the Company or any of its Subsidiaries (other than the Capital Stock or the properties or assets of a Joint Venture or Non-Recourse Subsidiary). </w:t>
      </w:r>
    </w:p>
    <w:p>
      <w:pPr>
        <w:pStyle w:val="TextBody"/>
        <w:bidi w:val="0"/>
        <w:spacing w:before="240" w:after="0"/>
        <w:jc w:val="left"/>
        <w:rPr/>
      </w:pPr>
      <w:r>
        <w:rPr/>
        <w:t>“</w:t>
      </w:r>
      <w:r>
        <w:rPr>
          <w:rFonts w:ascii="Times New Roman" w:hAnsi="Times New Roman"/>
          <w:sz w:val="20"/>
          <w:u w:val="single"/>
        </w:rPr>
        <w:t>Non-Recourse Subsidiary</w:t>
      </w:r>
      <w:r>
        <w:rPr>
          <w:rFonts w:ascii="Times New Roman" w:hAnsi="Times New Roman"/>
          <w:sz w:val="20"/>
        </w:rPr>
        <w:t>” means any Subsidiary of the Company (1) whose principal purpose is to incur Non-Recourse Indebtedness and/or construct, lease, own or operate the assets financed thereby, or to become a direct or indirect partner, member or other equity participant or owner in a partnership, limited partnership, limited liability partnership, corporation (including a business trust), limited liability company, unlimited liability company, joint stock company, trust, unincorporated association or joint venture created for such purpose (collectively, a “</w:t>
      </w:r>
      <w:r>
        <w:rPr>
          <w:rFonts w:ascii="Times New Roman" w:hAnsi="Times New Roman"/>
          <w:sz w:val="20"/>
          <w:u w:val="single"/>
        </w:rPr>
        <w:t>Business Entity</w:t>
      </w:r>
      <w:r>
        <w:rPr>
          <w:rFonts w:ascii="Times New Roman" w:hAnsi="Times New Roman"/>
          <w:sz w:val="20"/>
        </w:rPr>
        <w:t xml:space="preserve">”), (2) who is not an obligor or otherwise bound with respect to any Indebtedness other than Non-Recourse Indebtedness, (3) substantially all the assets of which Subsidiary or Business Entity are limited to (x) those assets being financed (or to be financed), or the operation of which is being financed (or to be financed), in whole or in part by Non-Recourse Indebtedness, or (y) Capital Stock in, or Indebtedness or other obligations of, one or more other Non-Recourse Subsidiaries or Business Entities, and (4) any Subsidiary of a Non-Recourse Subsidiary; provided that such Subsidiary shall be considered to be a Non-Recourse Subsidiary only to the extent that and for so long as each of the above requirements are met.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has the meaning assigned to it in the preamble to this Supplemental Indenture. For purposes of the Indenture, all references to the notes to be issued or authenticated upon transfer or replacement of or in exchange for Notes shall be deemed to refer to Notes. In addition, unless the context otherwise requires, all references to the “Notes” shall include the Initial Notes of the applicable series and any Additional Notes with respect to such series. </w:t>
      </w:r>
    </w:p>
    <w:p>
      <w:pPr>
        <w:pStyle w:val="TextBody"/>
        <w:bidi w:val="0"/>
        <w:spacing w:before="240" w:after="0"/>
        <w:jc w:val="left"/>
        <w:rPr/>
      </w:pPr>
      <w:r>
        <w:rPr/>
        <w:t>“</w:t>
      </w:r>
      <w:r>
        <w:rPr>
          <w:rFonts w:ascii="Times New Roman" w:hAnsi="Times New Roman"/>
          <w:sz w:val="20"/>
          <w:u w:val="single"/>
        </w:rPr>
        <w:t>Par Call Date</w:t>
      </w:r>
      <w:r>
        <w:rPr>
          <w:rFonts w:ascii="Times New Roman" w:hAnsi="Times New Roman"/>
          <w:sz w:val="20"/>
        </w:rPr>
        <w:t xml:space="preserve">” means September 15, 2029, for the 2029 Notes, July 15, 2033, for the 2033 Notes, June 15, 2036, for the 2036 Notes and March 15, 2056, for the 2056 Notes. </w:t>
      </w:r>
    </w:p>
    <w:p>
      <w:pPr>
        <w:pStyle w:val="TextBody"/>
        <w:bidi w:val="0"/>
        <w:spacing w:before="240" w:after="0"/>
        <w:jc w:val="left"/>
        <w:rPr/>
      </w:pPr>
      <w:r>
        <w:rPr/>
        <w:t>“</w:t>
      </w:r>
      <w:r>
        <w:rPr>
          <w:rFonts w:ascii="Times New Roman" w:hAnsi="Times New Roman"/>
          <w:sz w:val="20"/>
          <w:u w:val="single"/>
        </w:rPr>
        <w:t>Permitted International Debt</w:t>
      </w:r>
      <w:r>
        <w:rPr>
          <w:rFonts w:ascii="Times New Roman" w:hAnsi="Times New Roman"/>
          <w:sz w:val="20"/>
        </w:rPr>
        <w:t xml:space="preserve">” means Indebtedness of any International Subsidiary for which neither the Company nor any Domestic Subsidiary, directly or indirectly, provides any guarantee or other credit support and which is secured, if at all, only by pledges of or Liens on assets (i) held by an International Subsidiary on the date of this Supplemental Indenture, (ii) acquired by an International Subsidiary from a Person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constituting an Affiliate of the Company or (iii) acquired by an International Subsidiary from the Company, any Domestic Subsidiary or other Affiliate of the Company on terms that, in the good faith judgment of the Company’s Board of Directors, are no less favorable to the Company or the relevant Domestic Subsidiary or other Affiliate of the Company than those that would have been obtained in a comparable transaction by the Company or such Domestic Subsidiary or other Affiliate of the Company with an unrelated Person or, if in the good faith judgment of the Company’s Board of Directors, no comparable transaction is available with which to compare such transaction, such transaction is otherwise fair to the Company or the relevant Domestic Subsidiary or other Affiliate of the Company from a financial point of view.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any Lien existing on any property at the time of the acquisition thereof and not created in contemplation of such acquisition by the Company or any of its Subsidiaries, whether or not assumed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(2) any Lien existing on any property of a Subsidiary of the Company at the time it becomes a Subsidiary of the Company and not created in contemplation thereof and any Lien existing on any property of any Person at the time such Person is merged or liquidated into or consolidated with the Company or any Subsidiary thereof and not created in contemplation thereof; </w:t>
      </w:r>
    </w:p>
    <w:p>
      <w:pPr>
        <w:pStyle w:val="TextBody"/>
        <w:bidi w:val="0"/>
        <w:spacing w:before="240" w:after="0"/>
        <w:jc w:val="left"/>
        <w:rPr>
          <w:rFonts w:ascii="Times New Roman" w:hAnsi="Times New Roman"/>
          <w:sz w:val="20"/>
        </w:rPr>
      </w:pPr>
      <w:r>
        <w:rPr>
          <w:rFonts w:ascii="Times New Roman" w:hAnsi="Times New Roman"/>
          <w:sz w:val="20"/>
        </w:rPr>
        <w:t xml:space="preserve">(3) purchase money and analogous Liens incurred in connection with the acquisition, development, construction, improvement, repair, or replacement of property (including such Liens securing Indebtedness incurred within 12 months of the date on which such property was acquired, developed, constructed, improved, repaired or replaced); provided that all such Liens attach only to the property acquired, developed, constructed, improved, repaired or replaced and the principal amount of the Indebtedness secured by such Lien shall not exceed the gross cost of the property; </w:t>
      </w:r>
    </w:p>
    <w:p>
      <w:pPr>
        <w:pStyle w:val="TextBody"/>
        <w:bidi w:val="0"/>
        <w:spacing w:before="240" w:after="0"/>
        <w:jc w:val="left"/>
        <w:rPr>
          <w:rFonts w:ascii="Times New Roman" w:hAnsi="Times New Roman"/>
          <w:sz w:val="20"/>
        </w:rPr>
      </w:pPr>
      <w:r>
        <w:rPr>
          <w:rFonts w:ascii="Times New Roman" w:hAnsi="Times New Roman"/>
          <w:sz w:val="20"/>
        </w:rPr>
        <w:t xml:space="preserve">(4) any Liens created or assumed to secure Indebtedness of the Company or any Subsidiary of the Company maturing within 12 months of the date of creation thereof and not renewable or extendible by the terms thereof at the option of the obligor beyond such 12 months; </w:t>
      </w:r>
    </w:p>
    <w:p>
      <w:pPr>
        <w:pStyle w:val="TextBody"/>
        <w:bidi w:val="0"/>
        <w:spacing w:before="240" w:after="0"/>
        <w:jc w:val="left"/>
        <w:rPr>
          <w:rFonts w:ascii="Times New Roman" w:hAnsi="Times New Roman"/>
          <w:sz w:val="20"/>
        </w:rPr>
      </w:pPr>
      <w:r>
        <w:rPr>
          <w:rFonts w:ascii="Times New Roman" w:hAnsi="Times New Roman"/>
          <w:sz w:val="20"/>
        </w:rPr>
        <w:t xml:space="preserve">(5) Liens on accounts receivable and related proceeds thereof arising in connection with a receivables financing and any Lien held by the purchaser of receivables derived from property or assets sold by the Company or any Subsidiary thereof and securing such receivables resulting from the exercise of any rights arising out of defaults on such receivables; </w:t>
      </w:r>
    </w:p>
    <w:p>
      <w:pPr>
        <w:pStyle w:val="TextBody"/>
        <w:bidi w:val="0"/>
        <w:spacing w:before="240" w:after="0"/>
        <w:jc w:val="left"/>
        <w:rPr>
          <w:rFonts w:ascii="Times New Roman" w:hAnsi="Times New Roman"/>
          <w:sz w:val="20"/>
        </w:rPr>
      </w:pPr>
      <w:r>
        <w:rPr>
          <w:rFonts w:ascii="Times New Roman" w:hAnsi="Times New Roman"/>
          <w:sz w:val="20"/>
        </w:rPr>
        <w:t xml:space="preserve">(6) leases constituting Liens existing on or after the date hereof and any renewals or extensions thereof; </w:t>
      </w:r>
    </w:p>
    <w:p>
      <w:pPr>
        <w:pStyle w:val="TextBody"/>
        <w:bidi w:val="0"/>
        <w:spacing w:before="240" w:after="0"/>
        <w:jc w:val="left"/>
        <w:rPr>
          <w:rFonts w:ascii="Times New Roman" w:hAnsi="Times New Roman"/>
          <w:sz w:val="20"/>
        </w:rPr>
      </w:pPr>
      <w:r>
        <w:rPr>
          <w:rFonts w:ascii="Times New Roman" w:hAnsi="Times New Roman"/>
          <w:sz w:val="20"/>
        </w:rPr>
        <w:t xml:space="preserve">(7) any Lien securing industrial development, pollution control or similar revenue bonds; </w:t>
      </w:r>
    </w:p>
    <w:p>
      <w:pPr>
        <w:pStyle w:val="TextBody"/>
        <w:bidi w:val="0"/>
        <w:spacing w:before="240" w:after="0"/>
        <w:jc w:val="left"/>
        <w:rPr>
          <w:rFonts w:ascii="Times New Roman" w:hAnsi="Times New Roman"/>
          <w:sz w:val="20"/>
        </w:rPr>
      </w:pPr>
      <w:r>
        <w:rPr>
          <w:rFonts w:ascii="Times New Roman" w:hAnsi="Times New Roman"/>
          <w:sz w:val="20"/>
        </w:rPr>
        <w:t xml:space="preserve">(8) Liens existing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(9) Liens in favor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(10) Liens securing Indebtedness incurred to refund, extend, refinance or otherwise replace Indebtedness (“</w:t>
      </w:r>
      <w:r>
        <w:rPr>
          <w:rFonts w:ascii="Times New Roman" w:hAnsi="Times New Roman"/>
          <w:sz w:val="20"/>
          <w:u w:val="single"/>
        </w:rPr>
        <w:t>Refinanced Indebtedness</w:t>
      </w:r>
      <w:r>
        <w:rPr>
          <w:rFonts w:ascii="Times New Roman" w:hAnsi="Times New Roman"/>
          <w:sz w:val="20"/>
        </w:rPr>
        <w:t xml:space="preserve">”) secured by a Lien permitted to be incurred under the Indenture; provided that the principal amount of such Refinanced Indebtedness does not exceed the principal amount of Indebtedness refinanced (plus the amount of penalties, premiums, fees, accrued interest and reasonable expenses incurred therewith) at the time of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Liens on any assets or properties, or pledges of the Capital Stock, of (a) any Joint Venture owned by the Company or any of its Subsidiaries or (b) any Non-Recourse Subsidiary, in each case only to the extent securing Non-Recourse Indebtedness of such Joint Venture or Non-Recourse Subsidiary; </w:t>
      </w:r>
    </w:p>
    <w:p>
      <w:pPr>
        <w:pStyle w:val="TextBody"/>
        <w:bidi w:val="0"/>
        <w:spacing w:before="240" w:after="0"/>
        <w:jc w:val="left"/>
        <w:rPr>
          <w:rFonts w:ascii="Times New Roman" w:hAnsi="Times New Roman"/>
          <w:sz w:val="20"/>
        </w:rPr>
      </w:pPr>
      <w:r>
        <w:rPr>
          <w:rFonts w:ascii="Times New Roman" w:hAnsi="Times New Roman"/>
          <w:sz w:val="20"/>
        </w:rPr>
        <w:t xml:space="preserve">(12) Liens on the products and proceeds (including insurance, condemnation and eminent domain proceeds) of and accessions to, and contract or other rights (including rights under insurance policies and product warranties) derivative of or relating to, property permitted by the Indenture to be subject to Liens but subject to the same restrictions and limitations set forth in the Indenture as to Liens on such property (including the requirement that such Liens on products, proceeds, accessions, and rights secure only obligations that such property is permitted to secure); </w:t>
      </w:r>
    </w:p>
    <w:p>
      <w:pPr>
        <w:pStyle w:val="TextBody"/>
        <w:bidi w:val="0"/>
        <w:spacing w:before="240" w:after="0"/>
        <w:jc w:val="left"/>
        <w:rPr>
          <w:rFonts w:ascii="Times New Roman" w:hAnsi="Times New Roman"/>
          <w:sz w:val="20"/>
        </w:rPr>
      </w:pPr>
      <w:r>
        <w:rPr>
          <w:rFonts w:ascii="Times New Roman" w:hAnsi="Times New Roman"/>
          <w:sz w:val="20"/>
        </w:rPr>
        <w:t xml:space="preserve">(13) any Liens securing Indebtedness neither assumed nor guaranteed by the Company or a Subsidiary of the Company nor on which the Company or a Subsidiary of the Company customarily pays interest, existing upon real estate or rights in or relating to real estate (including rights-of-way and easements) acquired by the Company or such Subsidiary, which mortgage Liens do not materially impair the use of such property for the purposes for which it is held by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(14) any Lien existing or hereafter created on any office equipment, data processing equipment (including computer and computer peripheral equipment), or transportation equipment (including motor vehicles, aircraft, and marine vessels); </w:t>
      </w:r>
    </w:p>
    <w:p>
      <w:pPr>
        <w:pStyle w:val="TextBody"/>
        <w:bidi w:val="0"/>
        <w:spacing w:before="240" w:after="0"/>
        <w:jc w:val="left"/>
        <w:rPr>
          <w:rFonts w:ascii="Times New Roman" w:hAnsi="Times New Roman"/>
          <w:sz w:val="20"/>
        </w:rPr>
      </w:pPr>
      <w:r>
        <w:rPr>
          <w:rFonts w:ascii="Times New Roman" w:hAnsi="Times New Roman"/>
          <w:sz w:val="20"/>
        </w:rPr>
        <w:t xml:space="preserve">(15) undetermined Liens and charges incidental to construction or maintenance; </w:t>
      </w:r>
    </w:p>
    <w:p>
      <w:pPr>
        <w:pStyle w:val="TextBody"/>
        <w:bidi w:val="0"/>
        <w:spacing w:before="240" w:after="0"/>
        <w:jc w:val="left"/>
        <w:rPr>
          <w:rFonts w:ascii="Times New Roman" w:hAnsi="Times New Roman"/>
          <w:sz w:val="20"/>
        </w:rPr>
      </w:pPr>
      <w:r>
        <w:rPr>
          <w:rFonts w:ascii="Times New Roman" w:hAnsi="Times New Roman"/>
          <w:sz w:val="20"/>
        </w:rPr>
        <w:t xml:space="preserve">(16) any Lien created or assumed by the Company or a Subsidiary of the Company on oil, gas, coal, or other mineral or timber property owned by the Company or a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(17) any Lien created by the Company or a Subsidiary of the Company on any contract (or any rights thereunder or proceeds therefrom) providing for advances by the Company or such Subsidiary to finance gas exploration and development, which Lien is created to secure Indebtedness incurred to finance such advances; </w:t>
      </w:r>
    </w:p>
    <w:p>
      <w:pPr>
        <w:pStyle w:val="TextBody"/>
        <w:bidi w:val="0"/>
        <w:spacing w:before="240" w:after="0"/>
        <w:jc w:val="left"/>
        <w:rPr>
          <w:rFonts w:ascii="Times New Roman" w:hAnsi="Times New Roman"/>
          <w:sz w:val="20"/>
        </w:rPr>
      </w:pPr>
      <w:r>
        <w:rPr>
          <w:rFonts w:ascii="Times New Roman" w:hAnsi="Times New Roman"/>
          <w:sz w:val="20"/>
        </w:rPr>
        <w:t xml:space="preserve">(18) any Lien granted in connection with a cash collateralization or similar arrangement to secure obligations of the Company or of any of the Company’s Subsidiaries to issuing banks in connection with letters of credits issued at the request of the Company or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(19) Liens on cash deposits in the nature of a right of setoff, banker’s lien, counterclaim or netting of cash amounts owed arising in the ordinary course of business on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(20) Liens securing Permitted International Debt; </w:t>
      </w:r>
    </w:p>
    <w:p>
      <w:pPr>
        <w:pStyle w:val="TextBody"/>
        <w:bidi w:val="0"/>
        <w:spacing w:before="240" w:after="0"/>
        <w:jc w:val="left"/>
        <w:rPr>
          <w:rFonts w:ascii="Times New Roman" w:hAnsi="Times New Roman"/>
          <w:sz w:val="20"/>
        </w:rPr>
      </w:pPr>
      <w:r>
        <w:rPr>
          <w:rFonts w:ascii="Times New Roman" w:hAnsi="Times New Roman"/>
          <w:sz w:val="20"/>
        </w:rPr>
        <w:t xml:space="preserve">(21) Liens not otherwise permitted so long as the aggregate outstanding principal amount of the Indebtedness secured thereby does not exceed $10,000,000 at any time; and </w:t>
      </w:r>
    </w:p>
    <w:p>
      <w:pPr>
        <w:pStyle w:val="TextBody"/>
        <w:bidi w:val="0"/>
        <w:spacing w:before="240" w:after="0"/>
        <w:jc w:val="left"/>
        <w:rPr>
          <w:rFonts w:ascii="Times New Roman" w:hAnsi="Times New Roman"/>
          <w:sz w:val="20"/>
        </w:rPr>
      </w:pPr>
      <w:r>
        <w:rPr>
          <w:rFonts w:ascii="Times New Roman" w:hAnsi="Times New Roman"/>
          <w:sz w:val="20"/>
        </w:rPr>
        <w:t xml:space="preserve">(22) Liens occurring in, arising from, or associated with Specified Escrow Arrangements.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means the final prospectus supplement dated September 8, 2026 relating to the offering of the Initial Notes. </w:t>
      </w:r>
    </w:p>
    <w:p>
      <w:pPr>
        <w:pStyle w:val="TextBody"/>
        <w:bidi w:val="0"/>
        <w:spacing w:before="240" w:after="0"/>
        <w:jc w:val="left"/>
        <w:rPr/>
      </w:pPr>
      <w:r>
        <w:rPr/>
        <w:t>“</w:t>
      </w:r>
      <w:r>
        <w:rPr>
          <w:rFonts w:ascii="Times New Roman" w:hAnsi="Times New Roman"/>
          <w:sz w:val="20"/>
          <w:u w:val="single"/>
        </w:rPr>
        <w:t>Refinanced Indebtedness</w:t>
      </w:r>
      <w:r>
        <w:rPr>
          <w:rFonts w:ascii="Times New Roman" w:hAnsi="Times New Roman"/>
          <w:sz w:val="20"/>
        </w:rPr>
        <w:t xml:space="preserve">” has the meaning assigned to it in the definition of “Permitted Liens” in this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Escrow Arrangements</w:t>
      </w:r>
      <w:r>
        <w:rPr>
          <w:rFonts w:ascii="Times New Roman" w:hAnsi="Times New Roman"/>
          <w:sz w:val="20"/>
        </w:rPr>
        <w:t xml:space="preserve">” means cash deposits at one or more financial institutions for the purpose of funding any potential shortfall in the daily net cash position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Stated Maturity</w:t>
      </w:r>
      <w:r>
        <w:rPr>
          <w:rFonts w:ascii="Times New Roman" w:hAnsi="Times New Roman"/>
          <w:sz w:val="20"/>
        </w:rPr>
        <w:t xml:space="preserve">” means October 15, 2029 for the 2029 Notes, September 15, 2033 for the 2033 Notes, September 15, 2036 for the 2036 Notes and September 15, 2056 for the 2056 Notes. </w:t>
      </w:r>
    </w:p>
    <w:p>
      <w:pPr>
        <w:pStyle w:val="TextBody"/>
        <w:bidi w:val="0"/>
        <w:spacing w:before="240" w:after="0"/>
        <w:jc w:val="left"/>
        <w:rPr/>
      </w:pPr>
      <w:r>
        <w:rPr/>
        <w:t>“</w:t>
      </w:r>
      <w:r>
        <w:rPr>
          <w:rFonts w:ascii="Times New Roman" w:hAnsi="Times New Roman"/>
          <w:sz w:val="20"/>
          <w:u w:val="single"/>
        </w:rPr>
        <w:t>Supplemental Indenture</w:t>
      </w:r>
      <w:r>
        <w:rPr>
          <w:rFonts w:ascii="Times New Roman" w:hAnsi="Times New Roman"/>
          <w:sz w:val="20"/>
        </w:rPr>
        <w:t xml:space="preserve">” has the meaning assigned to it in the preamble hereto.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Company shall select, as applicable: (1) the yield for the Treasury constant maturity on H.15 exactly equal to the period from the Redemption Date to the applicable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Relationship with Base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Base Indenture shall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the provisions of this Supplemental Indenture shall govern and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accepts the amendment of the Base Indenture effected by this Supplemental Indenture and agrees to execute the trust created by the Base Indenture as hereby amended, but only upon the terms and conditions set forth in the Base Indenture, including the terms and provisions defining and limiting the liabilities and responsibilities of the Trustee in the performance of the trust created by the Base Indenture, and without limiting the generality of the foregoing, the Trustee shall not be responsible in any manner whatsoever for or with respect to any of the recitals or statements contained herein, all of which recitals or statements are made solely by the Company, or for or with respect to (1) the validity or sufficiency of this Supplemental Indenture or any of the terms or provisions hereof, (2) the proper authorization hereof by the Company, (3) the due execution hereof by the Company or (4) the consequences (direct or indirect and whether deliberate or inadvertent) of any amendment herein provided for, and the Trustee makes no representation with respect to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Effect of Headings and Table of Contents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Article and Section headings in this Supplemental Indenture and the Table of Contents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covenants and agreements in this Supplemental Indenture by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Separability Clause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Supplemental Indenture or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Governing Law;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Supplemental Indenture and the Notes shall be governed by and construed in accordance with the laws of the State of New York applicable to agreements made or instruments entered into and, in each case, performed in said state. Each of the Company, the Trustee and Holders by purchase of their Notes hereby irrevocably waives, to the fullest extent permitted by applicable law, any and all right to trial by jury in any legal proceeding arising out of or relating to this Supplemental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Supplemental Indenture may be executed in several counterparts, each of which shall be an original and all of which shall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Submission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irrevocably submits to the jurisdiction of any New York State court sitting in the Borough of Manhattan in the City of New York or any federal court sitting in the Borough of Manhattan in the City of New York in respect of any suit, action or proceeding arising out of or relating to this Indenture and the Notes, and irrevocably accepts for itself and in respect of its property, generally and unconditionally, jurisdiction of the aforesaid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Foreign Account Tax Compliance Act (FATCA)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order to comply with applicable tax laws, rules and regulations (inclusive of directives, guidelines and interpretations promulgated by competent authorities) in effect from time to time (“</w:t>
      </w:r>
      <w:r>
        <w:rPr>
          <w:rFonts w:ascii="Times New Roman" w:hAnsi="Times New Roman"/>
          <w:sz w:val="20"/>
          <w:u w:val="single"/>
        </w:rPr>
        <w:t>Applicable Law</w:t>
      </w:r>
      <w:r>
        <w:rPr>
          <w:rFonts w:ascii="Times New Roman" w:hAnsi="Times New Roman"/>
          <w:sz w:val="20"/>
        </w:rPr>
        <w:t xml:space="preserve">”), the Company agrees (i) to provide to The Bank of New York Mellon Trust Company, N.A. sufficient information about holders or other applicable parties and/or transactions (including any modification to the terms of such transactions) so The Bank of New York Mellon Trust Company, N.A. can determine whether it has tax related obligations under Applicable Law, (ii) that The Bank of New York Mellon Trust Company, N.A. shall be entitled to make any withholding or deduction from payments under the Indenture to the extent necessary to comply with Applicable Law for which The Bank of New York Mellon Trust Company, N.A. shall not have any liability, and (iii) to hold harmless The Bank of New York Mellon Trust Company, N.A. for any losses it may suffer due to the actions it takes to comply with such Applicable Law. The terms of this section shall survive the termination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Certain Rights of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not be deemed to have notice of any default or Event of Default unless written notice of any event which is in fact such a default is received by a Responsible Officer, and such notice references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not be liable for any error of judgement made in good faith by a Responsible Officer,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or the Notes, in the event the Company elects to make any payment to the Trustee pursuant to this Indenture by means of automated clearinghouse transfer, such payment must be initiated by the Company a sufficient amount of time in advance such that funds are received by the Trustee that are immediately available by 11:00 a.m. New York time on the applicable payment date, or if such payment date is not a Business Day, the Business Day immediately prior to the applicable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Electronic Means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Indenture Section 105 is hereby amended and restated by (i) deleting the final paragraph, and (ii) substituting the following: </w:t>
      </w:r>
    </w:p>
    <w:p>
      <w:pPr>
        <w:pStyle w:val="TextBody"/>
        <w:bidi w:val="0"/>
        <w:spacing w:before="120" w:after="0"/>
        <w:jc w:val="left"/>
        <w:rPr/>
      </w:pPr>
      <w:r>
        <w:rPr/>
        <w:t>“</w:t>
      </w:r>
      <w:r>
        <w:rPr>
          <w:rFonts w:ascii="Times New Roman" w:hAnsi="Times New Roman"/>
          <w:sz w:val="20"/>
        </w:rPr>
        <w:t xml:space="preserve">The Trustee and Paying Agent shall have the right to accept and act upon instructions, including funds transfer instructions (“Instructions”) given pursuant to this Indenture and related financing documents and delivered using Electronic Means (as defined herein); provided, however, that the Company, as applicable, shall provide to the Trustee and Paying Agent an incumbency certificate listing officers with the authority to provide such Instructions (“Authorized Officers”) and containing specimen signatures of such Authorized Officers, which incumbency certificate shall be amended by the Company, as applicable, whenever a person is to be added or deleted from the listing. If the Company elects to give the Trustee and Paying Agent Instructions using Electronic Means and the Trustee and Paying Agent in their discretion elect to act upon such Instructions, their understanding of such Instructions shall be deemed controlling. The Company understands and agrees that the Trustee and Paying Agent cannot determine the identity of the actual sender of such Instructions and that the Trustee and Paying Agent shall conclusively presume that directions that purport to have been sent by an Authorized Officer listed on the incumbency certificate provided to the Trustee and Paying Agent have been sent by such Authorized Officer. The Company shall be responsible for ensuring that only Authorized Officers transmit such Instructions to the Trustee and Paying Agent and that the Company, and all Authorized Officers are solely responsible to safeguard the use and confidentiality of applicable user and authorization codes, passwords and/or authentication keys upon receipt by the Company, as applicable. The Trustee and Paying Agent shall not be liable for any losses, costs or expenses arising directly or indirectly from the Trustee and Paying Agent’s reliance upon and compliance with such Instructions notwithstanding such directions conflict or are inconsistent with a subsequent written instruction. The Company agrees: (i) to assume all risks arising out of the use of Electronic Means to submit Instructions to the Trustee and Paying Agent, including without limitation the risk of the Trustee and Paying Agent acting on unauthorized Instructions, and the risk of interception and misuse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third parties; (ii) that it is fully informed of the protections and risks associated with the various methods of transmitting Instructions to the Trustee and Paying Agent and that there may be more secure methods of transmitting Instructions than the method(s) selected by the Company, as applicable; (iii) that the security procedures (if any) to be followed in connection with its transmission of Instructions provide to it a commercially reasonable degree of protection in light of its particular needs and circumstances; and (iv) to notify the Trustee and Paying Agent immediately upon learning of any compromise or unauthorized use of the security procedures. “Electronic Means” shall mean the following communications methods: e-mail, secure electronic transmission containing applicable authorization codes, passwords and/or authentication keys issued by the Trustee and Paying Agent, or another method or system specified by the Trustee and Paying Agent as available for use in connection with its services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Establishment, 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are hereby established four new series of Securities to be issued under the Base Indenture, to be designated as the Company’s 5.000% Senior Notes due 2029, 5.600% Senior Notes due 2033, 5.800% Senior Notes due 2036, and 6.400% Senior Notes due 2056. </w:t>
      </w:r>
    </w:p>
    <w:p>
      <w:pPr>
        <w:pStyle w:val="TextBody"/>
        <w:bidi w:val="0"/>
        <w:spacing w:before="240" w:after="0"/>
        <w:jc w:val="left"/>
        <w:rPr>
          <w:rFonts w:ascii="Times New Roman" w:hAnsi="Times New Roman"/>
          <w:sz w:val="20"/>
        </w:rPr>
      </w:pPr>
      <w:r>
        <w:rPr>
          <w:rFonts w:ascii="Times New Roman" w:hAnsi="Times New Roman"/>
          <w:sz w:val="20"/>
        </w:rPr>
        <w:t xml:space="preserve">There are to be authenticated and delivered $500,000,000 principal amount of the 2029 Notes, $1,000,000,000 principal amount of the 2033 Notes, $750,000,000 principal amount of the 2036 Notes and $500,000,000 principal amount of the 2056 Notes, and the principal amount of the Notes of each series may be increased from time to time pursuant to Section 301 of the Base Indenture by the issuance of Additional Notes of such series. Any such Additional Notes will have the same interest rate, maturity and other terms as the Initial Notes of the applicable series, except for their issue date, public offering price and, if applicable, the initial interest accrual date and the initial Interest Payment Date, and shall constitute a single series of Securities with the Initial Notes of such series. No Notes shall be authenticated and delivered in addition to Notes for the principal amount as so increased except as provided by Sections 304, 305, 306, 906 or 1107 of the Base Indenture. The Notes shall be senior debt securities and shall be issued in fully registered form.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Trustee’s certificate of authentication with respect thereto will be substantially in the form of Exhibit A, Exhibit B, Exhibit C or Exhibit D hereto, as applicable. The Notes may have notations, legends or endorsements required by law, stock exchange rule or usage. Each Note will be dated the date of its authentication, and except as provided in Section 305 of the Base Indenture, will be issued in the form of one or more Global Notes. The principal of, and any premium or interest on, the Notes shall be payable in Dollars. The Notes shall be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will constitute, and are hereby expressly made, a part of the Indenture and the Company and the Trustee, by their execution and delivery of the Indenture, expressly agree to such terms and provisions and to be bound thereby. However, to the extent any provision of any Note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Registrar and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maintain a Registrar and Paying Agent with respect to the Notes. The Registrar will keep a Security Register with respect to the Notes and of their 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Depository Trust Company to act as Depositary with respect to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initially appoints the Trustee to act as the Registrar and Paying Agent with respect to the Notes and to act as custodian for the Depositary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Execution, Authentication, Delivery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Notes (but not any other Securities, unless provided by the terms thereof), the first, second and sixth paragraphs of Section 303 of the Base Indenture are hereby amended and restated in their entirety, respectively, to read as follows: </w:t>
      </w:r>
    </w:p>
    <w:p>
      <w:pPr>
        <w:pStyle w:val="TextBody"/>
        <w:bidi w:val="0"/>
        <w:spacing w:before="240" w:after="0"/>
        <w:jc w:val="left"/>
        <w:rPr/>
      </w:pPr>
      <w:r>
        <w:rPr/>
        <w:t>“</w:t>
      </w:r>
      <w:r>
        <w:rPr>
          <w:rFonts w:ascii="Times New Roman" w:hAnsi="Times New Roman"/>
          <w:sz w:val="20"/>
        </w:rPr>
        <w:t xml:space="preserve">Securities shall be executed on behalf of the Company by any Officer of the Company. The signature of any such Officer on the Securities may be manual, facsimile or electronic (provided that any such electronic signature shall be a true representation of the signer’s actual signature).” </w:t>
      </w:r>
    </w:p>
    <w:p>
      <w:pPr>
        <w:pStyle w:val="TextBody"/>
        <w:bidi w:val="0"/>
        <w:spacing w:before="240" w:after="0"/>
        <w:jc w:val="left"/>
        <w:rPr/>
      </w:pPr>
      <w:r>
        <w:rPr/>
        <w:t>“</w:t>
      </w:r>
      <w:r>
        <w:rPr>
          <w:rFonts w:ascii="Times New Roman" w:hAnsi="Times New Roman"/>
          <w:sz w:val="20"/>
        </w:rPr>
        <w:t xml:space="preserve">Securities bearing the manual, facsimile or electronic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left"/>
        <w:rPr/>
      </w:pPr>
      <w:r>
        <w:rPr/>
        <w:t>“</w:t>
      </w:r>
      <w:r>
        <w:rPr>
          <w:rFonts w:ascii="Times New Roman" w:hAnsi="Times New Roman"/>
          <w:sz w:val="20"/>
        </w:rPr>
        <w:t xml:space="preserve">No Security shall be entitled to any benefit under this Indenture or be valid or obligatory for any purpose, unless there appears on such Security a certificate of authentication substantially in the form provided for in Section 202 or Section 612 executed by or on behalf of the Trustee or by the Authenticating Agent by the manual, facsimile or electronic signature of one of its authorized signatories. Such certificate upon any Security shall be conclusive evidence, and the only evidence, that such Security has been duly authenticated and delivered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Legal defeasance of the Notes under clause (2) of Section 402 of the Base Indenture and covenant defeasance of the Notes under clause (3) of Section 402 of the Base Indenture shall be applicable to the Notes of a series, and the Company may at its option by Board Resolution, at any time, with respect to the Notes, elect to have Section 402(2) or Section 402(3) of the Base Indenture be applied to the Outstanding Notes of such series upon compliance with the conditions set forth in Section 402 of the Base Indenture. In addition to Section 801 of the Base Indenture, Section 5.01 of this Supplemental Indenture as to each series of Notes shall be subject to covenant defeasance under Section 402(3) of the Base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Notes (but not any other Securities, unless provided by the terms thereof), paragraph (4) of Section 501 of the Base Indenture is hereby amended and restated in its entirety to read as follows: </w:t>
      </w:r>
    </w:p>
    <w:p>
      <w:pPr>
        <w:pStyle w:val="TextBody"/>
        <w:bidi w:val="0"/>
        <w:spacing w:before="120" w:after="0"/>
        <w:jc w:val="left"/>
        <w:rPr/>
      </w:pPr>
      <w:r>
        <w:rPr/>
        <w:t>“</w:t>
      </w:r>
      <w:r>
        <w:rPr>
          <w:rFonts w:ascii="Times New Roman" w:hAnsi="Times New Roman"/>
          <w:sz w:val="20"/>
        </w:rPr>
        <w:t xml:space="preserve">(4) failure on the part of the Company duly to observe or perform any other of the covenants or agreements (other than those described in clause (1), (2) or (3) above) on the part of the Company with respect to that series contained in such Securities or otherwise established with respect to that series of Securities pursuant to Section 301 hereof or contained in this Indenture (other than a covenant or agreement which has been expressly included in this Indenture solely for the benefit of one or more series of Securities other than such series), which failure continues for a period of 60 days, or in the case of such a failure with respect to Section 704 of this Indenture, 90 days, after the date on which written notice of such failure, requiring the same to be remedied and stating that such notice is a “Notice of Default” shall have been given to the Company by the Trustee, upon direction of Holders of at least 25% in principal amount of the then Outstanding Securities of that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failure is not capable of cure within such 60-day or 90-day period, as the case may be, such 60-day or 90-day period, as the case may be, shall be automatically extended by an additional 60 days so long as (i) such failure is subject to cure and (ii) the Company is using commercially reasonable efforts to cure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failure to comply with any such other agreement in the Indenture that results from a change in GAAP shall not be deemed to be an Event of Default with respect to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be subject to the following covenants in addition to the provisions of Article Ten of the Base Indenture (provided that Section 1004 of the Base Indenture shall not be applicable to the Notes): </w:t>
      </w:r>
    </w:p>
    <w:p>
      <w:pPr>
        <w:pStyle w:val="TextBody"/>
        <w:bidi w:val="0"/>
        <w:spacing w:before="12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Limitation on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and shall not permit any Subsidiary of the Company to, issue, assume, or guarantee any Indebtedness secured by a Lien, other than Permitted Liens, upon any property of the Company or any of its Subsidiaries, owned on the date of this Supplemental Indenture or thereafter acquired, unless the Notes are equally and ratably secured with such Indebtedness until such time as such Indebtedness is no longer secured by such a Lien.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paragraph, the Company may, and may permit any Subsidiary of the Company to, issue, assume or guarantee any Indebtedness secured by a Lien, other than a Permitted Lien, upon any property of the Company or any of its Subsidiaries, without securing the Notes; provided that the aggregate principal amount of all Indebtedness of the Company and any Subsidiary of the Company then outstanding secured by any such Liens (other than Permitted Liens) does not exceed 15% of Consolidated Net Tangible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Notes of each series may be redeemed, in whole or in part, at the option of the Company pursuant to the terms set forth in Section 2 of the Notes of such series and Section 6.02 hereof. In the case of a redemption at any time prior to a Par Call Date, the Company shall give the Trustee notice of the Redemption Price promptly after the determination thereof and the Trustee shall have no responsibility for determining such Redemption Price. Other than as specifically provided in this Article VI or Section 2 of the Notes of any series, any redemption pursuant to this Article VI will be made pursuant to the provisions of Article Eleven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Election to Redeem; Notice to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election of the Company to optionally redeem any Notes of any series shall be evidenced by or pursuant to a Board Resolution. In case of any redemption of the Notes of any series, the Company shall no later than 9:00 a.m., New York City time, on the fifth Business Day prior to the date of the giving of notice of such redemption pursuant to the applicable series of Notes (unless a shorter notice shall be satisfactory to the Trustee), notify the Trustee of such Redemption Date and of the principal amount of the Notes of the applicable series to be redeemed. This Section 6.02 shall apply to the Notes instead of Section 1102 of the Base Indenture.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4"/>
        <w:gridCol w:w="60"/>
        <w:gridCol w:w="3378"/>
      </w:tblGrid>
      <w:tr>
        <w:trPr/>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WILLIAMS COMPANIES, INC.</w:t>
            </w:r>
          </w:p>
        </w:tc>
      </w:tr>
      <w:tr>
        <w:trPr>
          <w:trHeight w:val="24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8" w:type="dxa"/>
            <w:tcBorders>
              <w:bottom w:val="single" w:sz="2" w:space="0" w:color="000000"/>
            </w:tcBorders>
            <w:tcMar>
              <w:bottom w:w="28" w:type="dxa"/>
            </w:tcMar>
          </w:tcPr>
          <w:p>
            <w:pPr>
              <w:pStyle w:val="TableContents"/>
              <w:bidi w:val="0"/>
              <w:spacing w:before="0" w:after="283"/>
              <w:jc w:val="left"/>
              <w:rPr/>
            </w:pPr>
            <w:r>
              <w:rPr/>
              <w:t> </w:t>
            </w:r>
          </w:p>
        </w:tc>
      </w:tr>
      <w:tr>
        <w:trPr/>
        <w:tc>
          <w:tcPr>
            <w:tcW w:w="64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Peter S. Burgess</w:t>
            </w:r>
          </w:p>
        </w:tc>
      </w:tr>
      <w:tr>
        <w:trPr/>
        <w:tc>
          <w:tcPr>
            <w:tcW w:w="64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VP Treasury &amp; Insurance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176"/>
        <w:gridCol w:w="112"/>
        <w:gridCol w:w="2794"/>
      </w:tblGrid>
      <w:tr>
        <w:trPr/>
        <w:tc>
          <w:tcPr>
            <w:tcW w:w="1176"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1176" w:type="dxa"/>
            <w:tcBorders/>
            <w:vAlign w:val="center"/>
          </w:tcPr>
          <w:p>
            <w:pPr>
              <w:pStyle w:val="TableContents"/>
              <w:bidi w:val="0"/>
              <w:spacing w:before="0" w:after="283"/>
              <w:jc w:val="left"/>
              <w:rPr>
                <w:sz w:val="4"/>
                <w:szCs w:val="4"/>
              </w:rPr>
            </w:pPr>
            <w:r>
              <w:rPr>
                <w:sz w:val="4"/>
                <w:szCs w:val="4"/>
              </w:rPr>
            </w:r>
          </w:p>
        </w:tc>
        <w:tc>
          <w:tcPr>
            <w:tcW w:w="2906" w:type="dxa"/>
            <w:gridSpan w:val="2"/>
            <w:tcBorders/>
            <w:vAlign w:val="center"/>
          </w:tcPr>
          <w:p>
            <w:pPr>
              <w:pStyle w:val="TableContents"/>
              <w:bidi w:val="0"/>
              <w:spacing w:before="0" w:after="283"/>
              <w:jc w:val="left"/>
              <w:rPr>
                <w:sz w:val="4"/>
                <w:szCs w:val="4"/>
              </w:rPr>
            </w:pPr>
            <w:r>
              <w:rPr>
                <w:sz w:val="4"/>
                <w:szCs w:val="4"/>
              </w:rPr>
            </w:r>
          </w:p>
        </w:tc>
      </w:tr>
      <w:tr>
        <w:trPr/>
        <w:tc>
          <w:tcPr>
            <w:tcW w:w="1176"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2794" w:type="dxa"/>
            <w:tcBorders>
              <w:bottom w:val="single" w:sz="2" w:space="0" w:color="000000"/>
            </w:tcBorders>
            <w:tcMar>
              <w:bottom w:w="28" w:type="dxa"/>
            </w:tcMar>
          </w:tcPr>
          <w:p>
            <w:pPr>
              <w:pStyle w:val="TableContents"/>
              <w:bidi w:val="0"/>
              <w:spacing w:before="0" w:after="283"/>
              <w:jc w:val="left"/>
              <w:rPr/>
            </w:pPr>
            <w:r>
              <w:rPr/>
              <w:t> </w:t>
            </w:r>
          </w:p>
        </w:tc>
      </w:tr>
      <w:tr>
        <w:trPr/>
        <w:tc>
          <w:tcPr>
            <w:tcW w:w="1176" w:type="dxa"/>
            <w:tcBorders/>
            <w:vAlign w:val="bottom"/>
          </w:tcPr>
          <w:p>
            <w:pPr>
              <w:pStyle w:val="TableContents"/>
              <w:bidi w:val="0"/>
              <w:spacing w:before="0" w:after="283"/>
              <w:jc w:val="left"/>
              <w:rPr/>
            </w:pPr>
            <w:r>
              <w:rPr/>
              <w:t>Name:</w:t>
            </w:r>
          </w:p>
        </w:tc>
        <w:tc>
          <w:tcPr>
            <w:tcW w:w="112" w:type="dxa"/>
            <w:tcBorders/>
            <w:vAlign w:val="bottom"/>
          </w:tcPr>
          <w:p>
            <w:pPr>
              <w:pStyle w:val="TableContents"/>
              <w:bidi w:val="0"/>
              <w:spacing w:before="0" w:after="283"/>
              <w:jc w:val="left"/>
              <w:rPr/>
            </w:pPr>
            <w:r>
              <w:rPr/>
              <w:t> </w:t>
            </w:r>
          </w:p>
        </w:tc>
        <w:tc>
          <w:tcPr>
            <w:tcW w:w="2794" w:type="dxa"/>
            <w:tcBorders/>
            <w:vAlign w:val="bottom"/>
          </w:tcPr>
          <w:p>
            <w:pPr>
              <w:pStyle w:val="TableContents"/>
              <w:bidi w:val="0"/>
              <w:spacing w:before="0" w:after="283"/>
              <w:jc w:val="left"/>
              <w:rPr>
                <w:sz w:val="4"/>
                <w:szCs w:val="4"/>
              </w:rPr>
            </w:pPr>
            <w:r>
              <w:rPr>
                <w:sz w:val="4"/>
                <w:szCs w:val="4"/>
              </w:rPr>
            </w:r>
          </w:p>
        </w:tc>
      </w:tr>
      <w:tr>
        <w:trPr/>
        <w:tc>
          <w:tcPr>
            <w:tcW w:w="1176" w:type="dxa"/>
            <w:tcBorders/>
            <w:vAlign w:val="bottom"/>
          </w:tcPr>
          <w:p>
            <w:pPr>
              <w:pStyle w:val="TableContents"/>
              <w:bidi w:val="0"/>
              <w:spacing w:before="0" w:after="283"/>
              <w:jc w:val="left"/>
              <w:rPr/>
            </w:pPr>
            <w:r>
              <w:rPr/>
              <w:t>Title:</w:t>
            </w:r>
          </w:p>
        </w:tc>
        <w:tc>
          <w:tcPr>
            <w:tcW w:w="112" w:type="dxa"/>
            <w:tcBorders/>
            <w:vAlign w:val="bottom"/>
          </w:tcPr>
          <w:p>
            <w:pPr>
              <w:pStyle w:val="TableContents"/>
              <w:bidi w:val="0"/>
              <w:spacing w:before="0" w:after="283"/>
              <w:jc w:val="left"/>
              <w:rPr/>
            </w:pPr>
            <w:r>
              <w:rPr/>
              <w:t> </w:t>
            </w:r>
          </w:p>
        </w:tc>
        <w:tc>
          <w:tcPr>
            <w:tcW w:w="279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[Face of the Note] </w:t>
      </w:r>
    </w:p>
    <w:p>
      <w:pPr>
        <w:pStyle w:val="TextBody"/>
        <w:bidi w:val="0"/>
        <w:spacing w:before="240" w:after="0"/>
        <w:jc w:val="right"/>
        <w:rPr>
          <w:rFonts w:ascii="Times New Roman" w:hAnsi="Times New Roman"/>
          <w:sz w:val="20"/>
        </w:rPr>
      </w:pPr>
      <w:r>
        <w:rPr>
          <w:rFonts w:ascii="Times New Roman" w:hAnsi="Times New Roman"/>
          <w:sz w:val="20"/>
        </w:rPr>
        <w:t xml:space="preserve">CUSIP: 969457 DA5 </w:t>
      </w:r>
    </w:p>
    <w:p>
      <w:pPr>
        <w:pStyle w:val="TextBody"/>
        <w:bidi w:val="0"/>
        <w:spacing w:before="0" w:after="0"/>
        <w:jc w:val="right"/>
        <w:rPr>
          <w:rFonts w:ascii="Times New Roman" w:hAnsi="Times New Roman"/>
          <w:sz w:val="20"/>
        </w:rPr>
      </w:pPr>
      <w:r>
        <w:rPr>
          <w:rFonts w:ascii="Times New Roman" w:hAnsi="Times New Roman"/>
          <w:sz w:val="20"/>
        </w:rPr>
        <w:t xml:space="preserve">ISIN: US969457DA58 </w:t>
      </w:r>
    </w:p>
    <w:p>
      <w:pPr>
        <w:pStyle w:val="TextBody"/>
        <w:bidi w:val="0"/>
        <w:spacing w:before="240" w:after="0"/>
        <w:jc w:val="center"/>
        <w:rPr>
          <w:rFonts w:ascii="Times New Roman" w:hAnsi="Times New Roman"/>
          <w:sz w:val="20"/>
        </w:rPr>
      </w:pPr>
      <w:r>
        <w:rPr>
          <w:rFonts w:ascii="Times New Roman" w:hAnsi="Times New Roman"/>
          <w:sz w:val="20"/>
        </w:rPr>
        <w:t xml:space="preserve">5.000% Senior Note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vAlign w:val="bottom"/>
          </w:tcPr>
          <w:p>
            <w:pPr>
              <w:pStyle w:val="TableContents"/>
              <w:bidi w:val="0"/>
              <w:spacing w:before="0" w:after="283"/>
              <w:jc w:val="left"/>
              <w:rPr/>
            </w:pPr>
            <w:r>
              <w:rPr/>
              <w:t>No. _____</w:t>
            </w:r>
          </w:p>
        </w:tc>
        <w:tc>
          <w:tcPr>
            <w:tcW w:w="126"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right"/>
              <w:rPr/>
            </w:pPr>
            <w:r>
              <w:rPr/>
              <w:t>$_______________</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Co.]1 or registered assigns, the principal sum of _________________________ DOLLARS [or such greater or lesser amount as is indicated on the Schedule of Adjustments attached hereto]2 on October 15, 2029 (the “</w:t>
      </w:r>
      <w:r>
        <w:rPr>
          <w:rFonts w:ascii="Times New Roman" w:hAnsi="Times New Roman"/>
          <w:sz w:val="20"/>
          <w:u w:val="single"/>
        </w:rPr>
        <w:t>Stated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April 15 and October 15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April 1 and October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127"/>
        <w:gridCol w:w="2635"/>
      </w:tblGrid>
      <w:tr>
        <w:trPr/>
        <w:tc>
          <w:tcPr>
            <w:tcW w:w="1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WILLIAMS COMPANIES, INC.</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635" w:type="dxa"/>
            <w:tcBorders>
              <w:bottom w:val="single" w:sz="2" w:space="0" w:color="000000"/>
            </w:tcBorders>
            <w:tcMar>
              <w:bottom w:w="28" w:type="dxa"/>
            </w:tcMar>
          </w:tcPr>
          <w:p>
            <w:pPr>
              <w:pStyle w:val="TableContents"/>
              <w:bidi w:val="0"/>
              <w:spacing w:before="0" w:after="283"/>
              <w:jc w:val="left"/>
              <w:rPr/>
            </w:pPr>
            <w:r>
              <w:rPr/>
              <w:t> </w:t>
            </w:r>
          </w:p>
        </w:tc>
      </w:tr>
      <w:tr>
        <w:trPr/>
        <w:tc>
          <w:tcPr>
            <w:tcW w:w="1320"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75"/>
        <w:gridCol w:w="60"/>
        <w:gridCol w:w="3547"/>
      </w:tblGrid>
      <w:tr>
        <w:trPr/>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7" w:type="dxa"/>
            <w:tcBorders>
              <w:bottom w:val="single" w:sz="2" w:space="0" w:color="000000"/>
            </w:tcBorders>
            <w:tcMar>
              <w:bottom w:w="28" w:type="dxa"/>
            </w:tcMar>
          </w:tcPr>
          <w:p>
            <w:pPr>
              <w:pStyle w:val="TableContents"/>
              <w:bidi w:val="0"/>
              <w:spacing w:before="0" w:after="283"/>
              <w:jc w:val="left"/>
              <w:rPr/>
            </w:pPr>
            <w:r>
              <w:rPr/>
              <w:t> </w:t>
            </w:r>
          </w:p>
        </w:tc>
      </w:tr>
      <w:tr>
        <w:trPr/>
        <w:tc>
          <w:tcPr>
            <w:tcW w:w="4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47"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SECURITY IS PRESENTED BY AN AUTHORIZED REPRESENTATIVE OF THE DEPOSITORY TRUST COMPANY, A NEW YORK CORPORATION (“DTC”), TO THE WILLIAMS COMPANIES,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HEREIN.]3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the Note] </w:t>
      </w:r>
    </w:p>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5.000% Senior Note due 2029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(the “</w:t>
      </w:r>
      <w:r>
        <w:rPr>
          <w:rFonts w:ascii="Times New Roman" w:hAnsi="Times New Roman"/>
          <w:sz w:val="20"/>
          <w:u w:val="single"/>
        </w:rPr>
        <w:t>Securities</w:t>
      </w:r>
      <w:r>
        <w:rPr>
          <w:rFonts w:ascii="Times New Roman" w:hAnsi="Times New Roman"/>
          <w:sz w:val="20"/>
        </w:rPr>
        <w:t>”) of The Williams Companies, Inc. (the “</w:t>
      </w:r>
      <w:r>
        <w:rPr>
          <w:rFonts w:ascii="Times New Roman" w:hAnsi="Times New Roman"/>
          <w:sz w:val="20"/>
          <w:u w:val="single"/>
        </w:rPr>
        <w:t>Company</w:t>
      </w:r>
      <w:r>
        <w:rPr>
          <w:rFonts w:ascii="Times New Roman" w:hAnsi="Times New Roman"/>
          <w:sz w:val="20"/>
        </w:rPr>
        <w:t>,” which term includes any successor Person under the Base Indenture hereinafter referred to), issued and issuable in one or more series under an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which term includes any successor trustee under the Base Indenture), to which Base Indenture and all indentures supplemental thereto reference is hereby made for a statement of the respective rights, limitation of rights, duties and immunities thereunder of the Company, the Trustee and the Holders of the Securities issued thereunder and of the terms upon which said Securities are, and are to be, authenticated and delivered. This Note is one of the series designated on the face hereof as 5.000% Senior Notes due 2029 (the “</w:t>
      </w:r>
      <w:r>
        <w:rPr>
          <w:rFonts w:ascii="Times New Roman" w:hAnsi="Times New Roman"/>
          <w:sz w:val="20"/>
          <w:u w:val="single"/>
        </w:rPr>
        <w:t>Notes</w:t>
      </w:r>
      <w:r>
        <w:rPr>
          <w:rFonts w:ascii="Times New Roman" w:hAnsi="Times New Roman"/>
          <w:sz w:val="20"/>
        </w:rPr>
        <w:t>”) which was issued under the Fourteenth Supplemental Indenture to the Base Indenture dated as of September 10, 2026 (the “</w:t>
      </w:r>
      <w:r>
        <w:rPr>
          <w:rFonts w:ascii="Times New Roman" w:hAnsi="Times New Roman"/>
          <w:sz w:val="20"/>
          <w:u w:val="single"/>
        </w:rPr>
        <w:t>Supplemental Indenture</w:t>
      </w:r>
      <w:r>
        <w:rPr>
          <w:rFonts w:ascii="Times New Roman" w:hAnsi="Times New Roman"/>
          <w:sz w:val="20"/>
        </w:rPr>
        <w:t>,” together with the Base Indenture, the “</w:t>
      </w:r>
      <w:r>
        <w:rPr>
          <w:rFonts w:ascii="Times New Roman" w:hAnsi="Times New Roman"/>
          <w:sz w:val="20"/>
          <w:u w:val="single"/>
        </w:rPr>
        <w:t>Indenture</w:t>
      </w:r>
      <w:r>
        <w:rPr>
          <w:rFonts w:ascii="Times New Roman" w:hAnsi="Times New Roman"/>
          <w:sz w:val="20"/>
        </w:rPr>
        <w:t xml:space="preserve">”) and which is initially limited to $500,000,000 in principal amount. Capitalized terms used herein for which no definition is provided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The Company promises to pay interest on the principal amount of this Note at the rate of 5.000% per annum from [</w:t>
      </w:r>
      <w:r>
        <w:rPr>
          <w:rFonts w:ascii="Times New Roman" w:hAnsi="Times New Roman"/>
          <w:i/>
          <w:sz w:val="20"/>
        </w:rPr>
        <w:t xml:space="preserve">Insert for Initial Notes </w:t>
      </w:r>
      <w:r>
        <w:rPr>
          <w:rFonts w:ascii="Times New Roman" w:hAnsi="Times New Roman"/>
          <w:sz w:val="20"/>
        </w:rPr>
        <w:t>“September 10, 2026”] until the Stated Maturity, unless earlier repurchased, redeemed or otherwise cancelled. The Company will pay interest semiannually on April 15 and October 15 of each year (each an “</w:t>
      </w:r>
      <w:r>
        <w:rPr>
          <w:rFonts w:ascii="Times New Roman" w:hAnsi="Times New Roman"/>
          <w:sz w:val="20"/>
          <w:u w:val="single"/>
        </w:rPr>
        <w:t>Interest Payment Date</w:t>
      </w:r>
      <w:r>
        <w:rPr>
          <w:rFonts w:ascii="Times New Roman" w:hAnsi="Times New Roman"/>
          <w:sz w:val="20"/>
        </w:rPr>
        <w:t>”). Interest on the Notes will accrue from the most recent Interest Payment Date on which interest has been paid or duly provided for or, if no interest has been paid or duly provided for, from [</w:t>
      </w:r>
      <w:r>
        <w:rPr>
          <w:rFonts w:ascii="Times New Roman" w:hAnsi="Times New Roman"/>
          <w:i/>
          <w:sz w:val="20"/>
        </w:rPr>
        <w:t xml:space="preserve">Insert for Initial Notes </w:t>
      </w:r>
      <w:r>
        <w:rPr>
          <w:rFonts w:ascii="Times New Roman" w:hAnsi="Times New Roman"/>
          <w:sz w:val="20"/>
        </w:rPr>
        <w:t xml:space="preserve">“September 10, 2026”]; </w:t>
      </w:r>
      <w:r>
        <w:rPr>
          <w:rFonts w:ascii="Times New Roman" w:hAnsi="Times New Roman"/>
          <w:sz w:val="20"/>
          <w:u w:val="single"/>
        </w:rPr>
        <w:t>provided</w:t>
      </w:r>
      <w:r>
        <w:rPr>
          <w:rFonts w:ascii="Times New Roman" w:hAnsi="Times New Roman"/>
          <w:sz w:val="20"/>
        </w:rPr>
        <w:t xml:space="preserve"> that if there is no existing default in the payment of interest, and if this Note is authenticated between a regular record date set forth on the face hereof (each a “</w:t>
      </w:r>
      <w:r>
        <w:rPr>
          <w:rFonts w:ascii="Times New Roman" w:hAnsi="Times New Roman"/>
          <w:sz w:val="20"/>
          <w:u w:val="single"/>
        </w:rPr>
        <w:t>Regular Record Date</w:t>
      </w:r>
      <w:r>
        <w:rPr>
          <w:rFonts w:ascii="Times New Roman" w:hAnsi="Times New Roman"/>
          <w:sz w:val="20"/>
        </w:rPr>
        <w:t xml:space="preserve">”) and the next succeeding Interest Payment Date, interest shall accrue from such next succeeding Interest 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first Interest Payment Date shall be [</w:t>
      </w:r>
      <w:r>
        <w:rPr>
          <w:rFonts w:ascii="Times New Roman" w:hAnsi="Times New Roman"/>
          <w:i/>
          <w:sz w:val="20"/>
        </w:rPr>
        <w:t xml:space="preserve">Insert for Initial Notes </w:t>
      </w:r>
      <w:r>
        <w:rPr>
          <w:rFonts w:ascii="Times New Roman" w:hAnsi="Times New Roman"/>
          <w:sz w:val="20"/>
        </w:rPr>
        <w:t>“April 15, 2027”] and interest accrued from [</w:t>
      </w:r>
      <w:r>
        <w:rPr>
          <w:rFonts w:ascii="Times New Roman" w:hAnsi="Times New Roman"/>
          <w:i/>
          <w:sz w:val="20"/>
        </w:rPr>
        <w:t xml:space="preserve">Insert for Initial Notes </w:t>
      </w:r>
      <w:r>
        <w:rPr>
          <w:rFonts w:ascii="Times New Roman" w:hAnsi="Times New Roman"/>
          <w:sz w:val="20"/>
        </w:rPr>
        <w:t xml:space="preserve">“September 10, 2026”] shall be payable on such date. The interest so payable, and punctually paid or duly provided for, on any Interest Payment Date will, as provided in the Indenture, be paid to the Person in whose name this Note is registered at the close of business on the Regular Record Date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the Holders of the Notes not less than 10 days prior to such Special Record Date, or be paid at any time in any other lawful manner not inconsistent with the requirements of any securities exchange, if any, on which the Notes shall be listed, and upon such notice as may be required by any such exchange, all as more fully provided in the Indenture. Payments of interest on the Notes will include interest accrued to but excluding the respective Interest Payment 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shall pay interest on overdue principal and premium, if any, from time to time on demand at a rate of 5.000% per annum; it shall pay interest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the Stated Maturity or a Redemption Date falls on a day that is not a Business Day, the required payment of principal, premium, if any, and interest due on that date shall be made on the next succeeding Business Day as if made on the date that payment was due, and no interest shall accrue for the period from and after the Interest Payment Date, Stated Maturity or such Redemption Date, as the case may be, to the date of that payment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subject to redemption upon at least 10 days but not more than 60 days’ notice to the Holders of the Notes to be redeemed as provided in the Indenture, at any time or from time to time prior to the Par Call Date, in whole or in part, at the election of the Company, at a Redemption Price, as calculated by the Company and expressed as a percentage of principal amount and rounded to three decimal places,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10 basis points less (b) interest accrued to the Redemption Date, and (ii) 100% of the principal amount of the Notes to be redeemed, plus, in either case, accrued and unpaid interest thereon, if any, to, but not including, the Redemption Date. In addition, the Notes are subject to redemption upon at least 10 days but not more than 60 days’ notice to the Holders of the Notes to be redeemed as provided in the Indenture, at any time on or after the Par Call Date, in whole or in part, at the election of the Company, at a Redemption Price, as calculated by the Company, equal to 100% of the principal amount of the Notes being redeemed plus accrued and unpaid interest thereon, if any, to, but not including, the Redemption Date. The notice of redemption shall be mailed or electronically delivered (or otherwise transmitted in accordance with the Depositary’s procedures) and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Notes are to be redeemed, selection of Notes for redemption will be made pro rata, by lot or by such other method as the Trustee in its sole discretion deems appropriate and fair, and, in the case of Global Notes, by the Depositary in accordance with the Depositary’s procedures and in the case of a Definitive Security, by the Trustee by pro rata or by lot. No Notes of a principal amount of $2,000 or less will be redeemed in part. Unless the Company defaults in payment of such Redemption Price, on and after the Redemption Date, the Notes or portions thereof called for redemption will cease to bear interest, and the Holders thereof will have no right in respect of such Notes except the right to receive the Redemption Price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of (a) the entire indebtedness of this Note and (b) certain restrictive covenants upon compliance by the Company with certain conditions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shall occur and be continuing, the principal of the Notes may be declared due and payable, or in the circumstances described in the Indenture, shall automatically become due and payable, in the manner and with the effect provided in the Indenture. At any time after such declaration of acceleration or automatic acceleration with respect to the Notes has been made or has occurred, but before a judgment or decree for payment of money has been obtained by the Trustee as provided in the Indenture, if all Events of Default with respect to the Notes have been cured or waived (other than the non-payment of principal of the Notes which has become due solely by reason of such declaration of acceleration or automatic acceleration) and certain other conditions have been complied with, then and in every such case, the Holders of a majority in aggregate principal amount of the Outstanding Notes may, by written notice to the Company and to the Trustee, rescind and annul such declaration or automatic acceleration and its consequences on behalf of all of the Holders of Notes, but no such rescission or annulment shall extend to or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Note shall not have the right to institute any proceeding, judicial or otherwise, with respect to the Indenture, or for the appointment of a receiver or trustee or for any other remedy thereunder, unless (a) such Holder shall have previously given the Trustee written notice of a continuing Event of Default with respect to the Notes, (b) (i) in the case of an Event of Default specified in clause (1), (2), (5) or (6) of Section 501 of the Indenture, Holders of not less than 25%, or (ii) in the case of an Event of Default specified in clause (3) or (4) of Section 501 of the Indenture,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not less than a majority, in aggregate principal amount of the Outstanding Notes shall have made written request to the Trustee to institute proceedings in respect of such Event of Default in its own name as Trustee hereunder, (c) such Holders shall have offered the Trustee indemnity satisfactory to the Trustee against the costs, expenses and liabilities to be incurred in compliance with such request, (d) for 60 days after its receipt of such notice, the Trustee shall not have received from the Holders of a majority in principal amount of the Notes at the time Outstanding under the Indenture a direction inconsistent with such request, and (e) the Trustee for 60 days after its receipt of such notice, request and offer of indemnity shall have failed to institute any such proceeding. The foregoing shall not apply to certain suits described in the Indenture, including any suit instituted by the Holder of this Note for the enforcement of any payment of principal hereof or any premium or interest hereon on or after the respective due dates expressed or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NONIMPAIRMENT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premium, if any) and interest, if any, on this Note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AND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SUCCESSOR OBLIGORS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 successor assumes all the obligations of its predecessor under the Notes and the Indenture in accordance with the terms of the Indenture, the predecessor will be released from those obligations, except in the case of a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Notes and may otherwise deal with the Company, its Subsidiaries or their respective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will not be valid until authenticated by the manual, facsimile or electronic signature of the Trustee or an Authenticating Agent (provided any such electronic signature is a true representation of the signer’s actual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owners of the Company’s Capital Stock and the Company’s incorporators, directors and officers will not be liable for the Company’s obligations under the Notes, the Indenture or for any claim based on, or in respect of, such obligations. By accepting a Note, each Holder of that Note will have agreed to Section 117 of the Base Indenture and waived and released any such liability on the part of the owners of the Company’s Capital Stock and the Company’s incorporators, directors and officers.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Note Identification Procedures, the Company will cause CUSIP numbers to be printed on the Notes as a convenience to the Holders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applicable to agreements made or instruments entered into and, in each case, performed in said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may be supplemented by an indenture or indentures supplemental to the Indenture with the consent of the Holders of not less than a majority in aggregate principal amount of the Notes affected by such supplemental indenture (including consents obtained in connection with a purchase of, or tender offer or exchange offer for, Notes) and any existing default or Event of Default with respect to the Notes may be waived with the consent of the Holders of not less than a majority in aggregate principal amount of the Outstanding Notes, except a continuing default in the payment of the principal of, or any premium or interest on the Notes, or in respect of a covenant or provision of the Indenture which cannot be modified or amended without the consent of the Holder of each Outstanding Note. Without the consent of any Holder of Notes, the Company and the Trustee, at any time and from time to time, may enter into one or more supplemental indentures as provided in the Indenture, subject to the exceptions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ADJUSTMENTS]4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2"/>
        <w:gridCol w:w="101"/>
        <w:gridCol w:w="2042"/>
        <w:gridCol w:w="101"/>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Adjustment</w:t>
              <w:br/>
              <w:t>Made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Increase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Decrease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Following Adjustment</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Notification Made on</w:t>
              <w:br/>
              <w:t>Behalf of the Trustee</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[Face of the Note] </w:t>
      </w:r>
    </w:p>
    <w:p>
      <w:pPr>
        <w:pStyle w:val="TextBody"/>
        <w:bidi w:val="0"/>
        <w:spacing w:before="240" w:after="0"/>
        <w:jc w:val="right"/>
        <w:rPr>
          <w:rFonts w:ascii="Times New Roman" w:hAnsi="Times New Roman"/>
          <w:sz w:val="20"/>
        </w:rPr>
      </w:pPr>
      <w:r>
        <w:rPr>
          <w:rFonts w:ascii="Times New Roman" w:hAnsi="Times New Roman"/>
          <w:sz w:val="20"/>
        </w:rPr>
        <w:t xml:space="preserve">CUSIP: 969457 CX6 </w:t>
      </w:r>
    </w:p>
    <w:p>
      <w:pPr>
        <w:pStyle w:val="TextBody"/>
        <w:bidi w:val="0"/>
        <w:spacing w:before="0" w:after="0"/>
        <w:jc w:val="right"/>
        <w:rPr>
          <w:rFonts w:ascii="Times New Roman" w:hAnsi="Times New Roman"/>
          <w:sz w:val="20"/>
        </w:rPr>
      </w:pPr>
      <w:r>
        <w:rPr>
          <w:rFonts w:ascii="Times New Roman" w:hAnsi="Times New Roman"/>
          <w:sz w:val="20"/>
        </w:rPr>
        <w:t xml:space="preserve">ISIN: US969457CX60 </w:t>
      </w:r>
    </w:p>
    <w:p>
      <w:pPr>
        <w:pStyle w:val="TextBody"/>
        <w:bidi w:val="0"/>
        <w:spacing w:before="240" w:after="0"/>
        <w:jc w:val="center"/>
        <w:rPr>
          <w:rFonts w:ascii="Times New Roman" w:hAnsi="Times New Roman"/>
          <w:sz w:val="20"/>
        </w:rPr>
      </w:pPr>
      <w:r>
        <w:rPr>
          <w:rFonts w:ascii="Times New Roman" w:hAnsi="Times New Roman"/>
          <w:sz w:val="20"/>
        </w:rPr>
        <w:t xml:space="preserve">5.600% Senior Note due 2033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4"/>
        <w:gridCol w:w="704"/>
        <w:gridCol w:w="7952"/>
        <w:gridCol w:w="704"/>
        <w:gridCol w:w="141"/>
      </w:tblGrid>
      <w:tr>
        <w:trPr/>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7952" w:type="dxa"/>
            <w:tcBorders/>
            <w:vAlign w:val="center"/>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704" w:type="dxa"/>
            <w:tcBorders/>
            <w:vAlign w:val="bottom"/>
          </w:tcPr>
          <w:p>
            <w:pPr>
              <w:pStyle w:val="TableContents"/>
              <w:bidi w:val="0"/>
              <w:spacing w:before="0" w:after="283"/>
              <w:jc w:val="left"/>
              <w:rPr/>
            </w:pPr>
            <w:r>
              <w:rPr/>
              <w:t>No._____</w:t>
            </w:r>
          </w:p>
        </w:tc>
        <w:tc>
          <w:tcPr>
            <w:tcW w:w="704" w:type="dxa"/>
            <w:tcBorders/>
            <w:vAlign w:val="bottom"/>
          </w:tcPr>
          <w:p>
            <w:pPr>
              <w:pStyle w:val="TableContents"/>
              <w:bidi w:val="0"/>
              <w:spacing w:before="0" w:after="283"/>
              <w:jc w:val="left"/>
              <w:rPr/>
            </w:pPr>
            <w:r>
              <w:rPr/>
              <w:t> </w:t>
            </w:r>
          </w:p>
        </w:tc>
        <w:tc>
          <w:tcPr>
            <w:tcW w:w="7952"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center"/>
              <w:rPr>
                <w:b/>
              </w:rPr>
            </w:pPr>
            <w:r>
              <w:rPr>
                <w:b/>
              </w:rPr>
              <w:t>$_______________</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Co.]5 or registered assigns, the principal sum of _________________________ DOLLARS [or such greater or lesser amount as is indicated on the Schedule of Adjustments attached hereto]6 on September 15, 2033 (the “</w:t>
      </w:r>
      <w:r>
        <w:rPr>
          <w:rFonts w:ascii="Times New Roman" w:hAnsi="Times New Roman"/>
          <w:sz w:val="20"/>
          <w:u w:val="single"/>
        </w:rPr>
        <w:t>Stated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127"/>
        <w:gridCol w:w="2635"/>
      </w:tblGrid>
      <w:tr>
        <w:trPr/>
        <w:tc>
          <w:tcPr>
            <w:tcW w:w="1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WILLIAMS COMPANIES, INC.</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635" w:type="dxa"/>
            <w:tcBorders>
              <w:bottom w:val="single" w:sz="2" w:space="0" w:color="000000"/>
            </w:tcBorders>
            <w:tcMar>
              <w:bottom w:w="28" w:type="dxa"/>
            </w:tcMar>
          </w:tcPr>
          <w:p>
            <w:pPr>
              <w:pStyle w:val="TableContents"/>
              <w:bidi w:val="0"/>
              <w:spacing w:before="0" w:after="283"/>
              <w:jc w:val="left"/>
              <w:rPr/>
            </w:pPr>
            <w:r>
              <w:rPr/>
              <w:t> </w:t>
            </w:r>
          </w:p>
        </w:tc>
      </w:tr>
      <w:tr>
        <w:trPr/>
        <w:tc>
          <w:tcPr>
            <w:tcW w:w="1320"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75"/>
        <w:gridCol w:w="60"/>
        <w:gridCol w:w="3547"/>
      </w:tblGrid>
      <w:tr>
        <w:trPr/>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475" w:type="dxa"/>
            <w:tcBorders/>
            <w:vAlign w:val="center"/>
          </w:tcPr>
          <w:p>
            <w:pPr>
              <w:pStyle w:val="TableContents"/>
              <w:bidi w:val="0"/>
              <w:spacing w:before="0" w:after="283"/>
              <w:jc w:val="left"/>
              <w:rPr>
                <w:sz w:val="4"/>
                <w:szCs w:val="4"/>
              </w:rPr>
            </w:pPr>
            <w:r>
              <w:rPr>
                <w:sz w:val="4"/>
                <w:szCs w:val="4"/>
              </w:rPr>
            </w:r>
          </w:p>
        </w:tc>
        <w:tc>
          <w:tcPr>
            <w:tcW w:w="3607" w:type="dxa"/>
            <w:gridSpan w:val="2"/>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47" w:type="dxa"/>
            <w:tcBorders>
              <w:bottom w:val="single" w:sz="2" w:space="0" w:color="000000"/>
            </w:tcBorders>
            <w:tcMar>
              <w:bottom w:w="28" w:type="dxa"/>
            </w:tcMar>
          </w:tcPr>
          <w:p>
            <w:pPr>
              <w:pStyle w:val="TableContents"/>
              <w:bidi w:val="0"/>
              <w:spacing w:before="0" w:after="283"/>
              <w:jc w:val="left"/>
              <w:rPr/>
            </w:pPr>
            <w:r>
              <w:rPr/>
              <w:t> </w:t>
            </w:r>
          </w:p>
        </w:tc>
      </w:tr>
      <w:tr>
        <w:trPr/>
        <w:tc>
          <w:tcPr>
            <w:tcW w:w="4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47"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SECURITY IS PRESENTED BY AN AUTHORIZED REPRESENTATIVE OF THE DEPOSITORY TRUST COMPANY, A NEW YORK CORPORATION (“DTC”), TO THE WILLIAMS COMPANIES,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HEREIN.]7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the Note] </w:t>
      </w:r>
    </w:p>
    <w:p>
      <w:pPr>
        <w:pStyle w:val="TextBody"/>
        <w:bidi w:val="0"/>
        <w:spacing w:before="12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5.600% Senior Note due 2033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(the “</w:t>
      </w:r>
      <w:r>
        <w:rPr>
          <w:rFonts w:ascii="Times New Roman" w:hAnsi="Times New Roman"/>
          <w:sz w:val="20"/>
          <w:u w:val="single"/>
        </w:rPr>
        <w:t>Securities</w:t>
      </w:r>
      <w:r>
        <w:rPr>
          <w:rFonts w:ascii="Times New Roman" w:hAnsi="Times New Roman"/>
          <w:sz w:val="20"/>
        </w:rPr>
        <w:t>”) of The Williams Companies, Inc. (the “</w:t>
      </w:r>
      <w:r>
        <w:rPr>
          <w:rFonts w:ascii="Times New Roman" w:hAnsi="Times New Roman"/>
          <w:sz w:val="20"/>
          <w:u w:val="single"/>
        </w:rPr>
        <w:t>Company</w:t>
      </w:r>
      <w:r>
        <w:rPr>
          <w:rFonts w:ascii="Times New Roman" w:hAnsi="Times New Roman"/>
          <w:sz w:val="20"/>
        </w:rPr>
        <w:t>,” which term includes any successor Person under the Base Indenture hereinafter referred to), issued and issuable in one or more series under an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which term includes any successor trustee under the Base Indenture), to which Base Indenture and all indentures supplemental thereto reference is hereby made for a statement of the respective rights, limitation of rights, duties and immunities thereunder of the Company, the Trustee and the Holders of the Securities issued thereunder and of the terms upon which said Securities are, and are to be, authenticated and delivered. This Note is one of the series designated on the face hereof as 5.600% Senior Notes due 2033 (the “</w:t>
      </w:r>
      <w:r>
        <w:rPr>
          <w:rFonts w:ascii="Times New Roman" w:hAnsi="Times New Roman"/>
          <w:sz w:val="20"/>
          <w:u w:val="single"/>
        </w:rPr>
        <w:t>Notes</w:t>
      </w:r>
      <w:r>
        <w:rPr>
          <w:rFonts w:ascii="Times New Roman" w:hAnsi="Times New Roman"/>
          <w:sz w:val="20"/>
        </w:rPr>
        <w:t>”) which was issued under the Fourteenth Supplemental Indenture to the Base Indenture dated as of September 10, 2026 (the “</w:t>
      </w:r>
      <w:r>
        <w:rPr>
          <w:rFonts w:ascii="Times New Roman" w:hAnsi="Times New Roman"/>
          <w:sz w:val="20"/>
          <w:u w:val="single"/>
        </w:rPr>
        <w:t>Supplemental Indenture</w:t>
      </w:r>
      <w:r>
        <w:rPr>
          <w:rFonts w:ascii="Times New Roman" w:hAnsi="Times New Roman"/>
          <w:sz w:val="20"/>
        </w:rPr>
        <w:t>,” together with the Base Indenture, the “</w:t>
      </w:r>
      <w:r>
        <w:rPr>
          <w:rFonts w:ascii="Times New Roman" w:hAnsi="Times New Roman"/>
          <w:sz w:val="20"/>
          <w:u w:val="single"/>
        </w:rPr>
        <w:t>Indenture</w:t>
      </w:r>
      <w:r>
        <w:rPr>
          <w:rFonts w:ascii="Times New Roman" w:hAnsi="Times New Roman"/>
          <w:sz w:val="20"/>
        </w:rPr>
        <w:t xml:space="preserve">”) and which is initially limited to $1,000,000,000 in principal amount. Capitalized terms used herein for which no definition is provided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The Company promises to pay interest on the principal amount of this Note at the rate of 5.600% per annum from [</w:t>
      </w:r>
      <w:r>
        <w:rPr>
          <w:rFonts w:ascii="Times New Roman" w:hAnsi="Times New Roman"/>
          <w:i/>
          <w:sz w:val="20"/>
        </w:rPr>
        <w:t xml:space="preserve">Insert for Initial Notes </w:t>
      </w:r>
      <w:r>
        <w:rPr>
          <w:rFonts w:ascii="Times New Roman" w:hAnsi="Times New Roman"/>
          <w:sz w:val="20"/>
        </w:rPr>
        <w:t>“September 10, 2026”] until the Stated Maturity, unless earlier repurchased, redeemed or otherwise cancelled. The Company will pay interest semiannually on March 15 and September 15 of each year (each an “</w:t>
      </w:r>
      <w:r>
        <w:rPr>
          <w:rFonts w:ascii="Times New Roman" w:hAnsi="Times New Roman"/>
          <w:sz w:val="20"/>
          <w:u w:val="single"/>
        </w:rPr>
        <w:t>Interest Payment Date</w:t>
      </w:r>
      <w:r>
        <w:rPr>
          <w:rFonts w:ascii="Times New Roman" w:hAnsi="Times New Roman"/>
          <w:sz w:val="20"/>
        </w:rPr>
        <w:t>”). Interest on the Notes will accrue from the most recent Interest Payment Date on which interest has been paid or duly provided for or, if no interest has been paid or duly provided for, from [</w:t>
      </w:r>
      <w:r>
        <w:rPr>
          <w:rFonts w:ascii="Times New Roman" w:hAnsi="Times New Roman"/>
          <w:i/>
          <w:sz w:val="20"/>
        </w:rPr>
        <w:t xml:space="preserve">Insert for Initial Notes </w:t>
      </w:r>
      <w:r>
        <w:rPr>
          <w:rFonts w:ascii="Times New Roman" w:hAnsi="Times New Roman"/>
          <w:sz w:val="20"/>
        </w:rPr>
        <w:t xml:space="preserve">“September 10, 2026”]; </w:t>
      </w:r>
      <w:r>
        <w:rPr>
          <w:rFonts w:ascii="Times New Roman" w:hAnsi="Times New Roman"/>
          <w:sz w:val="20"/>
          <w:u w:val="single"/>
        </w:rPr>
        <w:t>provided</w:t>
      </w:r>
      <w:r>
        <w:rPr>
          <w:rFonts w:ascii="Times New Roman" w:hAnsi="Times New Roman"/>
          <w:sz w:val="20"/>
        </w:rPr>
        <w:t xml:space="preserve"> that if there is no existing default in the payment of interest, and if this Note is authenticated between a regular record date set forth on the face hereof (each a “</w:t>
      </w:r>
      <w:r>
        <w:rPr>
          <w:rFonts w:ascii="Times New Roman" w:hAnsi="Times New Roman"/>
          <w:sz w:val="20"/>
          <w:u w:val="single"/>
        </w:rPr>
        <w:t>Regular Record Date</w:t>
      </w:r>
      <w:r>
        <w:rPr>
          <w:rFonts w:ascii="Times New Roman" w:hAnsi="Times New Roman"/>
          <w:sz w:val="20"/>
        </w:rPr>
        <w:t xml:space="preserve">”) and the next succeeding Interest Payment Date, interest shall accrue from such next succeeding Interest 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first Interest Payment Date shall be [</w:t>
      </w:r>
      <w:r>
        <w:rPr>
          <w:rFonts w:ascii="Times New Roman" w:hAnsi="Times New Roman"/>
          <w:i/>
          <w:sz w:val="20"/>
        </w:rPr>
        <w:t xml:space="preserve">Insert for Initial Notes </w:t>
      </w:r>
      <w:r>
        <w:rPr>
          <w:rFonts w:ascii="Times New Roman" w:hAnsi="Times New Roman"/>
          <w:sz w:val="20"/>
        </w:rPr>
        <w:t>“March 15, 2027”] and interest accrued from [</w:t>
      </w:r>
      <w:r>
        <w:rPr>
          <w:rFonts w:ascii="Times New Roman" w:hAnsi="Times New Roman"/>
          <w:i/>
          <w:sz w:val="20"/>
        </w:rPr>
        <w:t xml:space="preserve">Insert for Initial Notes </w:t>
      </w:r>
      <w:r>
        <w:rPr>
          <w:rFonts w:ascii="Times New Roman" w:hAnsi="Times New Roman"/>
          <w:sz w:val="20"/>
        </w:rPr>
        <w:t xml:space="preserve">“September 10, 2026”] shall be payable on such date. The interest so payable, and punctually paid or duly provided for, on any Interest Payment Date will, as provided in the Indenture, be paid to the Person in whose name this Note is registered at the close of business on the Regular Record Date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the Holders of the Notes not less than 10 days prior to such Special Record Date, or be paid at any time in any other lawful manner not inconsistent with the requirements of any securities exchange, if any, on which the Notes shall be listed, and upon such notice as may be required by any such exchange, all as more fully provided in the Indenture. Payments of interest on the Notes will include interest accrued to but excluding the respective Interest Payment 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shall pay interest on overdue principal and premium, if any, from time to time on demand at a rate of 5.600% per annum; it shall pay interest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the Stated Maturity or a Redemption Date falls on a day that is not a Business Day, the required payment of principal, premium, if any, and interest due on that date shall be made on the next succeeding Business Day as if made on the date that payment was due, and no interest shall accrue for the period from and after the Interest Payment Date, Stated Maturity or such Redemption Date, as the case may be, to the date of that payment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subject to redemption upon at least 10 days but not more than 60 days’ notice to the Holders of the Notes to be redeemed as provided in the Indenture, at any time or from time to time prior to the Par Call Date, in whole or in part, at the election of the Company, at a Redemption Price, as calculated by the Company and expressed as a percentage of principal amount and rounded to three decimal places,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(b) interest accrued to the Redemption Date, and (ii) 100% of the principal amount of the Notes to be redeemed, plus, in either case, accrued and unpaid interest thereon, if any, to, but not including, the Redemption Date. In addition, the Notes are subject to redemption upon at least 10 days but not more than 60 days’ notice to the Holders of the Notes to be redeemed as provided in the Indenture, at any time on or after the Par Call Date, in whole or in part, at the election of the Company, at a Redemption Price, as calculated by the Company, equal to 100% of the principal amount of the Notes being redeemed plus accrued and unpaid interest thereon, if any, to, but not including, the Redemption Date. The notice of redemption shall be mailed or electronically delivered (or otherwise transmitted in accordance with the Depositary’s procedures) and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Notes are to be redeemed, selection of Notes for redemption will be made pro rata, by lot or by such other method as the Trustee in its sole discretion deems appropriate and fair, and, in the case of Global Notes, by the Depositary in accordance with the Depositary’s procedures and in the case of a Definitive Security, by the Trustee by pro rata or by lot. No Notes of a principal amount of $2,000 or less will be redeemed in part. Unless the Company defaults in payment of such Redemption Price, on and after the Redemption Date, the Notes or portions thereof called for redemption will cease to bear interest, and the Holders thereof will have no right in respect of such Notes except the right to receive the Redemption Price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of (a) the entire indebtedness of this Note and (b) certain restrictive covenants upon compliance by the Company with certain conditions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shall occur and be continuing, the principal of the Notes may be declared due and payable, or in the circumstances described in the Indenture, shall automatically become due and payable, in the manner and with the effect provided in the Indenture. At any time after such declaration of acceleration or automatic acceleration with respect to the Notes has been made or has occurred, but before a judgment or decree for payment of money has been obtained by the Trustee as provided in the Indenture, if all Events of Default with respect to the Notes have been cured or waived (other than the non-payment of principal of the Notes which has become due solely by reason of such declaration of acceleration or automatic acceleration) and certain other conditions have been complied with, then and in every such case, the Holders of a majority in aggregate principal amount of the Outstanding Notes may, by written notice to the Company and to the Trustee, rescind and annul such declaration or automatic acceleration and its consequences on behalf of all of the Holders of Notes, but no such rescission or annulment shall extend to or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Note shall not have the right to institute any proceeding, judicial or otherwise, with respect to the Indenture, or for the appointment of a receiver or trustee or for any other remedy thereunder, unless (a) such Holder shall have previously given the Trustee written notice of a continuing Event of Default with respect to the Notes, (b) (i) in the case of an Event of Default specified in clause (1), (2), (5) or (6) of Section 501 of the Indenture, Holders of not less than 25%, or (ii) in the case of an Event of Default specified in clause (3) or (4) of Section 501 of the Indenture,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not less than a majority, in aggregate principal amount of the Outstanding Notes shall have made written request to the Trustee to institute proceedings in respect of such Event of Default in its own name as Trustee hereunder, (c) such Holders shall have offered the Trustee indemnity satisfactory to the Trustee against the costs, expenses and liabilities to be incurred in compliance with such request, (d) for 60 days after its receipt of such notice, the Trustee shall not have received from the Holders of a majority in principal amount of the Notes at the time Outstanding under the Indenture a direction inconsistent with such request, and (e) the Trustee for 60 days after its receipt of such notice, request and offer of indemnity shall have failed to institute any such proceeding. The foregoing shall not apply to certain suits described in the Indenture, including any suit instituted by the Holder of this Note for the enforcement of any payment of principal hereof or any premium or interest hereon on or after the respective due dates expressed or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NONIMPAIRMENT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premium, if any) and interest, if any, on this Note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AND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SUCCESSOR OBLIGORS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 successor assumes all the obligations of its predecessor under the Notes and the Indenture in accordance with the terms of the Indenture, the predecessor will be released from those obligations, except in the case of a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Notes and may otherwise deal with the Company, its Subsidiaries or their respective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will not be valid until authenticated by the manual, facsimile or electronic signature of the Trustee or an Authenticating Agent (provided any such electronic signature is a true representation of the signer’s actual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owners of the Company’s Capital Stock and the Company’s incorporators, directors and officers will not be liable for the Company’s obligations under the Notes, the Indenture or for any claim based on, or in respect of, such obligations. By accepting a Note, each Holder of that Note will have agreed to Section 117 of the Base Indenture and waived and released any such liability on the part of the owners of the Company’s Capital Stock and the Company’s incorporators, directors and officers.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Note Identification Procedures, the Company will cause CUSIP numbers to be printed on the Notes as a convenience to the Holders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applicable to agreements made or instruments entered into and, in each case, performed in said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may be supplemented by an indenture or indentures supplemental to the Indenture with the consent of the Holders of not less than a majority in aggregate principal amount of the Notes affected by such supplemental indenture (including consents obtained in connection with a purchase of, or tender offer or exchange offer for, Notes) and any existing default or Event of Default with respect to the Notes may be waived with the consent of the Holders of not less than a majority in aggregate principal amount of the Outstanding Notes, except a continuing default in the payment of the principal of, or any premium or interest on the Notes, or in respect of a covenant or provision of the Indenture which cannot be modified or amended without the consent of the Holder of each Outstanding Note. Without the consent of any Holder of Notes, the Company and the Trustee, at any time and from time to time, may enter into one or more supplemental indentures as provided in the Indenture, subject to the exceptions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ADJUSTMENTS]8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2"/>
        <w:gridCol w:w="101"/>
        <w:gridCol w:w="2042"/>
        <w:gridCol w:w="101"/>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Adjustment</w:t>
              <w:br/>
              <w:t>Made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Increase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Decrease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Following Adjustment</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Notification Made on</w:t>
              <w:br/>
              <w:t>Behalf of the Trustee</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[Face of the Note] </w:t>
      </w:r>
    </w:p>
    <w:p>
      <w:pPr>
        <w:pStyle w:val="TextBody"/>
        <w:bidi w:val="0"/>
        <w:spacing w:before="240" w:after="0"/>
        <w:jc w:val="right"/>
        <w:rPr>
          <w:rFonts w:ascii="Times New Roman" w:hAnsi="Times New Roman"/>
          <w:sz w:val="20"/>
        </w:rPr>
      </w:pPr>
      <w:r>
        <w:rPr>
          <w:rFonts w:ascii="Times New Roman" w:hAnsi="Times New Roman"/>
          <w:sz w:val="20"/>
        </w:rPr>
        <w:t xml:space="preserve">CUSIP: 969457 CY4 </w:t>
      </w:r>
    </w:p>
    <w:p>
      <w:pPr>
        <w:pStyle w:val="TextBody"/>
        <w:bidi w:val="0"/>
        <w:spacing w:before="0" w:after="0"/>
        <w:jc w:val="right"/>
        <w:rPr>
          <w:rFonts w:ascii="Times New Roman" w:hAnsi="Times New Roman"/>
          <w:sz w:val="20"/>
        </w:rPr>
      </w:pPr>
      <w:r>
        <w:rPr>
          <w:rFonts w:ascii="Times New Roman" w:hAnsi="Times New Roman"/>
          <w:sz w:val="20"/>
        </w:rPr>
        <w:t xml:space="preserve">ISIN: US969457CY44 </w:t>
      </w:r>
    </w:p>
    <w:p>
      <w:pPr>
        <w:pStyle w:val="TextBody"/>
        <w:bidi w:val="0"/>
        <w:spacing w:before="240" w:after="0"/>
        <w:jc w:val="center"/>
        <w:rPr>
          <w:rFonts w:ascii="Times New Roman" w:hAnsi="Times New Roman"/>
          <w:sz w:val="20"/>
        </w:rPr>
      </w:pPr>
      <w:r>
        <w:rPr>
          <w:rFonts w:ascii="Times New Roman" w:hAnsi="Times New Roman"/>
          <w:sz w:val="20"/>
        </w:rPr>
        <w:t xml:space="preserve">5.800% Senior Note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31"/>
        <w:gridCol w:w="701"/>
        <w:gridCol w:w="4331"/>
        <w:gridCol w:w="701"/>
        <w:gridCol w:w="141"/>
      </w:tblGrid>
      <w:tr>
        <w:trPr/>
        <w:tc>
          <w:tcPr>
            <w:tcW w:w="4331"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4331"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4331" w:type="dxa"/>
            <w:tcBorders/>
            <w:vAlign w:val="bottom"/>
          </w:tcPr>
          <w:p>
            <w:pPr>
              <w:pStyle w:val="TableContents"/>
              <w:bidi w:val="0"/>
              <w:spacing w:before="0" w:after="283"/>
              <w:jc w:val="left"/>
              <w:rPr>
                <w:b/>
              </w:rPr>
            </w:pPr>
            <w:r>
              <w:rPr>
                <w:b/>
              </w:rPr>
              <w:t>No. _____</w:t>
            </w:r>
          </w:p>
        </w:tc>
        <w:tc>
          <w:tcPr>
            <w:tcW w:w="701" w:type="dxa"/>
            <w:tcBorders/>
            <w:vAlign w:val="bottom"/>
          </w:tcPr>
          <w:p>
            <w:pPr>
              <w:pStyle w:val="TableContents"/>
              <w:bidi w:val="0"/>
              <w:spacing w:before="0" w:after="283"/>
              <w:jc w:val="left"/>
              <w:rPr/>
            </w:pPr>
            <w:r>
              <w:rPr/>
              <w:t> </w:t>
            </w:r>
          </w:p>
        </w:tc>
        <w:tc>
          <w:tcPr>
            <w:tcW w:w="4331"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center"/>
              <w:rPr>
                <w:b/>
              </w:rPr>
            </w:pPr>
            <w:r>
              <w:rPr>
                <w:b/>
              </w:rPr>
              <w:t>$_______________</w:t>
            </w:r>
          </w:p>
        </w:tc>
      </w:tr>
    </w:tbl>
    <w:p>
      <w:pPr>
        <w:pStyle w:val="TextBody"/>
        <w:bidi w:val="0"/>
        <w:spacing w:before="48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Co.]9 or registered assigns, the principal sum of _________________________ DOLLARS [or such greater or lesser amount as is indicated on the Schedule of Adjustments attached hereto]10 on September 15, 2036 (the “</w:t>
      </w:r>
      <w:r>
        <w:rPr>
          <w:rFonts w:ascii="Times New Roman" w:hAnsi="Times New Roman"/>
          <w:sz w:val="20"/>
          <w:u w:val="single"/>
        </w:rPr>
        <w:t>Stated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0"/>
        <w:gridCol w:w="127"/>
        <w:gridCol w:w="2635"/>
      </w:tblGrid>
      <w:tr>
        <w:trPr/>
        <w:tc>
          <w:tcPr>
            <w:tcW w:w="13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WILLIAMS COMPANIES, INC.</w:t>
            </w:r>
          </w:p>
        </w:tc>
      </w:tr>
      <w:tr>
        <w:trPr>
          <w:trHeight w:val="240" w:hRule="atLeast"/>
        </w:trPr>
        <w:tc>
          <w:tcPr>
            <w:tcW w:w="1320" w:type="dxa"/>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2635" w:type="dxa"/>
            <w:tcBorders>
              <w:bottom w:val="single" w:sz="2" w:space="0" w:color="000000"/>
            </w:tcBorders>
            <w:tcMar>
              <w:bottom w:w="28" w:type="dxa"/>
            </w:tcMar>
          </w:tcPr>
          <w:p>
            <w:pPr>
              <w:pStyle w:val="TableContents"/>
              <w:bidi w:val="0"/>
              <w:spacing w:before="0" w:after="283"/>
              <w:jc w:val="left"/>
              <w:rPr/>
            </w:pPr>
            <w:r>
              <w:rPr/>
              <w:t> </w:t>
            </w:r>
          </w:p>
        </w:tc>
      </w:tr>
      <w:tr>
        <w:trPr/>
        <w:tc>
          <w:tcPr>
            <w:tcW w:w="1320" w:type="dxa"/>
            <w:tcBorders/>
          </w:tcPr>
          <w:p>
            <w:pPr>
              <w:pStyle w:val="TableContents"/>
              <w:bidi w:val="0"/>
              <w:spacing w:before="0" w:after="283"/>
              <w:jc w:val="left"/>
              <w:rPr/>
            </w:pPr>
            <w:r>
              <w:rPr/>
              <w:t>Name:</w:t>
            </w:r>
          </w:p>
        </w:tc>
        <w:tc>
          <w:tcPr>
            <w:tcW w:w="127" w:type="dxa"/>
            <w:tcBorders/>
            <w:vAlign w:val="bottom"/>
          </w:tcPr>
          <w:p>
            <w:pPr>
              <w:pStyle w:val="TableContents"/>
              <w:bidi w:val="0"/>
              <w:spacing w:before="0" w:after="283"/>
              <w:jc w:val="left"/>
              <w:rPr/>
            </w:pPr>
            <w:r>
              <w:rPr/>
              <w:t> </w:t>
            </w:r>
          </w:p>
        </w:tc>
        <w:tc>
          <w:tcPr>
            <w:tcW w:w="2635" w:type="dxa"/>
            <w:tcBorders/>
          </w:tcPr>
          <w:p>
            <w:pPr>
              <w:pStyle w:val="TableContents"/>
              <w:bidi w:val="0"/>
              <w:spacing w:before="0" w:after="283"/>
              <w:jc w:val="left"/>
              <w:rPr>
                <w:sz w:val="4"/>
                <w:szCs w:val="4"/>
              </w:rPr>
            </w:pPr>
            <w:r>
              <w:rPr>
                <w:sz w:val="4"/>
                <w:szCs w:val="4"/>
              </w:rPr>
            </w:r>
          </w:p>
        </w:tc>
      </w:tr>
      <w:tr>
        <w:trPr/>
        <w:tc>
          <w:tcPr>
            <w:tcW w:w="1320" w:type="dxa"/>
            <w:tcBorders/>
          </w:tcPr>
          <w:p>
            <w:pPr>
              <w:pStyle w:val="TableContents"/>
              <w:bidi w:val="0"/>
              <w:spacing w:before="0" w:after="283"/>
              <w:jc w:val="left"/>
              <w:rPr/>
            </w:pPr>
            <w:r>
              <w:rPr/>
              <w:t>Title:</w:t>
            </w:r>
          </w:p>
        </w:tc>
        <w:tc>
          <w:tcPr>
            <w:tcW w:w="127" w:type="dxa"/>
            <w:tcBorders/>
            <w:vAlign w:val="bottom"/>
          </w:tcPr>
          <w:p>
            <w:pPr>
              <w:pStyle w:val="TableContents"/>
              <w:bidi w:val="0"/>
              <w:spacing w:before="0" w:after="283"/>
              <w:jc w:val="left"/>
              <w:rPr/>
            </w:pPr>
            <w:r>
              <w:rPr/>
              <w:t> </w:t>
            </w:r>
          </w:p>
        </w:tc>
        <w:tc>
          <w:tcPr>
            <w:tcW w:w="2635"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This is one of the Notes referred to</w:t>
            </w:r>
          </w:p>
          <w:p>
            <w:pPr>
              <w:pStyle w:val="TableContents"/>
              <w:bidi w:val="0"/>
              <w:spacing w:before="0" w:after="20"/>
              <w:jc w:val="left"/>
              <w:rPr>
                <w:rFonts w:ascii="Times New Roman" w:hAnsi="Times New Roman"/>
                <w:sz w:val="20"/>
              </w:rPr>
            </w:pPr>
            <w:r>
              <w:rPr>
                <w:rFonts w:ascii="Times New Roman" w:hAnsi="Times New Roman"/>
                <w:sz w:val="20"/>
              </w:rPr>
              <w:t>in the within-mentioned Indenture: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8"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SECURITY IS PRESENTED BY AN AUTHORIZED REPRESENTATIVE OF THE DEPOSITORY TRUST COMPANY, A NEW YORK CORPORATION (“DTC”), TO THE WILLIAMS COMPANIES,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HEREIN.]11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the Note] </w:t>
      </w:r>
    </w:p>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5.800% Senior Note due 2036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(the “</w:t>
      </w:r>
      <w:r>
        <w:rPr>
          <w:rFonts w:ascii="Times New Roman" w:hAnsi="Times New Roman"/>
          <w:sz w:val="20"/>
          <w:u w:val="single"/>
        </w:rPr>
        <w:t>Securities</w:t>
      </w:r>
      <w:r>
        <w:rPr>
          <w:rFonts w:ascii="Times New Roman" w:hAnsi="Times New Roman"/>
          <w:sz w:val="20"/>
        </w:rPr>
        <w:t>”) of The Williams Companies, Inc. (the “</w:t>
      </w:r>
      <w:r>
        <w:rPr>
          <w:rFonts w:ascii="Times New Roman" w:hAnsi="Times New Roman"/>
          <w:sz w:val="20"/>
          <w:u w:val="single"/>
        </w:rPr>
        <w:t>Company</w:t>
      </w:r>
      <w:r>
        <w:rPr>
          <w:rFonts w:ascii="Times New Roman" w:hAnsi="Times New Roman"/>
          <w:sz w:val="20"/>
        </w:rPr>
        <w:t>,” which term includes any successor Person under the Base Indenture hereinafter referred to), issued and issuable in one or more series under an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which term includes any successor trustee under the Base Indenture), to which Base Indenture and all indentures supplemental thereto reference is hereby made for a statement of the respective rights, limitation of rights, duties and immunities thereunder of the Company, the Trustee and the Holders of the Securities issued thereunder and of the terms upon which said Securities are, and are to be, authenticated and delivered. This Note is one of the series designated on the face hereof as 5.800% Senior Notes due 2036 (the “</w:t>
      </w:r>
      <w:r>
        <w:rPr>
          <w:rFonts w:ascii="Times New Roman" w:hAnsi="Times New Roman"/>
          <w:sz w:val="20"/>
          <w:u w:val="single"/>
        </w:rPr>
        <w:t>Notes</w:t>
      </w:r>
      <w:r>
        <w:rPr>
          <w:rFonts w:ascii="Times New Roman" w:hAnsi="Times New Roman"/>
          <w:sz w:val="20"/>
        </w:rPr>
        <w:t>”) which was issued under the Fourteenth Supplemental Indenture to the Base Indenture dated as of September 10, 2026 (the “</w:t>
      </w:r>
      <w:r>
        <w:rPr>
          <w:rFonts w:ascii="Times New Roman" w:hAnsi="Times New Roman"/>
          <w:sz w:val="20"/>
          <w:u w:val="single"/>
        </w:rPr>
        <w:t>Supplemental Indenture</w:t>
      </w:r>
      <w:r>
        <w:rPr>
          <w:rFonts w:ascii="Times New Roman" w:hAnsi="Times New Roman"/>
          <w:sz w:val="20"/>
        </w:rPr>
        <w:t>,” together with the Base Indenture, the “</w:t>
      </w:r>
      <w:r>
        <w:rPr>
          <w:rFonts w:ascii="Times New Roman" w:hAnsi="Times New Roman"/>
          <w:sz w:val="20"/>
          <w:u w:val="single"/>
        </w:rPr>
        <w:t>Indenture</w:t>
      </w:r>
      <w:r>
        <w:rPr>
          <w:rFonts w:ascii="Times New Roman" w:hAnsi="Times New Roman"/>
          <w:sz w:val="20"/>
        </w:rPr>
        <w:t xml:space="preserve">”) and which is initially limited to $750,000,000 in principal amount. Capitalized terms used herein for which no definition is provided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The Company promises to pay interest on the principal amount of this Note at the rate of 5.800% per annum from [</w:t>
      </w:r>
      <w:r>
        <w:rPr>
          <w:rFonts w:ascii="Times New Roman" w:hAnsi="Times New Roman"/>
          <w:i/>
          <w:sz w:val="20"/>
        </w:rPr>
        <w:t xml:space="preserve">Insert for Initial Notes </w:t>
      </w:r>
      <w:r>
        <w:rPr>
          <w:rFonts w:ascii="Times New Roman" w:hAnsi="Times New Roman"/>
          <w:sz w:val="20"/>
        </w:rPr>
        <w:t>“September 10, 2026”] until the Stated Maturity, unless earlier repurchased, redeemed or otherwise cancelled. The Company will pay interest semiannually on March 15 and September 15 of each year (each an “</w:t>
      </w:r>
      <w:r>
        <w:rPr>
          <w:rFonts w:ascii="Times New Roman" w:hAnsi="Times New Roman"/>
          <w:sz w:val="20"/>
          <w:u w:val="single"/>
        </w:rPr>
        <w:t>Interest Payment Date</w:t>
      </w:r>
      <w:r>
        <w:rPr>
          <w:rFonts w:ascii="Times New Roman" w:hAnsi="Times New Roman"/>
          <w:sz w:val="20"/>
        </w:rPr>
        <w:t>”). Interest on the Notes will accrue from the most recent Interest Payment Date on which interest has been paid or duly provided for or, if no interest has been paid or duly provided for, from [</w:t>
      </w:r>
      <w:r>
        <w:rPr>
          <w:rFonts w:ascii="Times New Roman" w:hAnsi="Times New Roman"/>
          <w:i/>
          <w:sz w:val="20"/>
        </w:rPr>
        <w:t xml:space="preserve">Insert for Initial Notes </w:t>
      </w:r>
      <w:r>
        <w:rPr>
          <w:rFonts w:ascii="Times New Roman" w:hAnsi="Times New Roman"/>
          <w:sz w:val="20"/>
        </w:rPr>
        <w:t xml:space="preserve">“September 10, 2026”]; </w:t>
      </w:r>
      <w:r>
        <w:rPr>
          <w:rFonts w:ascii="Times New Roman" w:hAnsi="Times New Roman"/>
          <w:sz w:val="20"/>
          <w:u w:val="single"/>
        </w:rPr>
        <w:t>provided</w:t>
      </w:r>
      <w:r>
        <w:rPr>
          <w:rFonts w:ascii="Times New Roman" w:hAnsi="Times New Roman"/>
          <w:sz w:val="20"/>
        </w:rPr>
        <w:t xml:space="preserve"> that if there is no existing default in the payment of interest, and if this Note is authenticated between a regular record date set forth on the face hereof (each a “</w:t>
      </w:r>
      <w:r>
        <w:rPr>
          <w:rFonts w:ascii="Times New Roman" w:hAnsi="Times New Roman"/>
          <w:sz w:val="20"/>
          <w:u w:val="single"/>
        </w:rPr>
        <w:t>Regular Record Date</w:t>
      </w:r>
      <w:r>
        <w:rPr>
          <w:rFonts w:ascii="Times New Roman" w:hAnsi="Times New Roman"/>
          <w:sz w:val="20"/>
        </w:rPr>
        <w:t xml:space="preserve">”) and the next succeeding Interest Payment Date, interest shall accrue from such next succeeding Interest 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first Interest Payment Date shall be [</w:t>
      </w:r>
      <w:r>
        <w:rPr>
          <w:rFonts w:ascii="Times New Roman" w:hAnsi="Times New Roman"/>
          <w:i/>
          <w:sz w:val="20"/>
        </w:rPr>
        <w:t xml:space="preserve">Insert for Initial Notes </w:t>
      </w:r>
      <w:r>
        <w:rPr>
          <w:rFonts w:ascii="Times New Roman" w:hAnsi="Times New Roman"/>
          <w:sz w:val="20"/>
        </w:rPr>
        <w:t>“March 15, 2027”] and interest accrued from [</w:t>
      </w:r>
      <w:r>
        <w:rPr>
          <w:rFonts w:ascii="Times New Roman" w:hAnsi="Times New Roman"/>
          <w:i/>
          <w:sz w:val="20"/>
        </w:rPr>
        <w:t xml:space="preserve">Insert for Initial Notes </w:t>
      </w:r>
      <w:r>
        <w:rPr>
          <w:rFonts w:ascii="Times New Roman" w:hAnsi="Times New Roman"/>
          <w:sz w:val="20"/>
        </w:rPr>
        <w:t xml:space="preserve">“September 10, 2026”] shall be payable on such date. The interest so payable, and punctually paid or duly provided for, on any Interest Payment Date will, as provided in the Indenture, be paid to the Person in whose name this Note is registered at the close of business on the Regular Record Date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the Holders of the Notes not less than 10 days prior to such Special Record Date, or be paid at any time in any other lawful manner not inconsistent with the requirements of any securities exchange, if any, on which the Notes shall be listed, and upon such notice as may be required by any such exchange, all as more fully provided in the Indenture. Payments of interest on the Notes will include interest accrued to but excluding the respective Interest Payment 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shall pay interest on overdue principal and premium, if any, from time to time on demand at a rate of 5.800% per annum; it shall pay interest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the Stated Maturity or a Redemption Date falls on a day that is not a Business Day, the required payment of principal, premium, if any, and interest due on that date shall be made on the next succeeding Business Day as if made on the date that payment was due, and no interest shall accrue for the period from and after the Interest Payment Date, Stated Maturity or such Redemption Date, as the case may be, to the date of that payment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subject to redemption upon at least 10 days but not more than 60 days’ notice to the Holders of the Notes to be redeemed as provided in the Indenture, at any time or from time to time prior to the Par Call Date, in whole or in part, at the election of the Company, at a Redemption Price, as calculated by the Company and expressed as a percentage of principal amount and rounded to three decimal places,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the Redemption Date, and (ii) 100% of the principal amount of the Notes to be redeemed, plus, in either case, accrued and unpaid interest thereon, if any, to, but not including, the Redemption Date. In addition, the Notes are subject to redemption upon at least 10 days but not more than 60 days’ notice to the Holders of the Notes to be redeemed as provided in the Indenture, at any time on or after the Par Call Date, in whole or in part, at the election of the Company, at a Redemption Price, as calculated by the Company, equal to 100% of the principal amount of the Notes being redeemed plus accrued and unpaid interest thereon, if any, to, but not including, the Redemption Date. The notice of redemption shall be mailed or electronically delivered (or otherwise transmitted in accordance with the Depositary’s procedures) and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Notes are to be redeemed, selection of Notes for redemption will be made pro rata, by lot or by such other method as the Trustee in its sole discretion deems appropriate and fair, and, in the case of Global Notes, by the Depositary in accordance with the Depositary’s procedures and in the case of a Definitive Security, by the Trustee by pro rata or by lot. No Notes of a principal amount of $2,000 or less will be redeemed in part. Unless the Company defaults in payment of such Redemption Price, on and after the Redemption Date, the Notes or portions thereof called for redemption will cease to bear interest, and the Holders thereof will have no right in respect of such Notes except the right to receive the Redemption Price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of (a) the entire indebtedness of this Note and (b) certain restrictive covenants upon compliance by the Company with certain conditions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shall occur and be continuing, the principal of the Notes may be declared due and payable, or in the circumstances described in the Indenture, shall automatically become due and payable, in the manner and with the effect provided in the Indenture. At any time after such declaration of acceleration or automatic acceleration with respect to the Notes has been made or has occurred, but before a judgment or decree for payment of money has been obtained by the Trustee as provided in the Indenture, if all Events of Default with respect to the Notes have been cured or waived (other than the non-payment of principal of the Notes which has become due solely by reason of such declaration of acceleration or automatic acceleration) and certain other conditions have been complied with, then and in every such case, the Holders of a majority in aggregate principal amount of the Outstanding Notes may, by written notice to the Company and to the Trustee, rescind and annul such declaration or automatic acceleration and its consequences on behalf of all of the Holders of Notes, but no such rescission or annulment shall extend to or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Note shall not have the right to institute any proceeding, judicial or otherwise, with respect to the Indenture, or for the appointment of a receiver or trustee or for any other remedy thereunder, unless (a) such Holder shall have previously given the Trustee written notice of a continuing Event of Default with respect to the Notes, (b) (i) in the case of an Event of Default specified in clause (1), (2), (5) or (6) of Section 501 of the Indenture, Holders of not less than 25%, or (ii) in the case of an Event of Default specified in clause (3) or (4) of Section 501 of the Indenture,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not less than a majority, in aggregate principal amount of the Outstanding Notes shall have made written request to the Trustee to institute proceedings in respect of such Event of Default in its own name as Trustee hereunder, (c) such Holders shall have offered the Trustee indemnity satisfactory to the Trustee against the costs, expenses and liabilities to be incurred in compliance with such request, (d) for 60 days after its receipt of such notice, the Trustee shall not have received from the Holders of a majority in principal amount of the Notes at the time Outstanding under the Indenture a direction inconsistent with such request, and (e) the Trustee for 60 days after its receipt of such notice, request and offer of indemnity shall have failed to institute any such proceeding. The foregoing shall not apply to certain suits described in the Indenture, including any suit instituted by the Holder of this Note for the enforcement of any payment of principal hereof or any premium or interest hereon on or after the respective due dates expressed or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NONIMPAIRMENT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premium, if any) and interest, if any, on this Note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AND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SUCCESSOR OBLIGORS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 successor assumes all the obligations of its predecessor under the Notes and the Indenture in accordance with the terms of the Indenture, the predecessor will be released from those obligations, except in the case of a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Notes and may otherwise deal with the Company, its Subsidiaries or their respective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will not be valid until authenticated by the manual, facsimile or electronic signature of the Trustee or an Authenticating Agent (provided any such electronic signature is a true representation of the signer’s actual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owners of the Company’s Capital Stock and the Company’s incorporators, directors and officers will not be liable for the Company’s obligations under the Notes, the Indenture or for any claim based on, or in respect of, such obligations. By accepting a Note, each Holder of that Note will have agreed to Section 117 of the Base Indenture and waived and released any such liability on the part of the owners of the Company’s Capital Stock and the Company’s incorporators, directors and officers.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Note Identification Procedures, the Company will cause CUSIP numbers to be printed on the Notes as a convenience to the Holders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applicable to agreements made or instruments entered into and, in each case, performed in said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may be supplemented by an indenture or indentures supplemental to the Indenture with the consent of the Holders of not less than a majority in aggregate principal amount of the Notes affected by such supplemental indenture (including consents obtained in connection with a purchase of, or tender offer or exchange offer for, Notes) and any existing default or Event of Default with respect to the Notes may be waived with the consent of the Holders of not less than a majority in aggregate principal amount of the Outstanding Notes, except a continuing default in the payment of the principal of, or any premium or interest on the Notes, or in respect of a covenant or provision of the Indenture which cannot be modified or amended without the consent of the Holder of each Outstanding Note. Without the consent of any Holder of Notes, the Company and the Trustee, at any time and from time to time, may enter into one or more supplemental indentures as provided in the Indenture, subject to the exceptions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ADJUSTMENTS]12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2"/>
        <w:gridCol w:w="101"/>
        <w:gridCol w:w="2042"/>
        <w:gridCol w:w="101"/>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Adjustment</w:t>
              <w:br/>
              <w:t>Made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Increase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Decrease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Following Adjustment</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Notification Made on</w:t>
              <w:br/>
              <w:t>Behalf of the Trustee</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120" w:after="0"/>
        <w:jc w:val="center"/>
        <w:rPr>
          <w:rFonts w:ascii="Times New Roman" w:hAnsi="Times New Roman"/>
          <w:sz w:val="20"/>
        </w:rPr>
      </w:pPr>
      <w:r>
        <w:rPr>
          <w:rFonts w:ascii="Times New Roman" w:hAnsi="Times New Roman"/>
          <w:sz w:val="20"/>
        </w:rPr>
        <w:t xml:space="preserve">[Face of the Note] </w:t>
      </w:r>
    </w:p>
    <w:p>
      <w:pPr>
        <w:pStyle w:val="TextBody"/>
        <w:bidi w:val="0"/>
        <w:spacing w:before="240" w:after="0"/>
        <w:jc w:val="right"/>
        <w:rPr>
          <w:rFonts w:ascii="Times New Roman" w:hAnsi="Times New Roman"/>
          <w:sz w:val="20"/>
        </w:rPr>
      </w:pPr>
      <w:r>
        <w:rPr>
          <w:rFonts w:ascii="Times New Roman" w:hAnsi="Times New Roman"/>
          <w:sz w:val="20"/>
        </w:rPr>
        <w:t xml:space="preserve">CUSIP: 969457 CZ1 </w:t>
      </w:r>
    </w:p>
    <w:p>
      <w:pPr>
        <w:pStyle w:val="TextBody"/>
        <w:bidi w:val="0"/>
        <w:spacing w:before="0" w:after="0"/>
        <w:jc w:val="right"/>
        <w:rPr>
          <w:rFonts w:ascii="Times New Roman" w:hAnsi="Times New Roman"/>
          <w:sz w:val="20"/>
        </w:rPr>
      </w:pPr>
      <w:r>
        <w:rPr>
          <w:rFonts w:ascii="Times New Roman" w:hAnsi="Times New Roman"/>
          <w:sz w:val="20"/>
        </w:rPr>
        <w:t xml:space="preserve">ISIN: US969457CZ19 </w:t>
      </w:r>
    </w:p>
    <w:p>
      <w:pPr>
        <w:pStyle w:val="TextBody"/>
        <w:bidi w:val="0"/>
        <w:spacing w:before="240" w:after="0"/>
        <w:jc w:val="center"/>
        <w:rPr>
          <w:rFonts w:ascii="Times New Roman" w:hAnsi="Times New Roman"/>
          <w:sz w:val="20"/>
        </w:rPr>
      </w:pPr>
      <w:r>
        <w:rPr>
          <w:rFonts w:ascii="Times New Roman" w:hAnsi="Times New Roman"/>
          <w:sz w:val="20"/>
        </w:rPr>
        <w:t xml:space="preserve">6.400% Senior Note due 2056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58"/>
        <w:gridCol w:w="1606"/>
        <w:gridCol w:w="141"/>
      </w:tblGrid>
      <w:tr>
        <w:trPr/>
        <w:tc>
          <w:tcPr>
            <w:tcW w:w="8458" w:type="dxa"/>
            <w:tcBorders/>
            <w:vAlign w:val="center"/>
          </w:tcPr>
          <w:p>
            <w:pPr>
              <w:pStyle w:val="TableContents"/>
              <w:bidi w:val="0"/>
              <w:spacing w:before="0" w:after="283"/>
              <w:jc w:val="left"/>
              <w:rPr>
                <w:sz w:val="4"/>
                <w:szCs w:val="4"/>
              </w:rPr>
            </w:pPr>
            <w:r>
              <w:rPr>
                <w:sz w:val="4"/>
                <w:szCs w:val="4"/>
              </w:rPr>
            </w:r>
          </w:p>
        </w:tc>
        <w:tc>
          <w:tcPr>
            <w:tcW w:w="160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r>
      <w:tr>
        <w:trPr/>
        <w:tc>
          <w:tcPr>
            <w:tcW w:w="8458" w:type="dxa"/>
            <w:tcBorders/>
            <w:vAlign w:val="bottom"/>
          </w:tcPr>
          <w:p>
            <w:pPr>
              <w:pStyle w:val="TableContents"/>
              <w:bidi w:val="0"/>
              <w:spacing w:before="0" w:after="283"/>
              <w:jc w:val="left"/>
              <w:rPr/>
            </w:pPr>
            <w:r>
              <w:rPr/>
              <w:t>No. _____</w:t>
            </w:r>
          </w:p>
        </w:tc>
        <w:tc>
          <w:tcPr>
            <w:tcW w:w="160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right"/>
              <w:rPr/>
            </w:pPr>
            <w:r>
              <w:rPr/>
              <w:t>$_______________</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Co.]13 or registered assigns, the principal sum of _________________________ DOLLARS [or such greater or lesser amount as is indicated on the Schedule of Adjustments attached hereto]14 on September 15, 2056 (the “</w:t>
      </w:r>
      <w:r>
        <w:rPr>
          <w:rFonts w:ascii="Times New Roman" w:hAnsi="Times New Roman"/>
          <w:sz w:val="20"/>
          <w:u w:val="single"/>
        </w:rPr>
        <w:t>Stated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Dates: March 1 and September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68"/>
        <w:gridCol w:w="116"/>
        <w:gridCol w:w="2898"/>
      </w:tblGrid>
      <w:tr>
        <w:trPr/>
        <w:tc>
          <w:tcPr>
            <w:tcW w:w="1068"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WILLIAMS COMPANIES, INC.</w:t>
            </w:r>
          </w:p>
        </w:tc>
      </w:tr>
      <w:tr>
        <w:trPr>
          <w:trHeight w:val="240" w:hRule="atLeast"/>
        </w:trPr>
        <w:tc>
          <w:tcPr>
            <w:tcW w:w="1068" w:type="dxa"/>
            <w:tcBorders/>
            <w:vAlign w:val="center"/>
          </w:tcPr>
          <w:p>
            <w:pPr>
              <w:pStyle w:val="TableContents"/>
              <w:bidi w:val="0"/>
              <w:spacing w:before="0" w:after="283"/>
              <w:jc w:val="left"/>
              <w:rPr>
                <w:sz w:val="4"/>
                <w:szCs w:val="4"/>
              </w:rPr>
            </w:pPr>
            <w:r>
              <w:rPr>
                <w:sz w:val="4"/>
                <w:szCs w:val="4"/>
              </w:rPr>
            </w:r>
          </w:p>
        </w:tc>
        <w:tc>
          <w:tcPr>
            <w:tcW w:w="3014" w:type="dxa"/>
            <w:gridSpan w:val="2"/>
            <w:tcBorders/>
            <w:vAlign w:val="center"/>
          </w:tcPr>
          <w:p>
            <w:pPr>
              <w:pStyle w:val="TableContents"/>
              <w:bidi w:val="0"/>
              <w:spacing w:before="0" w:after="283"/>
              <w:jc w:val="left"/>
              <w:rPr>
                <w:sz w:val="4"/>
                <w:szCs w:val="4"/>
              </w:rPr>
            </w:pPr>
            <w:r>
              <w:rPr>
                <w:sz w:val="4"/>
                <w:szCs w:val="4"/>
              </w:rPr>
            </w:r>
          </w:p>
        </w:tc>
      </w:tr>
      <w:tr>
        <w:trPr/>
        <w:tc>
          <w:tcPr>
            <w:tcW w:w="106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6" w:type="dxa"/>
            <w:tcBorders/>
            <w:vAlign w:val="bottom"/>
          </w:tcPr>
          <w:p>
            <w:pPr>
              <w:pStyle w:val="TableContents"/>
              <w:bidi w:val="0"/>
              <w:spacing w:before="0" w:after="283"/>
              <w:jc w:val="left"/>
              <w:rPr/>
            </w:pPr>
            <w:r>
              <w:rPr/>
              <w:t> </w:t>
            </w:r>
          </w:p>
        </w:tc>
        <w:tc>
          <w:tcPr>
            <w:tcW w:w="2898" w:type="dxa"/>
            <w:tcBorders/>
          </w:tcPr>
          <w:p>
            <w:pPr>
              <w:pStyle w:val="TableContents"/>
              <w:pBdr>
                <w:bottom w:val="single" w:sz="2" w:space="1" w:color="000000"/>
              </w:pBdr>
              <w:bidi w:val="0"/>
              <w:spacing w:before="0" w:after="20"/>
              <w:jc w:val="left"/>
              <w:rPr/>
            </w:pPr>
            <w:r>
              <w:rPr/>
              <w:t> </w:t>
            </w:r>
          </w:p>
        </w:tc>
      </w:tr>
      <w:tr>
        <w:trPr/>
        <w:tc>
          <w:tcPr>
            <w:tcW w:w="106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6"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sz w:val="4"/>
                <w:szCs w:val="4"/>
              </w:rPr>
            </w:pPr>
            <w:r>
              <w:rPr>
                <w:sz w:val="4"/>
                <w:szCs w:val="4"/>
              </w:rPr>
            </w:r>
          </w:p>
        </w:tc>
      </w:tr>
      <w:tr>
        <w:trPr/>
        <w:tc>
          <w:tcPr>
            <w:tcW w:w="106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16" w:type="dxa"/>
            <w:tcBorders/>
            <w:vAlign w:val="bottom"/>
          </w:tcPr>
          <w:p>
            <w:pPr>
              <w:pStyle w:val="TableContents"/>
              <w:bidi w:val="0"/>
              <w:spacing w:before="0" w:after="283"/>
              <w:jc w:val="left"/>
              <w:rPr/>
            </w:pPr>
            <w:r>
              <w:rPr/>
              <w:t> </w:t>
            </w:r>
          </w:p>
        </w:tc>
        <w:tc>
          <w:tcPr>
            <w:tcW w:w="2898"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This is one of the Notes referred to in the within-mentioned Indenture: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pPr>
            <w:r>
              <w:rPr/>
              <w:t> </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UNLESS THIS GLOBAL SECURITY IS PRESENTED BY AN AUTHORIZED REPRESENTATIVE OF THE DEPOSITORY TRUST COMPANY, A NEW YORK CORPORATION (“DTC”), TO THE WILLIAMS COMPANIES,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HEREIN.]15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the Note] </w:t>
      </w:r>
    </w:p>
    <w:p>
      <w:pPr>
        <w:pStyle w:val="TextBody"/>
        <w:bidi w:val="0"/>
        <w:spacing w:before="12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6.400% Senior Note due 2056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w:t>
            </w:r>
          </w:p>
        </w:tc>
      </w:tr>
    </w:tbl>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(the “</w:t>
      </w:r>
      <w:r>
        <w:rPr>
          <w:rFonts w:ascii="Times New Roman" w:hAnsi="Times New Roman"/>
          <w:sz w:val="20"/>
          <w:u w:val="single"/>
        </w:rPr>
        <w:t>Securities</w:t>
      </w:r>
      <w:r>
        <w:rPr>
          <w:rFonts w:ascii="Times New Roman" w:hAnsi="Times New Roman"/>
          <w:sz w:val="20"/>
        </w:rPr>
        <w:t>”) of The Williams Companies, Inc. (the “</w:t>
      </w:r>
      <w:r>
        <w:rPr>
          <w:rFonts w:ascii="Times New Roman" w:hAnsi="Times New Roman"/>
          <w:sz w:val="20"/>
          <w:u w:val="single"/>
        </w:rPr>
        <w:t>Company</w:t>
      </w:r>
      <w:r>
        <w:rPr>
          <w:rFonts w:ascii="Times New Roman" w:hAnsi="Times New Roman"/>
          <w:sz w:val="20"/>
        </w:rPr>
        <w:t>,” which term includes any successor Person under the Base Indenture hereinafter referred to), issued and issuable in one or more series under an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which term includes any successor trustee under the Base Indenture), to which Base Indenture and all indentures supplemental thereto reference is hereby made for a statement of the respective rights, limitation of rights, duties and immunities thereunder of the Company, the Trustee and the Holders of the Securities issued thereunder and of the terms upon which said Securities are, and are to be, authenticated and delivered. This Note is one of the series designated on the face hereof as 6.400% Senior Notes due 2056 (the “</w:t>
      </w:r>
      <w:r>
        <w:rPr>
          <w:rFonts w:ascii="Times New Roman" w:hAnsi="Times New Roman"/>
          <w:sz w:val="20"/>
          <w:u w:val="single"/>
        </w:rPr>
        <w:t>Notes</w:t>
      </w:r>
      <w:r>
        <w:rPr>
          <w:rFonts w:ascii="Times New Roman" w:hAnsi="Times New Roman"/>
          <w:sz w:val="20"/>
        </w:rPr>
        <w:t>”) which was issued under the Fourteenth Supplemental Indenture to the Base Indenture dated as of September 10, 2026 (the “</w:t>
      </w:r>
      <w:r>
        <w:rPr>
          <w:rFonts w:ascii="Times New Roman" w:hAnsi="Times New Roman"/>
          <w:sz w:val="20"/>
          <w:u w:val="single"/>
        </w:rPr>
        <w:t>Supplemental Indenture</w:t>
      </w:r>
      <w:r>
        <w:rPr>
          <w:rFonts w:ascii="Times New Roman" w:hAnsi="Times New Roman"/>
          <w:sz w:val="20"/>
        </w:rPr>
        <w:t>,” together with the Base Indenture, the “</w:t>
      </w:r>
      <w:r>
        <w:rPr>
          <w:rFonts w:ascii="Times New Roman" w:hAnsi="Times New Roman"/>
          <w:sz w:val="20"/>
          <w:u w:val="single"/>
        </w:rPr>
        <w:t>Indenture</w:t>
      </w:r>
      <w:r>
        <w:rPr>
          <w:rFonts w:ascii="Times New Roman" w:hAnsi="Times New Roman"/>
          <w:sz w:val="20"/>
        </w:rPr>
        <w:t xml:space="preserve">”) and which is initially limited to $500,000,000 in principal amount. Capitalized terms used herein for which no definition is provided herein shall have the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The Company promises to pay interest on the principal amount of this Note at the rate of 6.400% per annum from [</w:t>
      </w:r>
      <w:r>
        <w:rPr>
          <w:rFonts w:ascii="Times New Roman" w:hAnsi="Times New Roman"/>
          <w:i/>
          <w:sz w:val="20"/>
        </w:rPr>
        <w:t xml:space="preserve">Insert for Initial Notes </w:t>
      </w:r>
      <w:r>
        <w:rPr>
          <w:rFonts w:ascii="Times New Roman" w:hAnsi="Times New Roman"/>
          <w:sz w:val="20"/>
        </w:rPr>
        <w:t>“September 10, 2026”] until the Stated Maturity, unless earlier repurchased, redeemed or otherwise cancelled. The Company will pay interest semiannually on March 15 and September 15 of each year (each an “</w:t>
      </w:r>
      <w:r>
        <w:rPr>
          <w:rFonts w:ascii="Times New Roman" w:hAnsi="Times New Roman"/>
          <w:sz w:val="20"/>
          <w:u w:val="single"/>
        </w:rPr>
        <w:t>Interest Payment Date</w:t>
      </w:r>
      <w:r>
        <w:rPr>
          <w:rFonts w:ascii="Times New Roman" w:hAnsi="Times New Roman"/>
          <w:sz w:val="20"/>
        </w:rPr>
        <w:t>”). Interest on the Notes will accrue from the most recent Interest Payment Date on which interest has been paid or duly provided for or, if no interest has been paid or duly provided for, from [</w:t>
      </w:r>
      <w:r>
        <w:rPr>
          <w:rFonts w:ascii="Times New Roman" w:hAnsi="Times New Roman"/>
          <w:i/>
          <w:sz w:val="20"/>
        </w:rPr>
        <w:t xml:space="preserve">Insert for Initial Notes </w:t>
      </w:r>
      <w:r>
        <w:rPr>
          <w:rFonts w:ascii="Times New Roman" w:hAnsi="Times New Roman"/>
          <w:sz w:val="20"/>
        </w:rPr>
        <w:t xml:space="preserve">“September 10, 2026”]; </w:t>
      </w:r>
      <w:r>
        <w:rPr>
          <w:rFonts w:ascii="Times New Roman" w:hAnsi="Times New Roman"/>
          <w:sz w:val="20"/>
          <w:u w:val="single"/>
        </w:rPr>
        <w:t>provided</w:t>
      </w:r>
      <w:r>
        <w:rPr>
          <w:rFonts w:ascii="Times New Roman" w:hAnsi="Times New Roman"/>
          <w:sz w:val="20"/>
        </w:rPr>
        <w:t xml:space="preserve"> that if there is no existing default in the payment of interest, and if this Note is authenticated between a regular record date set forth on the face hereof (each a “</w:t>
      </w:r>
      <w:r>
        <w:rPr>
          <w:rFonts w:ascii="Times New Roman" w:hAnsi="Times New Roman"/>
          <w:sz w:val="20"/>
          <w:u w:val="single"/>
        </w:rPr>
        <w:t>Regular Record Date</w:t>
      </w:r>
      <w:r>
        <w:rPr>
          <w:rFonts w:ascii="Times New Roman" w:hAnsi="Times New Roman"/>
          <w:sz w:val="20"/>
        </w:rPr>
        <w:t xml:space="preserve">”) and the next succeeding Interest Payment Date, interest shall accrue from such next succeeding Interest 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first Interest Payment Date shall be [</w:t>
      </w:r>
      <w:r>
        <w:rPr>
          <w:rFonts w:ascii="Times New Roman" w:hAnsi="Times New Roman"/>
          <w:i/>
          <w:sz w:val="20"/>
        </w:rPr>
        <w:t xml:space="preserve">Insert for Initial Notes </w:t>
      </w:r>
      <w:r>
        <w:rPr>
          <w:rFonts w:ascii="Times New Roman" w:hAnsi="Times New Roman"/>
          <w:sz w:val="20"/>
        </w:rPr>
        <w:t>“March 15, 2027”] and interest accrued from [</w:t>
      </w:r>
      <w:r>
        <w:rPr>
          <w:rFonts w:ascii="Times New Roman" w:hAnsi="Times New Roman"/>
          <w:i/>
          <w:sz w:val="20"/>
        </w:rPr>
        <w:t xml:space="preserve">Insert for Initial Notes </w:t>
      </w:r>
      <w:r>
        <w:rPr>
          <w:rFonts w:ascii="Times New Roman" w:hAnsi="Times New Roman"/>
          <w:sz w:val="20"/>
        </w:rPr>
        <w:t xml:space="preserve">“September 10, 2026”] shall be payable on such date. The interest so payable, and punctually paid or duly provided for, on any Interest Payment Date will, as provided in the Indenture, be paid to the Person in whose name this Note is registered at the close of business on the Regular Record Date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the Holders of the Notes not less than 10 days prior to such Special Record Date, or be paid at any time in any other lawful manner not inconsistent with the requirements of any securities exchange, if any, on which the Notes shall be listed, and upon such notice as may be required by any such exchange, all as more fully provided in the Indenture. Payments of interest on the Notes will include interest accrued to but excluding the respective Interest Payment Dates.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Company shall pay interest on overdue principal and premium, if any, from time to time on demand at a rate of 6.400% per annum; it shall pay interest on overdue installments of interest (without regard to any applicable grace periods) from time to time on demand at the same rate to the extent lawful.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the Stated Maturity or a Redemption Date falls on a day that is not a Business Day, the required payment of principal, premium, if any, and interest due on that date shall be made on the next succeeding Business Day as if made on the date that payment was due, and no interest shall accrue for the period from and after the Interest Payment Date, Stated Maturity or such Redemption Date, as the case may be, to the date of that payment on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subject to redemption upon at least 10 days but not more than 60 days’ notice to the Holders of the Notes to be redeemed as provided in the Indenture, at any time or from time to time prior to the Par Call Date, in whole or in part, at the election of the Company, at a Redemption Price, as calculated by the Company and expressed as a percentage of principal amount and rounded to three decimal places, equal to the greater of: (i)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20 basis points less (b) interest accrued to the Redemption Date, and (ii) 100% of the principal amount of the Notes to be redeemed, plus, in either case, accrued and unpaid interest thereon, if any, to, but not including, the Redemption Date. In addition, the Notes are subject to redemption upon at least 10 days but not more than 60 days’ notice to the Holders of the Notes to be redeemed as provided in the Indenture, at any time on or after the Par Call Date, in whole or in part, at the election of the Company, at a Redemption Price, as calculated by the Company, equal to 100% of the principal amount of the Notes being redeemed plus accrued and unpaid interest thereon, if any, to, but not including, the Redemption Date. The notice of redemption shall be mailed or electronically delivered (or otherwise transmitted in accordance with the Depositary’s procedures) and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Notes are to be redeemed, selection of Notes for redemption will be made pro rata, by lot or by such other method as the Trustee in its sole discretion deems appropriate and fair, and, in the case of Global Notes, by the Depositary in accordance with the Depositary’s procedures and in the case of a Definitive Security, by the Trustee by pro rata or by lot. No Notes of a principal amount of $2,000 or less will be redeemed in part. Unless the Company defaults in payment of such Redemption Price, on and after the Redemption Date, the Notes or portions thereof called for redemption will cease to bear interest, and the Holders thereof will have no right in respect of such Notes except the right to receive the Redemption Price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of (a) the entire indebtedness of this Note and (b) certain restrictive covenants upon compliance by the Company with certain conditions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shall occur and be continuing, the principal of the Notes may be declared due and payable, or in the circumstances described in the Indenture, shall automatically become due and payable, in the manner and with the effect provided in the Indenture. At any time after such declaration of acceleration or automatic acceleration with respect to the Notes has been made or has occurred, but before a judgment or decree for payment of money has been obtained by the Trustee as provided in the Indenture, if all Events of Default with respect to the Notes have been cured or waived (other than the non-payment of principal of the Notes which has become due solely by reason of such declaration of acceleration or automatic acceleration) and certain other conditions have been complied with, then and in every such case, the Holders of a majority in aggregate principal amount of the Outstanding Notes may, by written notice to the Company and to the Trustee, rescind and annul such declaration or automatic acceleration and its consequences on behalf of all of the Holders of Notes, but no such rescission or annulment shall extend to or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Note shall not have the right to institute any proceeding, judicial or otherwise, with respect to the Indenture, or for the appointment of a receiver or trustee or for any other remedy thereunder, unless (a) such Holder shall have previously given the Trustee written notice of a continuing Event of Default with respect to the Notes, (b) (i) in the case of an Event of Default specified in clause (1), (2), (5) or (6) of Section 501 of the Indenture, Holders of not less than 25%, or (ii) in the case of an Event of Default specified in clause (3) or (4) of Section 501 of the Indenture,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not less than a majority, in aggregate principal amount of the Outstanding Notes shall have made written request to the Trustee to institute proceedings in respect of such Event of Default in its own name as Trustee hereunder, (c) such Holders shall have offered the Trustee indemnity satisfactory to the Trustee against the costs, expenses and liabilities to be incurred in compliance with such request, (d) for 60 days after its receipt of such notice, the Trustee shall not have received from the Holders of a majority in principal amount of the Notes at the time Outstanding under the Indenture a direction inconsistent with such request, and (e) the Trustee for 60 days after its receipt of such notice, request and offer of indemnity shall have failed to institute any such proceeding. The foregoing shall not apply to certain suits described in the Indenture, including any suit instituted by the Holder of this Note for the enforcement of any payment of principal hereof or any premium or interest hereon on or after the respective due dates expressed or provided for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NONIMPAIRMENT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premium, if any) and interest, if any, on this Note at the times, place and rate, and in the coin or currency, herein prescribed.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AND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SUCCESSOR OBLIGORS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 successor assumes all the obligations of its predecessor under the Notes and the Indenture in accordance with the terms of the Indenture, the predecessor will be released from those obligations, except in the case of a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Notes and may otherwise deal with the Company, its Subsidiaries or their respective Affiliates as if it were not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will not be valid until authenticated by the manual, facsimile or electronic signature of the Trustee or an Authenticating Agent (provided any such electronic signature is a true representation of the signer’s actual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owners of the Company’s Capital Stock and the Company’s incorporators, directors and officers will not be liable for the Company’s obligations under the Notes, the Indenture or for any claim based on, or in respect of, such obligations. By accepting a Note, each Holder of that Note will have agreed to Section 117 of the Base Indenture and waived and released any such liability on the part of the owners of the Company’s Capital Stock and the Company’s incorporators, directors and officers. The waiver and release are part of the consideration for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Note Identification Procedures, the Company will cause CUSIP numbers to be printed on the Notes as a convenience to the Holders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applicable to agreements made or instruments entered into and, in each case, performed in said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 or the Notes may be supplemented by an indenture or indentures supplemental to the Indenture with the consent of the Holders of not less than a majority in aggregate principal amount of the Notes affected by such supplemental indenture (including consents obtained in connection with a purchase of, or tender offer or exchange offer for, Notes) and any existing default or Event of Default with respect to the Notes may be waived with the consent of the Holders of not less than a majority in aggregate principal amount of the Outstanding Notes, except a continuing default in the payment of the principal of, or any premium or interest on the Notes, or in respect of a covenant or provision of the Indenture which cannot be modified or amended without the consent of the Holder of each Outstanding Note. Without the consent of any Holder of Notes, the Company and the Trustee, at any time and from time to time, may enter into one or more supplemental indentures as provided in the Indenture, subject to the exceptions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ADJUSTMENTS]16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2"/>
        <w:gridCol w:w="101"/>
        <w:gridCol w:w="2042"/>
        <w:gridCol w:w="101"/>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Adjustment</w:t>
              <w:br/>
              <w:t>Made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Increase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Decrease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Following Adjustment</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Notification Made on</w:t>
              <w:br/>
              <w:t>Behalf of the Trustee</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r>
        <w:trPr/>
        <w:tc>
          <w:tcPr>
            <w:tcW w:w="173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c>
          <w:tcPr>
            <w:tcW w:w="1735"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top w:val="single" w:sz="2"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in Global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p>
    <w:p>
      <w:pPr>
        <w:pStyle w:val="TextBody"/>
        <w:bidi w:val="0"/>
        <w:spacing w:before="0" w:after="0"/>
        <w:jc w:val="right"/>
        <w:rPr>
          <w:rFonts w:ascii="Times New Roman" w:hAnsi="Times New Roman"/>
          <w:b/>
          <w:sz w:val="20"/>
        </w:rPr>
      </w:pPr>
      <w:bookmarkStart w:id="6" w:name="d113424dex51.htm"/>
      <w:bookmarkStart w:id="7" w:name="ksd113424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58950" cy="2616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8950" cy="261620"/>
                    </a:xfrm>
                    <a:prstGeom prst="rect">
                      <a:avLst/>
                    </a:prstGeom>
                  </pic:spPr>
                </pic:pic>
              </a:graphicData>
            </a:graphic>
          </wp:inline>
        </w:drawing>
      </w:r>
      <w:r>
        <w:rPr/>
        <w:t xml:space="preserve"> </w:t>
      </w:r>
    </w:p>
    <w:p>
      <w:pPr>
        <w:pStyle w:val="TextBody"/>
        <w:bidi w:val="0"/>
        <w:spacing w:before="48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360" w:after="0"/>
        <w:jc w:val="left"/>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left"/>
        <w:rPr>
          <w:rFonts w:ascii="Times New Roman" w:hAnsi="Times New Roman"/>
          <w:sz w:val="20"/>
        </w:rPr>
      </w:pPr>
      <w:r>
        <w:rPr>
          <w:rFonts w:ascii="Times New Roman" w:hAnsi="Times New Roman"/>
          <w:sz w:val="20"/>
        </w:rPr>
        <w:t xml:space="preserve">One Williams Center, Suite 4700 </w:t>
      </w:r>
    </w:p>
    <w:p>
      <w:pPr>
        <w:pStyle w:val="TextBody"/>
        <w:bidi w:val="0"/>
        <w:spacing w:before="0" w:after="0"/>
        <w:jc w:val="left"/>
        <w:rPr>
          <w:rFonts w:ascii="Times New Roman" w:hAnsi="Times New Roman"/>
          <w:sz w:val="20"/>
        </w:rPr>
      </w:pPr>
      <w:r>
        <w:rPr>
          <w:rFonts w:ascii="Times New Roman" w:hAnsi="Times New Roman"/>
          <w:sz w:val="20"/>
        </w:rPr>
        <w:t xml:space="preserve">Tulsa, Oklahoma 74172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The Williams Companies, Inc.</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Registration Statement on Form S-3 (File No.</w:t>
            </w:r>
            <w:r>
              <w:rPr>
                <w:rFonts w:ascii="Times New Roman" w:hAnsi="Times New Roman"/>
                <w:sz w:val="20"/>
              </w:rPr>
              <w:t> </w:t>
            </w:r>
            <w:r>
              <w:rPr>
                <w:rFonts w:ascii="Times New Roman" w:hAnsi="Times New Roman"/>
                <w:i/>
                <w:sz w:val="20"/>
              </w:rPr>
              <w:t>333-277232)</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The Williams Companies, Inc., a Delaware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a Registration Statement on Form S-3, file no. 333-277232 (the “</w:t>
      </w:r>
      <w:r>
        <w:rPr>
          <w:rFonts w:ascii="Times New Roman" w:hAnsi="Times New Roman"/>
          <w:sz w:val="20"/>
          <w:u w:val="single"/>
        </w:rPr>
        <w:t>Registration Statement</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the prospectus included therein, the prospectus supplement, dated September 8, 2026, filed with the Commission on September 9, 2026 pursuant to Rule 424(b) of the Securities Act (the “</w:t>
      </w:r>
      <w:r>
        <w:rPr>
          <w:rFonts w:ascii="Times New Roman" w:hAnsi="Times New Roman"/>
          <w:sz w:val="20"/>
          <w:u w:val="single"/>
        </w:rPr>
        <w:t>Prospectus Supplement</w:t>
      </w:r>
      <w:r>
        <w:rPr>
          <w:rFonts w:ascii="Times New Roman" w:hAnsi="Times New Roman"/>
          <w:sz w:val="20"/>
        </w:rPr>
        <w:t>”), and the offering by the Company pursuant thereto of $500,000,000 aggregate principal amount of the Company’s 5.000% Senior Notes due 2029 (the “</w:t>
      </w:r>
      <w:r>
        <w:rPr>
          <w:rFonts w:ascii="Times New Roman" w:hAnsi="Times New Roman"/>
          <w:sz w:val="20"/>
          <w:u w:val="single"/>
        </w:rPr>
        <w:t>2029 Notes</w:t>
      </w:r>
      <w:r>
        <w:rPr>
          <w:rFonts w:ascii="Times New Roman" w:hAnsi="Times New Roman"/>
          <w:sz w:val="20"/>
        </w:rPr>
        <w:t>”), $1,000,000,000 aggregate principal amount of the Company’s 5.600% Senior Notes due 2033 (the “</w:t>
      </w:r>
      <w:r>
        <w:rPr>
          <w:rFonts w:ascii="Times New Roman" w:hAnsi="Times New Roman"/>
          <w:sz w:val="20"/>
          <w:u w:val="single"/>
        </w:rPr>
        <w:t>2033 Notes</w:t>
      </w:r>
      <w:r>
        <w:rPr>
          <w:rFonts w:ascii="Times New Roman" w:hAnsi="Times New Roman"/>
          <w:sz w:val="20"/>
        </w:rPr>
        <w:t>”), $750,000,000 aggregate principal amount of the Company’s 5.800% Senior Notes due 2036 (the “</w:t>
      </w:r>
      <w:r>
        <w:rPr>
          <w:rFonts w:ascii="Times New Roman" w:hAnsi="Times New Roman"/>
          <w:sz w:val="20"/>
          <w:u w:val="single"/>
        </w:rPr>
        <w:t>2036 Notes</w:t>
      </w:r>
      <w:r>
        <w:rPr>
          <w:rFonts w:ascii="Times New Roman" w:hAnsi="Times New Roman"/>
          <w:sz w:val="20"/>
        </w:rPr>
        <w:t>”) and $500,000,000 aggregate principal amount of the Company’s 6.400% Senior Notes due 2056 (the “</w:t>
      </w:r>
      <w:r>
        <w:rPr>
          <w:rFonts w:ascii="Times New Roman" w:hAnsi="Times New Roman"/>
          <w:sz w:val="20"/>
          <w:u w:val="single"/>
        </w:rPr>
        <w:t>2056 Notes</w:t>
      </w:r>
      <w:r>
        <w:rPr>
          <w:rFonts w:ascii="Times New Roman" w:hAnsi="Times New Roman"/>
          <w:sz w:val="20"/>
        </w:rPr>
        <w:t>” and, together with the 2029 Notes, the 2033 Notes and the 2036 Notes, the “</w:t>
      </w:r>
      <w:r>
        <w:rPr>
          <w:rFonts w:ascii="Times New Roman" w:hAnsi="Times New Roman"/>
          <w:sz w:val="20"/>
          <w:u w:val="single"/>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Notes will be issued pursuant to the Indenture, dated as of December 18, 2012 (the “</w:t>
      </w:r>
      <w:r>
        <w:rPr>
          <w:rFonts w:ascii="Times New Roman" w:hAnsi="Times New Roman"/>
          <w:sz w:val="20"/>
          <w:u w:val="single"/>
        </w:rPr>
        <w:t>Base 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as supplemented by the Fourteenth Supplemental Indenture, dated September 10, 2026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opinions expressed below, we have examined originals, or copies certified or otherwise identified to our satisfaction as being true and complete copies of the originals, of the Base Indenture, the Supplemental Indenture, the Notes and such other documents, corporate records, certificates of officers of the Company and of public officials and other instruments as we have deemed necessary or advisable to enable us to render these opinions. In our examination, we have assumed, without independent investigation, the genuineness of all signatures, the </w:t>
      </w:r>
    </w:p>
    <w:p>
      <w:pPr>
        <w:pStyle w:val="TextBody"/>
        <w:bidi w:val="0"/>
        <w:spacing w:before="0" w:after="0"/>
        <w:jc w:val="left"/>
        <w:rPr/>
      </w:pPr>
      <w:r>
        <w:rPr/>
        <w:t> </w:t>
      </w:r>
    </w:p>
    <w:p>
      <w:pPr>
        <w:pStyle w:val="TextBody"/>
        <w:bidi w:val="0"/>
        <w:spacing w:before="0" w:after="0"/>
        <w:jc w:val="left"/>
        <w:rPr>
          <w:rFonts w:ascii="Times New Roman" w:hAnsi="Times New Roman"/>
          <w:sz w:val="16"/>
        </w:rPr>
      </w:pPr>
      <w:r>
        <w:rPr>
          <w:rFonts w:ascii="Times New Roman" w:hAnsi="Times New Roman"/>
          <w:b/>
          <w:sz w:val="16"/>
        </w:rPr>
        <w:br/>
        <w:t>Gibson, Dunn</w:t>
      </w:r>
      <w:r>
        <w:rPr>
          <w:rFonts w:ascii="Times New Roman" w:hAnsi="Times New Roman"/>
          <w:sz w:val="16"/>
        </w:rPr>
        <w:t> </w:t>
      </w:r>
      <w:r>
        <w:rPr>
          <w:rFonts w:ascii="Times New Roman" w:hAnsi="Times New Roman"/>
          <w:b/>
          <w:sz w:val="16"/>
        </w:rPr>
        <w:t xml:space="preserve">&amp; Crutcher LLP </w:t>
      </w:r>
    </w:p>
    <w:p>
      <w:pPr>
        <w:pStyle w:val="TextBody"/>
        <w:bidi w:val="0"/>
        <w:spacing w:before="0" w:after="0"/>
        <w:jc w:val="left"/>
        <w:rPr>
          <w:rFonts w:ascii="Times New Roman" w:hAnsi="Times New Roman"/>
          <w:sz w:val="16"/>
        </w:rPr>
      </w:pPr>
      <w:r>
        <w:rPr>
          <w:rFonts w:ascii="Times New Roman" w:hAnsi="Times New Roman"/>
          <w:sz w:val="16"/>
        </w:rPr>
        <w:t xml:space="preserve">200 Park Avenue | New York, NY 10166-0193 | T: 212.351.4000 | F: 212.351.4035 | gibsondunn.com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58950" cy="2616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58950" cy="26162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exceptions, qualifications, and limitations set forth herein, we are of the opinion that the Notes, when executed and authenticated in accordance with the provisions of the Indenture and issued and delivered to and paid for by the Underwriters in accordance with the terms of the Underwriting Agreement, will be legal,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additional exceptions, qualifications, limitations and assumptions: </w:t>
      </w:r>
    </w:p>
    <w:p>
      <w:pPr>
        <w:pStyle w:val="TextBody"/>
        <w:bidi w:val="0"/>
        <w:spacing w:before="120" w:after="0"/>
        <w:jc w:val="left"/>
        <w:rPr>
          <w:rFonts w:ascii="Times New Roman" w:hAnsi="Times New Roman"/>
          <w:sz w:val="20"/>
        </w:rPr>
      </w:pPr>
      <w:r>
        <w:rPr>
          <w:rFonts w:ascii="Times New Roman" w:hAnsi="Times New Roman"/>
          <w:sz w:val="20"/>
        </w:rPr>
        <w:t xml:space="preserve">A.  We render no opinion herein as to matters involving the laws of any jurisdiction other than the State of New York and to the extent relevant for our opinion herein, the Delaware General Corporation Law. This opinion is limited to the effect of the current state of the laws of the State of New York and the Delaware General Corporation Law and the facts as they currently exist. We assume no obligation to revise or supplement this opinion in the event of future changes in such laws or the interpretations thereof or such facts. </w:t>
      </w:r>
    </w:p>
    <w:p>
      <w:pPr>
        <w:pStyle w:val="TextBody"/>
        <w:bidi w:val="0"/>
        <w:spacing w:before="240" w:after="0"/>
        <w:jc w:val="left"/>
        <w:rPr>
          <w:rFonts w:ascii="Times New Roman" w:hAnsi="Times New Roman"/>
          <w:sz w:val="20"/>
        </w:rPr>
      </w:pPr>
      <w:r>
        <w:rPr>
          <w:rFonts w:ascii="Times New Roman" w:hAnsi="Times New Roman"/>
          <w:sz w:val="20"/>
        </w:rPr>
        <w:t xml:space="preserve">B.  The opinions above are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C.  We express no opinion regarding the effectiveness of (i) any waiver of stay, extension or usury laws or of unknown future rights; (ii) provisions relating to indemnification, exculpation or contribution, to the extent such provisions may be held unenforceable as contrary to public policy or federal or state securities laws; (iii) any agreement to submit to the jurisdiction of any Federal court; (iv) any waiver of the right to jury trial or (v) any provision to the effect that every right or remedy is cumulative and may be exercised in addition to any other right or remedy or that the election of some particular remedy does not preclude recourse to one or more others.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58950" cy="2616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8950" cy="26162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and we further consent to the use of our name under the caption “Legal Matters”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p>
      <w:pPr>
        <w:pStyle w:val="TextBody"/>
        <w:bidi w:val="0"/>
        <w:spacing w:before="0" w:after="0"/>
        <w:jc w:val="right"/>
        <w:rPr>
          <w:rFonts w:ascii="Times New Roman" w:hAnsi="Times New Roman"/>
          <w:b/>
          <w:sz w:val="20"/>
        </w:rPr>
      </w:pPr>
      <w:bookmarkStart w:id="8" w:name="d113424dex991.htm"/>
      <w:bookmarkStart w:id="9" w:name="ksd113424dex991"/>
      <w:bookmarkEnd w:id="8"/>
      <w:bookmarkEnd w:id="9"/>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6"/>
        <w:gridCol w:w="120"/>
        <w:gridCol w:w="3517"/>
        <w:gridCol w:w="120"/>
        <w:gridCol w:w="1752"/>
      </w:tblGrid>
      <w:tr>
        <w:trPr/>
        <w:tc>
          <w:tcPr>
            <w:tcW w:w="46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r>
      <w:tr>
        <w:trPr/>
        <w:tc>
          <w:tcPr>
            <w:tcW w:w="4696" w:type="dxa"/>
            <w:tcBorders/>
          </w:tcPr>
          <w:p>
            <w:pPr>
              <w:pStyle w:val="TableContents"/>
              <w:bidi w:val="0"/>
              <w:spacing w:before="0" w:after="283"/>
              <w:jc w:val="left"/>
              <w:rPr/>
            </w:pPr>
            <w:r>
              <w:rPr/>
              <w:drawing>
                <wp:inline distT="0" distB="0" distL="0" distR="0">
                  <wp:extent cx="2505075"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05075" cy="3429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517" w:type="dxa"/>
            <w:tcBorders/>
          </w:tcPr>
          <w:p>
            <w:pPr>
              <w:pStyle w:val="TableContents"/>
              <w:bidi w:val="0"/>
              <w:spacing w:before="0" w:after="0"/>
              <w:jc w:val="right"/>
              <w:rPr>
                <w:rFonts w:ascii="Times New Roman" w:hAnsi="Times New Roman"/>
                <w:sz w:val="20"/>
              </w:rPr>
            </w:pPr>
            <w:r>
              <w:rPr>
                <w:rFonts w:ascii="Times New Roman" w:hAnsi="Times New Roman"/>
                <w:sz w:val="20"/>
              </w:rPr>
              <w:t>Williams (NYSE: WMB)</w:t>
            </w:r>
          </w:p>
          <w:p>
            <w:pPr>
              <w:pStyle w:val="TableContents"/>
              <w:bidi w:val="0"/>
              <w:spacing w:before="0" w:after="0"/>
              <w:jc w:val="right"/>
              <w:rPr>
                <w:rFonts w:ascii="Times New Roman" w:hAnsi="Times New Roman"/>
                <w:sz w:val="20"/>
              </w:rPr>
            </w:pPr>
            <w:r>
              <w:rPr>
                <w:rFonts w:ascii="Times New Roman" w:hAnsi="Times New Roman"/>
                <w:sz w:val="20"/>
              </w:rPr>
              <w:t>One Williams Center</w:t>
            </w:r>
          </w:p>
          <w:p>
            <w:pPr>
              <w:pStyle w:val="TableContents"/>
              <w:bidi w:val="0"/>
              <w:spacing w:before="0" w:after="0"/>
              <w:jc w:val="right"/>
              <w:rPr>
                <w:rFonts w:ascii="Times New Roman" w:hAnsi="Times New Roman"/>
                <w:sz w:val="20"/>
              </w:rPr>
            </w:pPr>
            <w:r>
              <w:rPr>
                <w:rFonts w:ascii="Times New Roman" w:hAnsi="Times New Roman"/>
                <w:sz w:val="20"/>
              </w:rPr>
              <w:t>Tulsa, OK 74172</w:t>
            </w:r>
          </w:p>
          <w:p>
            <w:pPr>
              <w:pStyle w:val="TableContents"/>
              <w:bidi w:val="0"/>
              <w:spacing w:before="0" w:after="0"/>
              <w:jc w:val="right"/>
              <w:rPr>
                <w:rFonts w:ascii="Times New Roman" w:hAnsi="Times New Roman"/>
                <w:sz w:val="20"/>
              </w:rPr>
            </w:pPr>
            <w:r>
              <w:rPr>
                <w:rFonts w:ascii="Times New Roman" w:hAnsi="Times New Roman"/>
                <w:sz w:val="20"/>
              </w:rPr>
              <w:t>800-Williams</w:t>
            </w:r>
          </w:p>
          <w:p>
            <w:pPr>
              <w:pStyle w:val="TableContents"/>
              <w:bidi w:val="0"/>
              <w:spacing w:before="0" w:after="20"/>
              <w:jc w:val="right"/>
              <w:rPr>
                <w:rFonts w:ascii="Times New Roman" w:hAnsi="Times New Roman"/>
                <w:sz w:val="20"/>
              </w:rPr>
            </w:pPr>
            <w:r>
              <w:rPr>
                <w:rFonts w:ascii="Times New Roman" w:hAnsi="Times New Roman"/>
                <w:sz w:val="20"/>
              </w:rPr>
              <w:t>www.williams.com</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752" w:type="dxa"/>
            <w:tcBorders/>
          </w:tcPr>
          <w:p>
            <w:pPr>
              <w:pStyle w:val="TableContents"/>
              <w:bidi w:val="0"/>
              <w:spacing w:before="0" w:after="283"/>
              <w:jc w:val="right"/>
              <w:rPr/>
            </w:pPr>
            <w:r>
              <w:rPr/>
              <w:drawing>
                <wp:inline distT="0" distB="0" distL="0" distR="0">
                  <wp:extent cx="1047750"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 cy="5619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September 8,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6"/>
        <w:gridCol w:w="121"/>
        <w:gridCol w:w="2715"/>
        <w:gridCol w:w="121"/>
        <w:gridCol w:w="4712"/>
      </w:tblGrid>
      <w:tr>
        <w:trPr/>
        <w:tc>
          <w:tcPr>
            <w:tcW w:w="25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2" w:type="dxa"/>
            <w:tcBorders/>
            <w:vAlign w:val="center"/>
          </w:tcPr>
          <w:p>
            <w:pPr>
              <w:pStyle w:val="TableContents"/>
              <w:bidi w:val="0"/>
              <w:spacing w:before="0" w:after="283"/>
              <w:jc w:val="left"/>
              <w:rPr>
                <w:sz w:val="4"/>
                <w:szCs w:val="4"/>
              </w:rPr>
            </w:pPr>
            <w:r>
              <w:rPr>
                <w:sz w:val="4"/>
                <w:szCs w:val="4"/>
              </w:rPr>
            </w:r>
          </w:p>
        </w:tc>
      </w:tr>
      <w:tr>
        <w:trPr/>
        <w:tc>
          <w:tcPr>
            <w:tcW w:w="2536" w:type="dxa"/>
            <w:tcBorders/>
          </w:tcPr>
          <w:p>
            <w:pPr>
              <w:pStyle w:val="TableContents"/>
              <w:bidi w:val="0"/>
              <w:spacing w:before="0" w:after="283"/>
              <w:jc w:val="left"/>
              <w:rPr>
                <w:b/>
              </w:rPr>
            </w:pPr>
            <w:r>
              <w:rPr>
                <w:b/>
              </w:rPr>
              <w:t>MEDIA:</w:t>
            </w:r>
          </w:p>
        </w:tc>
        <w:tc>
          <w:tcPr>
            <w:tcW w:w="121" w:type="dxa"/>
            <w:tcBorders/>
            <w:vAlign w:val="bottom"/>
          </w:tcPr>
          <w:p>
            <w:pPr>
              <w:pStyle w:val="TableContents"/>
              <w:bidi w:val="0"/>
              <w:spacing w:before="0" w:after="283"/>
              <w:jc w:val="left"/>
              <w:rPr/>
            </w:pPr>
            <w:r>
              <w:rPr/>
              <w:t>  </w:t>
            </w:r>
          </w:p>
        </w:tc>
        <w:tc>
          <w:tcPr>
            <w:tcW w:w="2715" w:type="dxa"/>
            <w:tcBorders/>
          </w:tcPr>
          <w:p>
            <w:pPr>
              <w:pStyle w:val="TableContents"/>
              <w:bidi w:val="0"/>
              <w:spacing w:before="0" w:after="283"/>
              <w:jc w:val="left"/>
              <w:rPr>
                <w:b/>
              </w:rPr>
            </w:pPr>
            <w:r>
              <w:rPr>
                <w:b/>
              </w:rPr>
              <w:t>INVESTOR CONTACTS:</w:t>
            </w:r>
          </w:p>
        </w:tc>
        <w:tc>
          <w:tcPr>
            <w:tcW w:w="121" w:type="dxa"/>
            <w:tcBorders/>
            <w:vAlign w:val="bottom"/>
          </w:tcPr>
          <w:p>
            <w:pPr>
              <w:pStyle w:val="TableContents"/>
              <w:bidi w:val="0"/>
              <w:spacing w:before="0" w:after="283"/>
              <w:jc w:val="left"/>
              <w:rPr/>
            </w:pPr>
            <w:r>
              <w:rPr/>
              <w:t>  </w:t>
            </w:r>
          </w:p>
        </w:tc>
        <w:tc>
          <w:tcPr>
            <w:tcW w:w="4712" w:type="dxa"/>
            <w:tcBorders/>
          </w:tcPr>
          <w:p>
            <w:pPr>
              <w:pStyle w:val="TableContents"/>
              <w:bidi w:val="0"/>
              <w:spacing w:before="0" w:after="283"/>
              <w:jc w:val="left"/>
              <w:rPr>
                <w:sz w:val="4"/>
                <w:szCs w:val="4"/>
              </w:rPr>
            </w:pPr>
            <w:r>
              <w:rPr>
                <w:sz w:val="4"/>
                <w:szCs w:val="4"/>
              </w:rPr>
            </w:r>
          </w:p>
        </w:tc>
      </w:tr>
      <w:tr>
        <w:trPr/>
        <w:tc>
          <w:tcPr>
            <w:tcW w:w="2536" w:type="dxa"/>
            <w:tcBorders/>
          </w:tcPr>
          <w:p>
            <w:pPr>
              <w:pStyle w:val="TableContents"/>
              <w:bidi w:val="0"/>
              <w:spacing w:before="0" w:after="283"/>
              <w:jc w:val="left"/>
              <w:rPr/>
            </w:pPr>
            <w:r>
              <w:rPr/>
              <w:t xml:space="preserve">media@williams.com </w:t>
              <w:br/>
              <w:t xml:space="preserve">(800) 945-8723 </w:t>
            </w:r>
          </w:p>
        </w:tc>
        <w:tc>
          <w:tcPr>
            <w:tcW w:w="121" w:type="dxa"/>
            <w:tcBorders/>
            <w:vAlign w:val="bottom"/>
          </w:tcPr>
          <w:p>
            <w:pPr>
              <w:pStyle w:val="TableContents"/>
              <w:bidi w:val="0"/>
              <w:spacing w:before="0" w:after="283"/>
              <w:jc w:val="left"/>
              <w:rPr/>
            </w:pPr>
            <w:r>
              <w:rPr/>
              <w:t>  </w:t>
            </w:r>
          </w:p>
        </w:tc>
        <w:tc>
          <w:tcPr>
            <w:tcW w:w="2715" w:type="dxa"/>
            <w:tcBorders/>
          </w:tcPr>
          <w:p>
            <w:pPr>
              <w:pStyle w:val="TableContents"/>
              <w:bidi w:val="0"/>
              <w:spacing w:before="0" w:after="283"/>
              <w:jc w:val="left"/>
              <w:rPr/>
            </w:pPr>
            <w:r>
              <w:rPr/>
              <w:t>Caroline Sardella</w:t>
              <w:br/>
              <w:t>(918) 230-9992</w:t>
            </w:r>
          </w:p>
        </w:tc>
        <w:tc>
          <w:tcPr>
            <w:tcW w:w="121" w:type="dxa"/>
            <w:tcBorders/>
            <w:vAlign w:val="bottom"/>
          </w:tcPr>
          <w:p>
            <w:pPr>
              <w:pStyle w:val="TableContents"/>
              <w:bidi w:val="0"/>
              <w:spacing w:before="0" w:after="283"/>
              <w:jc w:val="left"/>
              <w:rPr/>
            </w:pPr>
            <w:r>
              <w:rPr/>
              <w:t>  </w:t>
            </w:r>
          </w:p>
        </w:tc>
        <w:tc>
          <w:tcPr>
            <w:tcW w:w="4712" w:type="dxa"/>
            <w:tcBorders/>
          </w:tcPr>
          <w:p>
            <w:pPr>
              <w:pStyle w:val="TableContents"/>
              <w:bidi w:val="0"/>
              <w:spacing w:before="0" w:after="0"/>
              <w:jc w:val="left"/>
              <w:rPr>
                <w:rFonts w:ascii="Times New Roman" w:hAnsi="Times New Roman"/>
                <w:sz w:val="20"/>
              </w:rPr>
            </w:pPr>
            <w:r>
              <w:rPr>
                <w:rFonts w:ascii="Times New Roman" w:hAnsi="Times New Roman"/>
                <w:sz w:val="20"/>
              </w:rPr>
              <w:t>Ashley Mitchell</w:t>
            </w:r>
          </w:p>
          <w:p>
            <w:pPr>
              <w:pStyle w:val="TableContents"/>
              <w:bidi w:val="0"/>
              <w:spacing w:before="0" w:after="20"/>
              <w:jc w:val="left"/>
              <w:rPr>
                <w:rFonts w:ascii="Times New Roman" w:hAnsi="Times New Roman"/>
                <w:sz w:val="20"/>
              </w:rPr>
            </w:pPr>
            <w:r>
              <w:rPr>
                <w:rFonts w:ascii="Times New Roman" w:hAnsi="Times New Roman"/>
                <w:sz w:val="20"/>
              </w:rPr>
              <w:t>(918) 240-6082</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Williams Prices $2.75 Billion of Senior Notes </w:t>
      </w:r>
    </w:p>
    <w:p>
      <w:pPr>
        <w:pStyle w:val="TextBody"/>
        <w:bidi w:val="0"/>
        <w:spacing w:before="240" w:after="0"/>
        <w:jc w:val="left"/>
        <w:rPr>
          <w:rFonts w:ascii="Times New Roman" w:hAnsi="Times New Roman"/>
          <w:sz w:val="20"/>
        </w:rPr>
      </w:pPr>
      <w:r>
        <w:rPr>
          <w:rFonts w:ascii="Times New Roman" w:hAnsi="Times New Roman"/>
          <w:sz w:val="20"/>
        </w:rPr>
        <w:t xml:space="preserve">Williams (NYSE: WMB) announced today that it has priced a public offering of $500 million of its 5.000% Senior Notes due 2029 at a price of 99.931 percent of par, $1.0 billion of its 5.600% Senior Notes due 2033 at a price of 99.999 percent of par, $750 million of its 5.800% Senior Notes due 2036 at a price of 99.819 percent of par, and $500 million of its 6.400% Senior Notes due 2056 at a price of 99.800 percent of par. The expected settlement date for the offering is September 10,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Williams intends to use the net proceeds of the offering to repay its outstanding commercial paper and for other general corporate purposes, including funding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Mizuho Securities USA LLC, Morgan Stanley &amp; Co. LLC and SMBC Nikko Securities America, Inc. are acting as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news release is neither an offer to sell nor a solicitation of an offer to buy any of these securities and shall not constitute an offer, solicitation or sale in any jurisdiction in which such offer, solicitation or sale is unlawful. </w:t>
      </w:r>
    </w:p>
    <w:p>
      <w:pPr>
        <w:pStyle w:val="TextBody"/>
        <w:bidi w:val="0"/>
        <w:spacing w:before="240" w:after="0"/>
        <w:jc w:val="left"/>
        <w:rPr>
          <w:rFonts w:ascii="Times New Roman" w:hAnsi="Times New Roman"/>
          <w:sz w:val="20"/>
        </w:rPr>
      </w:pPr>
      <w:r>
        <w:rPr>
          <w:rFonts w:ascii="Times New Roman" w:hAnsi="Times New Roman"/>
          <w:sz w:val="20"/>
        </w:rPr>
        <w:t xml:space="preserve">An automatic shelf registration statement relating to the notes was previously filed with the Securities and Exchange Commission (the “SEC”) and became effective upon filing. Before you invest, you should read the prospectus in the registration statement and other documents Williams has filed with the SEC for more complete information about Williams and the offering. A copy of the prospectus supplement and prospectus relating to the offering may be obtained on the SEC website at </w:t>
      </w:r>
      <w:r>
        <w:rPr>
          <w:rFonts w:ascii="Times New Roman" w:hAnsi="Times New Roman"/>
          <w:sz w:val="20"/>
          <w:u w:val="single"/>
        </w:rPr>
        <w:t>www.sec.gov</w:t>
      </w:r>
      <w:r>
        <w:rPr>
          <w:rFonts w:ascii="Times New Roman" w:hAnsi="Times New Roman"/>
          <w:sz w:val="20"/>
        </w:rPr>
        <w:t xml:space="preserve"> or from any of the underwriters by contacting: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c/o Broadridge Financial Solutions </w:t>
      </w:r>
    </w:p>
    <w:p>
      <w:pPr>
        <w:pStyle w:val="TextBody"/>
        <w:bidi w:val="0"/>
        <w:spacing w:before="0" w:after="0"/>
        <w:jc w:val="left"/>
        <w:rPr>
          <w:rFonts w:ascii="Times New Roman" w:hAnsi="Times New Roman"/>
          <w:sz w:val="20"/>
        </w:rPr>
      </w:pPr>
      <w:r>
        <w:rPr>
          <w:rFonts w:ascii="Times New Roman" w:hAnsi="Times New Roman"/>
          <w:sz w:val="20"/>
        </w:rPr>
        <w:t xml:space="preserve">1155 Long Island Avenue </w:t>
      </w:r>
    </w:p>
    <w:p>
      <w:pPr>
        <w:pStyle w:val="TextBody"/>
        <w:bidi w:val="0"/>
        <w:spacing w:before="0" w:after="0"/>
        <w:jc w:val="left"/>
        <w:rPr>
          <w:rFonts w:ascii="Times New Roman" w:hAnsi="Times New Roman"/>
          <w:sz w:val="20"/>
        </w:rPr>
      </w:pPr>
      <w:r>
        <w:rPr>
          <w:rFonts w:ascii="Times New Roman" w:hAnsi="Times New Roman"/>
          <w:sz w:val="20"/>
        </w:rPr>
        <w:t xml:space="preserve">Edgewood, New York 11717 </w:t>
      </w:r>
    </w:p>
    <w:p>
      <w:pPr>
        <w:pStyle w:val="TextBody"/>
        <w:bidi w:val="0"/>
        <w:spacing w:before="0" w:after="0"/>
        <w:jc w:val="left"/>
        <w:rPr>
          <w:rFonts w:ascii="Times New Roman" w:hAnsi="Times New Roman"/>
          <w:sz w:val="20"/>
        </w:rPr>
      </w:pPr>
      <w:r>
        <w:rPr>
          <w:rFonts w:ascii="Times New Roman" w:hAnsi="Times New Roman"/>
          <w:sz w:val="20"/>
        </w:rPr>
        <w:t xml:space="preserve">Telephone: 1-800 831-9146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prospectus@citi.com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 Mizuho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rPr>
        <w:t xml:space="preserve">Attn: Debt Capital Markets </w:t>
      </w:r>
    </w:p>
    <w:p>
      <w:pPr>
        <w:pStyle w:val="TextBody"/>
        <w:bidi w:val="0"/>
        <w:spacing w:before="0" w:after="0"/>
        <w:jc w:val="left"/>
        <w:rPr>
          <w:rFonts w:ascii="Times New Roman" w:hAnsi="Times New Roman"/>
          <w:sz w:val="20"/>
        </w:rPr>
      </w:pPr>
      <w:r>
        <w:rPr>
          <w:rFonts w:ascii="Times New Roman" w:hAnsi="Times New Roman"/>
          <w:sz w:val="20"/>
        </w:rPr>
        <w:t xml:space="preserve">Telephone: 1-866-271-7403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Attn: Investment Banking Division </w:t>
      </w:r>
    </w:p>
    <w:p>
      <w:pPr>
        <w:pStyle w:val="TextBody"/>
        <w:bidi w:val="0"/>
        <w:spacing w:before="0" w:after="0"/>
        <w:jc w:val="left"/>
        <w:rPr>
          <w:rFonts w:ascii="Times New Roman" w:hAnsi="Times New Roman"/>
          <w:sz w:val="20"/>
        </w:rPr>
      </w:pPr>
      <w:r>
        <w:rPr>
          <w:rFonts w:ascii="Times New Roman" w:hAnsi="Times New Roman"/>
          <w:sz w:val="20"/>
        </w:rPr>
        <w:t xml:space="preserve">Telephone: 1-866-718-1649 </w:t>
      </w:r>
    </w:p>
    <w:p>
      <w:pPr>
        <w:pStyle w:val="TextBody"/>
        <w:bidi w:val="0"/>
        <w:spacing w:before="240" w:after="0"/>
        <w:jc w:val="left"/>
        <w:rPr>
          <w:rFonts w:ascii="Times New Roman" w:hAnsi="Times New Roman"/>
          <w:sz w:val="20"/>
        </w:rPr>
      </w:pPr>
      <w:r>
        <w:rPr>
          <w:rFonts w:ascii="Times New Roman" w:hAnsi="Times New Roman"/>
          <w:sz w:val="20"/>
        </w:rPr>
        <w:t>SMBC Nikko Securities America, Inc.</w:t>
      </w:r>
    </w:p>
    <w:p>
      <w:pPr>
        <w:pStyle w:val="TextBody"/>
        <w:bidi w:val="0"/>
        <w:spacing w:before="0" w:after="0"/>
        <w:jc w:val="left"/>
        <w:rPr>
          <w:rFonts w:ascii="Times New Roman" w:hAnsi="Times New Roman"/>
          <w:sz w:val="20"/>
        </w:rPr>
      </w:pPr>
      <w:r>
        <w:rPr>
          <w:rFonts w:ascii="Times New Roman" w:hAnsi="Times New Roman"/>
          <w:sz w:val="20"/>
        </w:rPr>
        <w:t>277 Park Avenue, 5th Floor</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10172 </w:t>
      </w:r>
    </w:p>
    <w:p>
      <w:pPr>
        <w:pStyle w:val="TextBody"/>
        <w:bidi w:val="0"/>
        <w:spacing w:before="0" w:after="0"/>
        <w:jc w:val="left"/>
        <w:rPr>
          <w:rFonts w:ascii="Times New Roman" w:hAnsi="Times New Roman"/>
          <w:sz w:val="20"/>
        </w:rPr>
      </w:pPr>
      <w:r>
        <w:rPr>
          <w:rFonts w:ascii="Times New Roman" w:hAnsi="Times New Roman"/>
          <w:sz w:val="20"/>
        </w:rPr>
        <w:t xml:space="preserve">Attention: Debt Capital Markets </w:t>
      </w:r>
    </w:p>
    <w:p>
      <w:pPr>
        <w:pStyle w:val="TextBody"/>
        <w:bidi w:val="0"/>
        <w:spacing w:before="0" w:after="0"/>
        <w:jc w:val="left"/>
        <w:rPr>
          <w:rFonts w:ascii="Times New Roman" w:hAnsi="Times New Roman"/>
          <w:sz w:val="20"/>
        </w:rPr>
      </w:pPr>
      <w:r>
        <w:rPr>
          <w:rFonts w:ascii="Times New Roman" w:hAnsi="Times New Roman"/>
          <w:sz w:val="20"/>
        </w:rPr>
        <w:t>Email: </w:t>
      </w:r>
      <w:r>
        <w:rPr>
          <w:rFonts w:ascii="Times New Roman" w:hAnsi="Times New Roman"/>
          <w:sz w:val="20"/>
          <w:u w:val="single"/>
        </w:rPr>
        <w:t>NikkoGCNotices@smbcnikko-si.com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Williams </w:t>
      </w:r>
    </w:p>
    <w:p>
      <w:pPr>
        <w:pStyle w:val="TextBody"/>
        <w:bidi w:val="0"/>
        <w:spacing w:before="120" w:after="0"/>
        <w:jc w:val="left"/>
        <w:rPr>
          <w:rFonts w:ascii="Times New Roman" w:hAnsi="Times New Roman"/>
          <w:sz w:val="20"/>
        </w:rPr>
      </w:pPr>
      <w:r>
        <w:rPr>
          <w:rFonts w:ascii="Times New Roman" w:hAnsi="Times New Roman"/>
          <w:sz w:val="20"/>
        </w:rPr>
        <w:t xml:space="preserve">Williams (NYSE: WMB) is a trusted energy industry leader committed to safely, reliably, and responsibly meeting growing energy demand. We use our infrastructure to deliver one third of the nation’s natural gas to where it’s needed most, supplying the energy used to heat our homes, cook our food and generate low-carbon electricity. For over a century, we’ve been driven by a passion for doing things the right way. Today, our team of problem solvers is leading the charge into the clean energy future. </w:t>
      </w:r>
    </w:p>
    <w:p>
      <w:pPr>
        <w:pStyle w:val="TextBody"/>
        <w:bidi w:val="0"/>
        <w:spacing w:before="240" w:after="0"/>
        <w:jc w:val="left"/>
        <w:rPr>
          <w:rFonts w:ascii="Times New Roman" w:hAnsi="Times New Roman"/>
          <w:i/>
          <w:sz w:val="20"/>
        </w:rPr>
      </w:pPr>
      <w:r>
        <w:rPr>
          <w:rFonts w:ascii="Times New Roman" w:hAnsi="Times New Roman"/>
          <w:i/>
          <w:sz w:val="20"/>
        </w:rPr>
        <w:t xml:space="preserve">Portions of this document may constitute “forward-looking statements” as defined by federal law. Although Williams believes any such statements are based on reasonable assumptions, there is no assurance that actual outcomes will not be materially different. Any such statements are made in reliance on the “safe harbor” protections provided under the Private Securities Reform Act of 1995. Additional information about issues that could lead to material changes in performance is contained in Williams’ annual and quarterly reports filed with the SEC.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39123</Words>
  <Characters>202783</Characters>
  <CharactersWithSpaces>243349</CharactersWithSpaces>
  <Paragraphs>2983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