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37"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40" w:lineRule="exact"/>
        <w:rPr>
          <w:sz w:val="24"/>
          <w:szCs w:val="24"/>
          <w:color w:val="auto"/>
        </w:rPr>
      </w:pPr>
    </w:p>
    <w:p>
      <w:pPr>
        <w:ind w:left="1060" w:hanging="633"/>
        <w:spacing w:after="0"/>
        <w:tabs>
          <w:tab w:leader="none" w:pos="10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82" w:lineRule="exact"/>
        <w:rPr>
          <w:sz w:val="24"/>
          <w:szCs w:val="24"/>
          <w:color w:val="auto"/>
        </w:rPr>
      </w:pPr>
    </w:p>
    <w:p>
      <w:pPr>
        <w:ind w:left="1060"/>
        <w:spacing w:after="0"/>
        <w:tabs>
          <w:tab w:leader="none" w:pos="3660" w:val="left"/>
        </w:tabs>
        <w:rPr>
          <w:sz w:val="20"/>
          <w:szCs w:val="20"/>
          <w:color w:val="auto"/>
        </w:rPr>
      </w:pPr>
      <w:r>
        <w:rPr>
          <w:rFonts w:ascii="Arial" w:cs="Arial" w:eastAsia="Arial" w:hAnsi="Arial"/>
          <w:sz w:val="20"/>
          <w:szCs w:val="20"/>
          <w:b w:val="1"/>
          <w:bCs w:val="1"/>
          <w:color w:val="auto"/>
        </w:rPr>
        <w:t>For the fiscal year ended</w:t>
      </w:r>
      <w:r>
        <w:rPr>
          <w:sz w:val="20"/>
          <w:szCs w:val="20"/>
          <w:color w:val="auto"/>
        </w:rPr>
        <w:tab/>
      </w:r>
      <w:r>
        <w:rPr>
          <w:rFonts w:ascii="Arial" w:cs="Arial" w:eastAsia="Arial" w:hAnsi="Arial"/>
          <w:sz w:val="16"/>
          <w:szCs w:val="16"/>
          <w:b w:val="1"/>
          <w:bCs w:val="1"/>
          <w:color w:val="auto"/>
        </w:rPr>
        <w:t>December 31, 2019</w:t>
      </w:r>
    </w:p>
    <w:p>
      <w:pPr>
        <w:spacing w:after="0" w:line="51" w:lineRule="exact"/>
        <w:rPr>
          <w:sz w:val="24"/>
          <w:szCs w:val="24"/>
          <w:color w:val="auto"/>
        </w:rPr>
      </w:pPr>
    </w:p>
    <w:p>
      <w:pPr>
        <w:ind w:left="6060"/>
        <w:spacing w:after="0"/>
        <w:rPr>
          <w:sz w:val="20"/>
          <w:szCs w:val="20"/>
          <w:color w:val="auto"/>
        </w:rPr>
      </w:pPr>
      <w:r>
        <w:rPr>
          <w:rFonts w:ascii="Arial" w:cs="Arial" w:eastAsia="Arial" w:hAnsi="Arial"/>
          <w:sz w:val="20"/>
          <w:szCs w:val="20"/>
          <w:b w:val="1"/>
          <w:bCs w:val="1"/>
          <w:color w:val="auto"/>
        </w:rPr>
        <w:t>OR</w:t>
      </w:r>
    </w:p>
    <w:p>
      <w:pPr>
        <w:ind w:left="1060" w:hanging="633"/>
        <w:spacing w:after="0" w:line="199" w:lineRule="auto"/>
        <w:tabs>
          <w:tab w:leader="none" w:pos="1060" w:val="left"/>
        </w:tabs>
        <w:numPr>
          <w:ilvl w:val="0"/>
          <w:numId w:val="2"/>
        </w:numPr>
        <w:rPr>
          <w:rFonts w:ascii="MS PGothic" w:cs="MS PGothic" w:eastAsia="MS PGothic" w:hAnsi="MS PGothic"/>
          <w:sz w:val="9"/>
          <w:szCs w:val="9"/>
          <w:color w:val="auto"/>
        </w:rPr>
      </w:pPr>
      <w:r>
        <w:rPr>
          <w:rFonts w:ascii="Arial" w:cs="Arial" w:eastAsia="Arial" w:hAnsi="Arial"/>
          <w:sz w:val="8"/>
          <w:szCs w:val="8"/>
          <w:b w:val="1"/>
          <w:bCs w:val="1"/>
          <w:color w:val="auto"/>
        </w:rPr>
        <w:t>TRANSITION REPORT PURSUANT TO SECTION 13 OR 15(d) OF THE SECURITIES EXCHANGE ACT OF 1934</w:t>
      </w:r>
    </w:p>
    <w:p>
      <w:pPr>
        <w:spacing w:after="0" w:line="286" w:lineRule="exact"/>
        <w:rPr>
          <w:sz w:val="24"/>
          <w:szCs w:val="24"/>
          <w:color w:val="auto"/>
        </w:rPr>
      </w:pPr>
    </w:p>
    <w:p>
      <w:pPr>
        <w:ind w:left="1060"/>
        <w:spacing w:after="0"/>
        <w:tabs>
          <w:tab w:leader="none" w:pos="468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1-4174</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Williams Companies,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715" w:right="239" w:bottom="1440" w:gutter="0" w:footer="0" w:header="0"/>
        </w:sectPr>
      </w:pPr>
    </w:p>
    <w:p>
      <w:pPr>
        <w:spacing w:after="0" w:line="159" w:lineRule="exact"/>
        <w:rPr>
          <w:sz w:val="24"/>
          <w:szCs w:val="24"/>
          <w:color w:val="auto"/>
        </w:rPr>
      </w:pPr>
    </w:p>
    <w:p>
      <w:pPr>
        <w:ind w:left="29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73-0569878</w:t>
      </w:r>
    </w:p>
    <w:p>
      <w:pPr>
        <w:spacing w:after="0" w:line="57" w:lineRule="exact"/>
        <w:rPr>
          <w:sz w:val="24"/>
          <w:szCs w:val="24"/>
          <w:color w:val="auto"/>
        </w:rPr>
      </w:pPr>
    </w:p>
    <w:p>
      <w:pPr>
        <w:sectPr>
          <w:pgSz w:w="11900" w:h="16838" w:orient="portrait"/>
          <w:cols w:equalWidth="0" w:num="2">
            <w:col w:w="8060" w:space="720"/>
            <w:col w:w="2640"/>
          </w:cols>
          <w:pgMar w:left="240" w:top="715" w:right="239" w:bottom="1440" w:gutter="0" w:footer="0" w:header="0"/>
          <w:type w:val="continuous"/>
        </w:sectPr>
      </w:pPr>
    </w:p>
    <w:p>
      <w:pPr>
        <w:ind w:left="240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ind w:left="23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jc w:val="center"/>
        <w:ind w:right="1740"/>
        <w:spacing w:after="0"/>
        <w:rPr>
          <w:sz w:val="20"/>
          <w:szCs w:val="20"/>
          <w:color w:val="auto"/>
        </w:rPr>
      </w:pPr>
      <w:r>
        <w:rPr>
          <w:rFonts w:ascii="Arial" w:cs="Arial" w:eastAsia="Arial" w:hAnsi="Arial"/>
          <w:sz w:val="14"/>
          <w:szCs w:val="14"/>
          <w:color w:val="auto"/>
        </w:rPr>
        <w:t>(IRS Employer</w:t>
      </w:r>
    </w:p>
    <w:p>
      <w:pPr>
        <w:jc w:val="center"/>
        <w:ind w:right="1740"/>
        <w:spacing w:after="0"/>
        <w:rPr>
          <w:sz w:val="20"/>
          <w:szCs w:val="20"/>
          <w:color w:val="auto"/>
        </w:rPr>
      </w:pPr>
      <w:r>
        <w:rPr>
          <w:rFonts w:ascii="Arial" w:cs="Arial" w:eastAsia="Arial" w:hAnsi="Arial"/>
          <w:sz w:val="13"/>
          <w:szCs w:val="13"/>
          <w:color w:val="auto"/>
        </w:rPr>
        <w:t>Identification No.)</w:t>
      </w:r>
    </w:p>
    <w:p>
      <w:pPr>
        <w:spacing w:after="0" w:line="159" w:lineRule="exact"/>
        <w:rPr>
          <w:sz w:val="24"/>
          <w:szCs w:val="24"/>
          <w:color w:val="auto"/>
        </w:rPr>
      </w:pPr>
    </w:p>
    <w:p>
      <w:pPr>
        <w:sectPr>
          <w:pgSz w:w="11900" w:h="16838" w:orient="portrait"/>
          <w:cols w:equalWidth="0" w:num="2">
            <w:col w:w="7880" w:space="720"/>
            <w:col w:w="2820"/>
          </w:cols>
          <w:pgMar w:left="240" w:top="715" w:right="239" w:bottom="1440" w:gutter="0" w:footer="0" w:header="0"/>
          <w:type w:val="continuous"/>
        </w:sectPr>
      </w:pPr>
    </w:p>
    <w:p>
      <w:pPr>
        <w:ind w:left="2620"/>
        <w:spacing w:after="0"/>
        <w:rPr>
          <w:sz w:val="20"/>
          <w:szCs w:val="20"/>
          <w:color w:val="auto"/>
        </w:rPr>
      </w:pPr>
      <w:r>
        <w:rPr>
          <w:rFonts w:ascii="Arial" w:cs="Arial" w:eastAsia="Arial" w:hAnsi="Arial"/>
          <w:sz w:val="13"/>
          <w:szCs w:val="13"/>
          <w:b w:val="1"/>
          <w:bCs w:val="1"/>
          <w:color w:val="auto"/>
        </w:rPr>
        <w:t>One Williams Center</w:t>
      </w:r>
    </w:p>
    <w:p>
      <w:pPr>
        <w:sectPr>
          <w:pgSz w:w="11900" w:h="16838" w:orient="portrait"/>
          <w:cols w:equalWidth="0" w:num="1">
            <w:col w:w="11420"/>
          </w:cols>
          <w:pgMar w:left="240" w:top="715" w:right="239" w:bottom="1440" w:gutter="0" w:footer="0" w:header="0"/>
          <w:type w:val="continuous"/>
        </w:sectPr>
      </w:pPr>
    </w:p>
    <w:p>
      <w:pPr>
        <w:spacing w:after="0" w:line="121" w:lineRule="exact"/>
        <w:rPr>
          <w:sz w:val="24"/>
          <w:szCs w:val="24"/>
          <w:color w:val="auto"/>
        </w:rPr>
      </w:pPr>
    </w:p>
    <w:p>
      <w:pPr>
        <w:ind w:left="1500"/>
        <w:spacing w:after="0"/>
        <w:rPr>
          <w:sz w:val="20"/>
          <w:szCs w:val="20"/>
          <w:color w:val="auto"/>
        </w:rPr>
      </w:pPr>
      <w:r>
        <w:rPr>
          <w:rFonts w:ascii="Arial" w:cs="Arial" w:eastAsia="Arial" w:hAnsi="Arial"/>
          <w:sz w:val="13"/>
          <w:szCs w:val="13"/>
          <w:b w:val="1"/>
          <w:bCs w:val="1"/>
          <w:color w:val="auto"/>
        </w:rPr>
        <w:t>Tulsa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Oklahoma</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74172</w:t>
      </w:r>
    </w:p>
    <w:p>
      <w:pPr>
        <w:spacing w:after="0" w:line="68" w:lineRule="exact"/>
        <w:rPr>
          <w:sz w:val="24"/>
          <w:szCs w:val="24"/>
          <w:color w:val="auto"/>
        </w:rPr>
      </w:pPr>
    </w:p>
    <w:p>
      <w:pPr>
        <w:sectPr>
          <w:pgSz w:w="11900" w:h="16838" w:orient="portrait"/>
          <w:cols w:equalWidth="0" w:num="3">
            <w:col w:w="3880" w:space="720"/>
            <w:col w:w="3640" w:space="720"/>
            <w:col w:w="2460"/>
          </w:cols>
          <w:pgMar w:left="240" w:top="715" w:right="239" w:bottom="1440" w:gutter="0" w:footer="0" w:header="0"/>
          <w:type w:val="continuous"/>
        </w:sectPr>
      </w:pPr>
    </w:p>
    <w:p>
      <w:pPr>
        <w:ind w:left="20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76" w:lineRule="exact"/>
        <w:rPr>
          <w:sz w:val="24"/>
          <w:szCs w:val="24"/>
          <w:color w:val="auto"/>
        </w:rPr>
      </w:pPr>
    </w:p>
    <w:p>
      <w:pPr>
        <w:sectPr>
          <w:pgSz w:w="11900" w:h="16838" w:orient="portrait"/>
          <w:cols w:equalWidth="0" w:num="2">
            <w:col w:w="8100" w:space="720"/>
            <w:col w:w="2600"/>
          </w:cols>
          <w:pgMar w:left="240" w:top="715" w:right="239" w:bottom="1440" w:gutter="0" w:footer="0" w:header="0"/>
          <w:type w:val="continuous"/>
        </w:sectPr>
      </w:pPr>
    </w:p>
    <w:p>
      <w:pPr>
        <w:ind w:left="5300"/>
        <w:spacing w:after="0"/>
        <w:rPr>
          <w:sz w:val="20"/>
          <w:szCs w:val="20"/>
          <w:color w:val="auto"/>
        </w:rPr>
      </w:pPr>
      <w:r>
        <w:rPr>
          <w:rFonts w:ascii="Arial" w:cs="Arial" w:eastAsia="Arial" w:hAnsi="Arial"/>
          <w:sz w:val="14"/>
          <w:szCs w:val="14"/>
          <w:b w:val="1"/>
          <w:bCs w:val="1"/>
          <w:color w:val="auto"/>
        </w:rPr>
        <w:t>918-573-2000</w:t>
      </w:r>
    </w:p>
    <w:p>
      <w:pPr>
        <w:spacing w:after="0" w:line="17" w:lineRule="exact"/>
        <w:rPr>
          <w:sz w:val="24"/>
          <w:szCs w:val="24"/>
          <w:color w:val="auto"/>
        </w:rPr>
      </w:pPr>
    </w:p>
    <w:p>
      <w:pPr>
        <w:ind w:left="4120"/>
        <w:spacing w:after="0"/>
        <w:rPr>
          <w:sz w:val="20"/>
          <w:szCs w:val="20"/>
          <w:color w:val="auto"/>
        </w:rPr>
      </w:pPr>
      <w:r>
        <w:rPr>
          <w:rFonts w:ascii="Arial" w:cs="Arial" w:eastAsia="Arial" w:hAnsi="Arial"/>
          <w:sz w:val="13"/>
          <w:szCs w:val="13"/>
          <w:color w:val="auto"/>
        </w:rPr>
        <w:t>(Registrant’s Telephone Number, Including Area Code)</w:t>
      </w:r>
    </w:p>
    <w:p>
      <w:pPr>
        <w:spacing w:after="0" w:line="13"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420"/>
          </w:cols>
          <w:pgMar w:left="240" w:top="715" w:right="239" w:bottom="1440" w:gutter="0" w:footer="0" w:header="0"/>
          <w:type w:val="continuous"/>
        </w:sectPr>
      </w:pPr>
    </w:p>
    <w:p>
      <w:pPr>
        <w:spacing w:after="0" w:line="377" w:lineRule="exact"/>
        <w:rPr>
          <w:sz w:val="24"/>
          <w:szCs w:val="24"/>
          <w:color w:val="auto"/>
        </w:rPr>
      </w:pPr>
    </w:p>
    <w:p>
      <w:pPr>
        <w:ind w:left="1360"/>
        <w:spacing w:after="0"/>
        <w:rPr>
          <w:sz w:val="20"/>
          <w:szCs w:val="20"/>
          <w:color w:val="auto"/>
        </w:rPr>
      </w:pPr>
      <w:r>
        <w:rPr>
          <w:rFonts w:ascii="Arial" w:cs="Arial" w:eastAsia="Arial" w:hAnsi="Arial"/>
          <w:sz w:val="13"/>
          <w:szCs w:val="13"/>
          <w:color w:val="auto"/>
        </w:rPr>
        <w:t>Common Stock, $1.00 par value</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jc w:val="center"/>
        <w:ind w:right="1740"/>
        <w:spacing w:after="0"/>
        <w:rPr>
          <w:sz w:val="20"/>
          <w:szCs w:val="20"/>
          <w:color w:val="auto"/>
        </w:rPr>
      </w:pPr>
      <w:r>
        <w:rPr>
          <w:rFonts w:ascii="Arial" w:cs="Arial" w:eastAsia="Arial" w:hAnsi="Arial"/>
          <w:sz w:val="14"/>
          <w:szCs w:val="14"/>
          <w:color w:val="auto"/>
        </w:rPr>
        <w:t>WMB</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Arial" w:cs="Arial" w:eastAsia="Arial" w:hAnsi="Arial"/>
          <w:sz w:val="13"/>
          <w:szCs w:val="13"/>
          <w:color w:val="auto"/>
        </w:rPr>
        <w:t>New York Stock Exchange</w:t>
      </w:r>
    </w:p>
    <w:p>
      <w:pPr>
        <w:spacing w:after="0" w:line="76" w:lineRule="exact"/>
        <w:rPr>
          <w:sz w:val="24"/>
          <w:szCs w:val="24"/>
          <w:color w:val="auto"/>
        </w:rPr>
      </w:pPr>
    </w:p>
    <w:p>
      <w:pPr>
        <w:sectPr>
          <w:pgSz w:w="11900" w:h="16838" w:orient="portrait"/>
          <w:cols w:equalWidth="0" w:num="3">
            <w:col w:w="4940" w:space="720"/>
            <w:col w:w="2100" w:space="720"/>
            <w:col w:w="2940"/>
          </w:cols>
          <w:pgMar w:left="240" w:top="715" w:right="2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420"/>
          </w:cols>
          <w:pgMar w:left="240" w:top="715" w:right="239" w:bottom="1440" w:gutter="0" w:footer="0" w:header="0"/>
          <w:type w:val="continuous"/>
        </w:sectPr>
      </w:pPr>
    </w:p>
    <w:p>
      <w:pPr>
        <w:spacing w:after="0" w:line="92" w:lineRule="exact"/>
        <w:rPr>
          <w:sz w:val="24"/>
          <w:szCs w:val="24"/>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3"/>
          <w:szCs w:val="13"/>
          <w:color w:val="auto"/>
        </w:rPr>
        <w:t>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4" w:lineRule="exact"/>
        <w:rPr>
          <w:sz w:val="24"/>
          <w:szCs w:val="24"/>
          <w:color w:val="auto"/>
        </w:rPr>
      </w:pPr>
    </w:p>
    <w:p>
      <w:pPr>
        <w:sectPr>
          <w:pgSz w:w="11900" w:h="16838" w:orient="portrait"/>
          <w:cols w:equalWidth="0" w:num="3">
            <w:col w:w="7180" w:space="160"/>
            <w:col w:w="440" w:space="140"/>
            <w:col w:w="3500"/>
          </w:cols>
          <w:pgMar w:left="240" w:top="715"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5"/>
          <w:szCs w:val="15"/>
          <w:color w:val="auto"/>
        </w:rPr>
        <w:t>☑</w:t>
      </w:r>
    </w:p>
    <w:p>
      <w:pPr>
        <w:spacing w:after="0" w:line="147" w:lineRule="exact"/>
        <w:rPr>
          <w:sz w:val="24"/>
          <w:szCs w:val="24"/>
          <w:color w:val="auto"/>
        </w:rPr>
      </w:pPr>
    </w:p>
    <w:p>
      <w:pPr>
        <w:sectPr>
          <w:pgSz w:w="11900" w:h="16838" w:orient="portrait"/>
          <w:cols w:equalWidth="0" w:num="4">
            <w:col w:w="7320" w:space="160"/>
            <w:col w:w="220" w:space="80"/>
            <w:col w:w="140" w:space="140"/>
            <w:col w:w="3360"/>
          </w:cols>
          <w:pgMar w:left="240" w:top="715" w:right="239" w:bottom="1440" w:gutter="0" w:footer="0" w:header="0"/>
          <w:type w:val="continuous"/>
        </w:sectPr>
      </w:pPr>
    </w:p>
    <w:p>
      <w:pPr>
        <w:spacing w:after="0" w:line="21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4" w:lineRule="exact"/>
        <w:rPr>
          <w:sz w:val="24"/>
          <w:szCs w:val="24"/>
          <w:color w:val="auto"/>
        </w:rPr>
      </w:pPr>
    </w:p>
    <w:p>
      <w:pPr>
        <w:spacing w:after="0" w:line="31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p>
      <w:pPr>
        <w:ind w:left="40"/>
        <w:spacing w:after="0" w:line="291" w:lineRule="exact"/>
        <w:tabs>
          <w:tab w:leader="none" w:pos="1700" w:val="left"/>
          <w:tab w:leader="none" w:pos="2500" w:val="left"/>
          <w:tab w:leader="none" w:pos="4020" w:val="left"/>
          <w:tab w:leader="none" w:pos="4680" w:val="left"/>
          <w:tab w:leader="none" w:pos="6240" w:val="left"/>
          <w:tab w:leader="none" w:pos="6880" w:val="left"/>
          <w:tab w:leader="none" w:pos="8840" w:val="left"/>
          <w:tab w:leader="none" w:pos="95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29"/>
          <w:szCs w:val="29"/>
          <w:color w:val="auto"/>
          <w:vertAlign w:val="superscript"/>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25"/>
          <w:szCs w:val="25"/>
          <w:color w:val="auto"/>
          <w:vertAlign w:val="superscript"/>
        </w:rPr>
        <w:t>☐</w:t>
      </w:r>
    </w:p>
    <w:p>
      <w:pPr>
        <w:spacing w:after="0" w:line="25"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3" w:lineRule="exact"/>
        <w:tabs>
          <w:tab w:leader="none" w:pos="6440" w:val="left"/>
          <w:tab w:leader="none" w:pos="70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6" w:lineRule="exact"/>
        <w:rPr>
          <w:sz w:val="24"/>
          <w:szCs w:val="24"/>
          <w:color w:val="auto"/>
        </w:rPr>
      </w:pPr>
    </w:p>
    <w:p>
      <w:pPr>
        <w:spacing w:after="0" w:line="274" w:lineRule="auto"/>
        <w:rPr>
          <w:sz w:val="20"/>
          <w:szCs w:val="20"/>
          <w:color w:val="auto"/>
        </w:rPr>
      </w:pPr>
      <w:r>
        <w:rPr>
          <w:rFonts w:ascii="Arial" w:cs="Arial" w:eastAsia="Arial" w:hAnsi="Arial"/>
          <w:sz w:val="15"/>
          <w:szCs w:val="15"/>
          <w:color w:val="auto"/>
        </w:rPr>
        <w:t>The aggregate market value of the voting and non-voting common equity held by non-affiliates computed by reference to the price at which the common equity was last sold as of the last business day of the registrant’s most recently completed second quarter was approximately $32,986,794,536.</w:t>
      </w:r>
    </w:p>
    <w:p>
      <w:pPr>
        <w:spacing w:after="0" w:line="11" w:lineRule="exact"/>
        <w:rPr>
          <w:sz w:val="24"/>
          <w:szCs w:val="24"/>
          <w:color w:val="auto"/>
        </w:rPr>
      </w:pPr>
    </w:p>
    <w:p>
      <w:pPr>
        <w:jc w:val="right"/>
        <w:ind w:right="3940"/>
        <w:spacing w:after="0" w:line="327" w:lineRule="auto"/>
        <w:rPr>
          <w:sz w:val="20"/>
          <w:szCs w:val="20"/>
          <w:color w:val="auto"/>
        </w:rPr>
      </w:pPr>
      <w:r>
        <w:rPr>
          <w:rFonts w:ascii="Arial" w:cs="Arial" w:eastAsia="Arial" w:hAnsi="Arial"/>
          <w:sz w:val="15"/>
          <w:szCs w:val="15"/>
          <w:color w:val="auto"/>
        </w:rPr>
        <w:t xml:space="preserve">The number of shares outstanding of the registrant’s common stock outstanding at February 19, 2020 was 1,212,494,859. </w:t>
      </w:r>
      <w:r>
        <w:rPr>
          <w:rFonts w:ascii="Arial" w:cs="Arial" w:eastAsia="Arial" w:hAnsi="Arial"/>
          <w:sz w:val="15"/>
          <w:szCs w:val="15"/>
          <w:b w:val="1"/>
          <w:bCs w:val="1"/>
          <w:color w:val="auto"/>
        </w:rPr>
        <w:t>DOCUMENTS INCORPORATED BY REFERENCE</w:t>
      </w:r>
    </w:p>
    <w:p>
      <w:pPr>
        <w:spacing w:after="0" w:line="1"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Portions of the Registrant’s Definitive Proxy Statement for the Registrant’s Annual Meeting of Stockholders to be held on April 28, 2020, are incorporated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20" w:type="dxa"/>
            <w:vAlign w:val="bottom"/>
            <w:gridSpan w:val="8"/>
          </w:tcPr>
          <w:p>
            <w:pPr>
              <w:jc w:val="center"/>
              <w:ind w:right="3060"/>
              <w:spacing w:after="0"/>
              <w:rPr>
                <w:sz w:val="20"/>
                <w:szCs w:val="20"/>
                <w:color w:val="auto"/>
              </w:rPr>
            </w:pPr>
            <w:r>
              <w:rPr>
                <w:rFonts w:ascii="Arial" w:cs="Arial" w:eastAsia="Arial" w:hAnsi="Arial"/>
                <w:sz w:val="18"/>
                <w:szCs w:val="18"/>
                <w:b w:val="1"/>
                <w:bCs w:val="1"/>
                <w:color w:val="auto"/>
              </w:rPr>
              <w:t>THE WILLIAMS COMPANIES, INC.</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5"/>
          </w:tcPr>
          <w:p>
            <w:pPr>
              <w:jc w:val="center"/>
              <w:ind w:right="398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00" w:type="dxa"/>
            <w:vAlign w:val="bottom"/>
            <w:gridSpan w:val="7"/>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20" w:type="dxa"/>
            <w:vAlign w:val="bottom"/>
            <w:gridSpan w:val="4"/>
          </w:tcPr>
          <w:p>
            <w:pPr>
              <w:ind w:left="34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40" w:type="dxa"/>
            <w:vAlign w:val="bottom"/>
            <w:gridSpan w:val="6"/>
            <w:vMerge w:val="restart"/>
          </w:tcPr>
          <w:p>
            <w:pPr>
              <w:jc w:val="center"/>
              <w:ind w:right="4760"/>
              <w:spacing w:after="0"/>
              <w:rPr>
                <w:sz w:val="20"/>
                <w:szCs w:val="20"/>
                <w:color w:val="auto"/>
              </w:rPr>
            </w:pPr>
            <w:r>
              <w:rPr>
                <w:rFonts w:ascii="Arial" w:cs="Arial" w:eastAsia="Arial" w:hAnsi="Arial"/>
                <w:sz w:val="16"/>
                <w:szCs w:val="16"/>
                <w:b w:val="1"/>
                <w:bCs w:val="1"/>
                <w:color w:val="auto"/>
                <w:w w:val="99"/>
              </w:rPr>
              <w:t>PART I</w:t>
            </w: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40" w:type="dxa"/>
            <w:vAlign w:val="bottom"/>
            <w:gridSpan w:val="6"/>
            <w:vMerge w:val="continue"/>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5">
              <w:r>
                <w:rPr>
                  <w:rFonts w:ascii="Arial" w:cs="Arial" w:eastAsia="Arial" w:hAnsi="Arial"/>
                  <w:sz w:val="16"/>
                  <w:szCs w:val="16"/>
                  <w:color w:val="0000EE"/>
                  <w:w w:val="86"/>
                </w:rPr>
                <w:t>Business</w:t>
              </w:r>
            </w:hyperlink>
          </w:p>
        </w:tc>
        <w:tc>
          <w:tcPr>
            <w:tcW w:w="8740" w:type="dxa"/>
            <w:vAlign w:val="bottom"/>
            <w:gridSpan w:val="25"/>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General</w:t>
              </w:r>
            </w:hyperlink>
          </w:p>
        </w:tc>
        <w:tc>
          <w:tcPr>
            <w:tcW w:w="540" w:type="dxa"/>
            <w:vAlign w:val="bottom"/>
            <w:gridSpan w:val="2"/>
          </w:tcPr>
          <w:p>
            <w:pPr>
              <w:jc w:val="center"/>
              <w:ind w:left="379"/>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700" w:type="dxa"/>
            <w:vAlign w:val="bottom"/>
            <w:tcBorders>
              <w:bottom w:val="single" w:sz="8" w:color="0000EE"/>
            </w:tcBorders>
            <w:gridSpan w:val="17"/>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Service Assets, Customers, and Contracts</w:t>
              </w:r>
            </w:hyperlink>
          </w:p>
        </w:tc>
        <w:tc>
          <w:tcPr>
            <w:tcW w:w="6620" w:type="dxa"/>
            <w:vAlign w:val="bottom"/>
            <w:gridSpan w:val="12"/>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Business Segments</w:t>
              </w:r>
            </w:hyperlink>
          </w:p>
        </w:tc>
        <w:tc>
          <w:tcPr>
            <w:tcW w:w="540" w:type="dxa"/>
            <w:vAlign w:val="bottom"/>
            <w:gridSpan w:val="2"/>
          </w:tcPr>
          <w:p>
            <w:pPr>
              <w:jc w:val="center"/>
              <w:ind w:left="379"/>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7</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080" w:type="dxa"/>
            <w:vAlign w:val="bottom"/>
            <w:tcBorders>
              <w:bottom w:val="single" w:sz="8" w:color="0000EE"/>
            </w:tcBorders>
            <w:gridSpan w:val="15"/>
          </w:tcPr>
          <w:p>
            <w:pPr>
              <w:spacing w:after="0"/>
              <w:rPr>
                <w:rFonts w:ascii="Arial" w:cs="Arial" w:eastAsia="Arial" w:hAnsi="Arial"/>
                <w:sz w:val="16"/>
                <w:szCs w:val="16"/>
                <w:color w:val="0000EE"/>
                <w:w w:val="94"/>
              </w:rPr>
            </w:pPr>
            <w:hyperlink w:anchor="page8">
              <w:r>
                <w:rPr>
                  <w:rFonts w:ascii="Arial" w:cs="Arial" w:eastAsia="Arial" w:hAnsi="Arial"/>
                  <w:sz w:val="16"/>
                  <w:szCs w:val="16"/>
                  <w:color w:val="0000EE"/>
                  <w:w w:val="94"/>
                </w:rPr>
                <w:t>Transmission &amp; Gulf of Mexico</w:t>
              </w:r>
            </w:hyperlink>
          </w:p>
        </w:tc>
        <w:tc>
          <w:tcPr>
            <w:tcW w:w="7240" w:type="dxa"/>
            <w:vAlign w:val="bottom"/>
            <w:gridSpan w:val="14"/>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7</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00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12">
              <w:r>
                <w:rPr>
                  <w:rFonts w:ascii="Arial" w:cs="Arial" w:eastAsia="Arial" w:hAnsi="Arial"/>
                  <w:sz w:val="16"/>
                  <w:szCs w:val="16"/>
                  <w:color w:val="0000EE"/>
                  <w:w w:val="91"/>
                </w:rPr>
                <w:t>Northeast G&amp;P</w:t>
              </w:r>
            </w:hyperlink>
          </w:p>
        </w:tc>
        <w:tc>
          <w:tcPr>
            <w:tcW w:w="8320" w:type="dxa"/>
            <w:vAlign w:val="bottom"/>
            <w:gridSpan w:val="22"/>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12">
              <w:r>
                <w:rPr>
                  <w:rFonts w:ascii="Arial" w:cs="Arial" w:eastAsia="Arial" w:hAnsi="Arial"/>
                  <w:sz w:val="15"/>
                  <w:szCs w:val="15"/>
                  <w:color w:val="0000EE"/>
                  <w:w w:val="71"/>
                </w:rPr>
                <w:t>11</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320" w:type="dxa"/>
            <w:vAlign w:val="bottom"/>
          </w:tcPr>
          <w:p>
            <w:pPr>
              <w:spacing w:after="0"/>
              <w:rPr>
                <w:rFonts w:ascii="Arial" w:cs="Arial" w:eastAsia="Arial" w:hAnsi="Arial"/>
                <w:sz w:val="16"/>
                <w:szCs w:val="16"/>
                <w:color w:val="0000EE"/>
                <w:w w:val="82"/>
              </w:rPr>
            </w:pPr>
            <w:hyperlink w:anchor="page15">
              <w:r>
                <w:rPr>
                  <w:rFonts w:ascii="Arial" w:cs="Arial" w:eastAsia="Arial" w:hAnsi="Arial"/>
                  <w:sz w:val="16"/>
                  <w:szCs w:val="16"/>
                  <w:color w:val="0000EE"/>
                  <w:w w:val="82"/>
                </w:rPr>
                <w:t>West</w:t>
              </w:r>
            </w:hyperlink>
          </w:p>
        </w:tc>
        <w:tc>
          <w:tcPr>
            <w:tcW w:w="9000" w:type="dxa"/>
            <w:vAlign w:val="bottom"/>
            <w:gridSpan w:val="28"/>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15">
              <w:r>
                <w:rPr>
                  <w:rFonts w:ascii="Arial" w:cs="Arial" w:eastAsia="Arial" w:hAnsi="Arial"/>
                  <w:sz w:val="15"/>
                  <w:szCs w:val="15"/>
                  <w:color w:val="0000EE"/>
                  <w:w w:val="71"/>
                </w:rPr>
                <w:t>14</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Other</w:t>
              </w:r>
            </w:hyperlink>
          </w:p>
        </w:tc>
        <w:tc>
          <w:tcPr>
            <w:tcW w:w="580" w:type="dxa"/>
            <w:vAlign w:val="bottom"/>
            <w:gridSpan w:val="3"/>
          </w:tcPr>
          <w:p>
            <w:pPr>
              <w:jc w:val="center"/>
              <w:ind w:left="339"/>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16</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Additional Business Segment Information</w:t>
              </w:r>
            </w:hyperlink>
          </w:p>
        </w:tc>
        <w:tc>
          <w:tcPr>
            <w:tcW w:w="580" w:type="dxa"/>
            <w:vAlign w:val="bottom"/>
            <w:gridSpan w:val="3"/>
          </w:tcPr>
          <w:p>
            <w:pPr>
              <w:jc w:val="center"/>
              <w:ind w:left="339"/>
              <w:spacing w:after="0"/>
              <w:rPr>
                <w:rFonts w:ascii="Arial" w:cs="Arial" w:eastAsia="Arial" w:hAnsi="Arial"/>
                <w:sz w:val="16"/>
                <w:szCs w:val="16"/>
                <w:color w:val="0000EE"/>
                <w:w w:val="89"/>
              </w:rPr>
            </w:pPr>
            <w:hyperlink w:anchor="page17">
              <w:r>
                <w:rPr>
                  <w:rFonts w:ascii="Arial" w:cs="Arial" w:eastAsia="Arial" w:hAnsi="Arial"/>
                  <w:sz w:val="16"/>
                  <w:szCs w:val="16"/>
                  <w:color w:val="0000EE"/>
                  <w:w w:val="89"/>
                </w:rPr>
                <w:t>16</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00" w:type="dxa"/>
            <w:vAlign w:val="bottom"/>
            <w:gridSpan w:val="8"/>
          </w:tcPr>
          <w:p>
            <w:pPr>
              <w:spacing w:after="0"/>
              <w:rPr>
                <w:rFonts w:ascii="Arial" w:cs="Arial" w:eastAsia="Arial" w:hAnsi="Arial"/>
                <w:sz w:val="16"/>
                <w:szCs w:val="16"/>
                <w:color w:val="0000EE"/>
                <w:w w:val="85"/>
              </w:rPr>
            </w:pPr>
            <w:hyperlink w:anchor="page18">
              <w:r>
                <w:rPr>
                  <w:rFonts w:ascii="Arial" w:cs="Arial" w:eastAsia="Arial" w:hAnsi="Arial"/>
                  <w:sz w:val="16"/>
                  <w:szCs w:val="16"/>
                  <w:color w:val="0000EE"/>
                  <w:w w:val="85"/>
                </w:rPr>
                <w:t>Regulatory Matters</w:t>
              </w:r>
            </w:hyperlink>
          </w:p>
        </w:tc>
        <w:tc>
          <w:tcPr>
            <w:tcW w:w="1520" w:type="dxa"/>
            <w:vAlign w:val="bottom"/>
            <w:gridSpan w:val="10"/>
          </w:tcPr>
          <w:p>
            <w:pPr>
              <w:spacing w:after="0"/>
              <w:rPr>
                <w:sz w:val="21"/>
                <w:szCs w:val="21"/>
                <w:color w:val="auto"/>
              </w:rPr>
            </w:pPr>
          </w:p>
        </w:tc>
        <w:tc>
          <w:tcPr>
            <w:tcW w:w="660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18">
              <w:r>
                <w:rPr>
                  <w:rFonts w:ascii="Arial" w:cs="Arial" w:eastAsia="Arial" w:hAnsi="Arial"/>
                  <w:sz w:val="15"/>
                  <w:szCs w:val="15"/>
                  <w:color w:val="0000EE"/>
                  <w:w w:val="71"/>
                </w:rPr>
                <w:t>17</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500" w:type="dxa"/>
            <w:vAlign w:val="bottom"/>
            <w:gridSpan w:val="10"/>
          </w:tcPr>
          <w:p>
            <w:pPr>
              <w:spacing w:after="0"/>
              <w:rPr>
                <w:rFonts w:ascii="Arial" w:cs="Arial" w:eastAsia="Arial" w:hAnsi="Arial"/>
                <w:sz w:val="16"/>
                <w:szCs w:val="16"/>
                <w:color w:val="0000EE"/>
                <w:w w:val="92"/>
              </w:rPr>
            </w:pPr>
            <w:hyperlink w:anchor="page20">
              <w:r>
                <w:rPr>
                  <w:rFonts w:ascii="Arial" w:cs="Arial" w:eastAsia="Arial" w:hAnsi="Arial"/>
                  <w:sz w:val="16"/>
                  <w:szCs w:val="16"/>
                  <w:color w:val="0000EE"/>
                  <w:w w:val="92"/>
                </w:rPr>
                <w:t>Environmental Matters</w:t>
              </w:r>
            </w:hyperlink>
          </w:p>
        </w:tc>
        <w:tc>
          <w:tcPr>
            <w:tcW w:w="7820" w:type="dxa"/>
            <w:vAlign w:val="bottom"/>
            <w:gridSpan w:val="19"/>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20">
              <w:r>
                <w:rPr>
                  <w:rFonts w:ascii="Arial" w:cs="Arial" w:eastAsia="Arial" w:hAnsi="Arial"/>
                  <w:sz w:val="15"/>
                  <w:szCs w:val="15"/>
                  <w:color w:val="0000EE"/>
                  <w:w w:val="71"/>
                </w:rPr>
                <w:t>19</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500" w:type="dxa"/>
            <w:vAlign w:val="bottom"/>
            <w:gridSpan w:val="10"/>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Competition</w:t>
              </w:r>
            </w:hyperlink>
          </w:p>
        </w:tc>
        <w:tc>
          <w:tcPr>
            <w:tcW w:w="7820" w:type="dxa"/>
            <w:vAlign w:val="bottom"/>
            <w:gridSpan w:val="19"/>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20">
              <w:r>
                <w:rPr>
                  <w:rFonts w:ascii="Arial" w:cs="Arial" w:eastAsia="Arial" w:hAnsi="Arial"/>
                  <w:sz w:val="15"/>
                  <w:szCs w:val="15"/>
                  <w:color w:val="0000EE"/>
                  <w:w w:val="71"/>
                </w:rPr>
                <w:t>19</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60" w:type="dxa"/>
            <w:vAlign w:val="bottom"/>
            <w:gridSpan w:val="5"/>
          </w:tcPr>
          <w:p>
            <w:pPr>
              <w:spacing w:after="0"/>
              <w:rPr>
                <w:rFonts w:ascii="Arial" w:cs="Arial" w:eastAsia="Arial" w:hAnsi="Arial"/>
                <w:sz w:val="16"/>
                <w:szCs w:val="16"/>
                <w:color w:val="0000EE"/>
                <w:w w:val="78"/>
              </w:rPr>
            </w:pPr>
            <w:hyperlink w:anchor="page21">
              <w:r>
                <w:rPr>
                  <w:rFonts w:ascii="Arial" w:cs="Arial" w:eastAsia="Arial" w:hAnsi="Arial"/>
                  <w:sz w:val="16"/>
                  <w:szCs w:val="16"/>
                  <w:color w:val="0000EE"/>
                  <w:w w:val="78"/>
                </w:rPr>
                <w:t>Employees</w:t>
              </w:r>
            </w:hyperlink>
          </w:p>
        </w:tc>
        <w:tc>
          <w:tcPr>
            <w:tcW w:w="140" w:type="dxa"/>
            <w:vAlign w:val="bottom"/>
          </w:tcPr>
          <w:p>
            <w:pPr>
              <w:spacing w:after="0"/>
              <w:rPr>
                <w:sz w:val="21"/>
                <w:szCs w:val="21"/>
                <w:color w:val="auto"/>
              </w:rPr>
            </w:pPr>
          </w:p>
        </w:tc>
        <w:tc>
          <w:tcPr>
            <w:tcW w:w="8520" w:type="dxa"/>
            <w:vAlign w:val="bottom"/>
            <w:gridSpan w:val="23"/>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21">
              <w:r>
                <w:rPr>
                  <w:rFonts w:ascii="Arial" w:cs="Arial" w:eastAsia="Arial" w:hAnsi="Arial"/>
                  <w:sz w:val="15"/>
                  <w:szCs w:val="15"/>
                  <w:color w:val="0000EE"/>
                  <w:w w:val="71"/>
                </w:rPr>
                <w:t>20</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Website Access to Reports and Other Information</w:t>
              </w:r>
            </w:hyperlink>
          </w:p>
        </w:tc>
        <w:tc>
          <w:tcPr>
            <w:tcW w:w="580" w:type="dxa"/>
            <w:vAlign w:val="bottom"/>
            <w:gridSpan w:val="3"/>
          </w:tcPr>
          <w:p>
            <w:pPr>
              <w:jc w:val="center"/>
              <w:ind w:left="339"/>
              <w:spacing w:after="0"/>
              <w:rPr>
                <w:rFonts w:ascii="Arial" w:cs="Arial" w:eastAsia="Arial" w:hAnsi="Arial"/>
                <w:sz w:val="16"/>
                <w:szCs w:val="16"/>
                <w:color w:val="0000EE"/>
                <w:w w:val="89"/>
              </w:rPr>
            </w:pPr>
            <w:hyperlink w:anchor="page21">
              <w:r>
                <w:rPr>
                  <w:rFonts w:ascii="Arial" w:cs="Arial" w:eastAsia="Arial" w:hAnsi="Arial"/>
                  <w:sz w:val="16"/>
                  <w:szCs w:val="16"/>
                  <w:color w:val="0000EE"/>
                  <w:w w:val="89"/>
                </w:rPr>
                <w:t>20</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3220" w:type="dxa"/>
            <w:vAlign w:val="bottom"/>
            <w:gridSpan w:val="22"/>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Risk Factors</w:t>
              </w:r>
            </w:hyperlink>
          </w:p>
        </w:tc>
        <w:tc>
          <w:tcPr>
            <w:tcW w:w="6100" w:type="dxa"/>
            <w:vAlign w:val="bottom"/>
            <w:gridSpan w:val="7"/>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22">
              <w:r>
                <w:rPr>
                  <w:rFonts w:ascii="Arial" w:cs="Arial" w:eastAsia="Arial" w:hAnsi="Arial"/>
                  <w:sz w:val="15"/>
                  <w:szCs w:val="15"/>
                  <w:color w:val="0000EE"/>
                  <w:w w:val="71"/>
                </w:rPr>
                <w:t>21</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1B.</w:t>
            </w:r>
          </w:p>
        </w:tc>
        <w:tc>
          <w:tcPr>
            <w:tcW w:w="1840" w:type="dxa"/>
            <w:vAlign w:val="bottom"/>
            <w:gridSpan w:val="14"/>
          </w:tcPr>
          <w:p>
            <w:pPr>
              <w:spacing w:after="0"/>
              <w:rPr>
                <w:rFonts w:ascii="Arial" w:cs="Arial" w:eastAsia="Arial" w:hAnsi="Arial"/>
                <w:sz w:val="16"/>
                <w:szCs w:val="16"/>
                <w:color w:val="0000EE"/>
                <w:w w:val="90"/>
              </w:rPr>
            </w:pPr>
            <w:hyperlink w:anchor="page38">
              <w:r>
                <w:rPr>
                  <w:rFonts w:ascii="Arial" w:cs="Arial" w:eastAsia="Arial" w:hAnsi="Arial"/>
                  <w:sz w:val="16"/>
                  <w:szCs w:val="16"/>
                  <w:color w:val="0000EE"/>
                  <w:w w:val="90"/>
                </w:rPr>
                <w:t>Unresolved Staff Comments</w:t>
              </w:r>
            </w:hyperlink>
          </w:p>
        </w:tc>
        <w:tc>
          <w:tcPr>
            <w:tcW w:w="7480" w:type="dxa"/>
            <w:vAlign w:val="bottom"/>
            <w:gridSpan w:val="15"/>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37</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660" w:type="dxa"/>
            <w:vAlign w:val="bottom"/>
            <w:gridSpan w:val="5"/>
          </w:tcPr>
          <w:p>
            <w:pPr>
              <w:spacing w:after="0"/>
              <w:rPr>
                <w:rFonts w:ascii="Arial" w:cs="Arial" w:eastAsia="Arial" w:hAnsi="Arial"/>
                <w:sz w:val="16"/>
                <w:szCs w:val="16"/>
                <w:color w:val="0000EE"/>
                <w:w w:val="84"/>
              </w:rPr>
            </w:pPr>
            <w:hyperlink w:anchor="page38">
              <w:r>
                <w:rPr>
                  <w:rFonts w:ascii="Arial" w:cs="Arial" w:eastAsia="Arial" w:hAnsi="Arial"/>
                  <w:sz w:val="16"/>
                  <w:szCs w:val="16"/>
                  <w:color w:val="0000EE"/>
                  <w:w w:val="84"/>
                </w:rPr>
                <w:t>Properties</w:t>
              </w:r>
            </w:hyperlink>
          </w:p>
        </w:tc>
        <w:tc>
          <w:tcPr>
            <w:tcW w:w="1180" w:type="dxa"/>
            <w:vAlign w:val="bottom"/>
            <w:gridSpan w:val="9"/>
          </w:tcPr>
          <w:p>
            <w:pPr>
              <w:spacing w:after="0"/>
              <w:rPr>
                <w:sz w:val="20"/>
                <w:szCs w:val="20"/>
                <w:color w:val="auto"/>
              </w:rPr>
            </w:pPr>
          </w:p>
        </w:tc>
        <w:tc>
          <w:tcPr>
            <w:tcW w:w="7480" w:type="dxa"/>
            <w:vAlign w:val="bottom"/>
            <w:gridSpan w:val="15"/>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37</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1200" w:type="dxa"/>
            <w:vAlign w:val="bottom"/>
            <w:gridSpan w:val="8"/>
          </w:tcPr>
          <w:p>
            <w:pPr>
              <w:spacing w:after="0"/>
              <w:rPr>
                <w:rFonts w:ascii="Arial" w:cs="Arial" w:eastAsia="Arial" w:hAnsi="Arial"/>
                <w:sz w:val="16"/>
                <w:szCs w:val="16"/>
                <w:color w:val="0000EE"/>
                <w:w w:val="87"/>
              </w:rPr>
            </w:pPr>
            <w:hyperlink w:anchor="page38">
              <w:r>
                <w:rPr>
                  <w:rFonts w:ascii="Arial" w:cs="Arial" w:eastAsia="Arial" w:hAnsi="Arial"/>
                  <w:sz w:val="16"/>
                  <w:szCs w:val="16"/>
                  <w:color w:val="0000EE"/>
                  <w:w w:val="87"/>
                </w:rPr>
                <w:t>Legal Proceedings</w:t>
              </w:r>
            </w:hyperlink>
          </w:p>
        </w:tc>
        <w:tc>
          <w:tcPr>
            <w:tcW w:w="8120" w:type="dxa"/>
            <w:vAlign w:val="bottom"/>
            <w:gridSpan w:val="21"/>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38">
              <w:r>
                <w:rPr>
                  <w:rFonts w:ascii="Arial" w:cs="Arial" w:eastAsia="Arial" w:hAnsi="Arial"/>
                  <w:sz w:val="15"/>
                  <w:szCs w:val="15"/>
                  <w:color w:val="0000EE"/>
                  <w:w w:val="71"/>
                </w:rPr>
                <w:t>37</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580" w:type="dxa"/>
            <w:vAlign w:val="bottom"/>
            <w:gridSpan w:val="12"/>
          </w:tcPr>
          <w:p>
            <w:pPr>
              <w:spacing w:after="0"/>
              <w:rPr>
                <w:rFonts w:ascii="Arial" w:cs="Arial" w:eastAsia="Arial" w:hAnsi="Arial"/>
                <w:sz w:val="16"/>
                <w:szCs w:val="16"/>
                <w:color w:val="0000EE"/>
                <w:w w:val="89"/>
              </w:rPr>
            </w:pPr>
            <w:hyperlink w:anchor="page39">
              <w:r>
                <w:rPr>
                  <w:rFonts w:ascii="Arial" w:cs="Arial" w:eastAsia="Arial" w:hAnsi="Arial"/>
                  <w:sz w:val="16"/>
                  <w:szCs w:val="16"/>
                  <w:color w:val="0000EE"/>
                  <w:w w:val="89"/>
                </w:rPr>
                <w:t>Mine Safety Disclosures</w:t>
              </w:r>
            </w:hyperlink>
          </w:p>
        </w:tc>
        <w:tc>
          <w:tcPr>
            <w:tcW w:w="7740" w:type="dxa"/>
            <w:vAlign w:val="bottom"/>
            <w:gridSpan w:val="17"/>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38</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320" w:type="dxa"/>
            <w:vAlign w:val="bottom"/>
            <w:gridSpan w:val="29"/>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Information About Our Executive Officers</w:t>
              </w:r>
            </w:hyperlink>
          </w:p>
        </w:tc>
        <w:tc>
          <w:tcPr>
            <w:tcW w:w="580" w:type="dxa"/>
            <w:vAlign w:val="bottom"/>
            <w:gridSpan w:val="3"/>
          </w:tcPr>
          <w:p>
            <w:pPr>
              <w:jc w:val="center"/>
              <w:ind w:left="339"/>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39</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40" w:type="dxa"/>
            <w:vAlign w:val="bottom"/>
            <w:gridSpan w:val="6"/>
          </w:tcPr>
          <w:p>
            <w:pPr>
              <w:jc w:val="center"/>
              <w:ind w:right="4760"/>
              <w:spacing w:after="0"/>
              <w:rPr>
                <w:sz w:val="20"/>
                <w:szCs w:val="20"/>
                <w:color w:val="auto"/>
              </w:rPr>
            </w:pPr>
            <w:r>
              <w:rPr>
                <w:rFonts w:ascii="Arial" w:cs="Arial" w:eastAsia="Arial" w:hAnsi="Arial"/>
                <w:sz w:val="16"/>
                <w:szCs w:val="16"/>
                <w:b w:val="1"/>
                <w:bCs w:val="1"/>
                <w:color w:val="auto"/>
              </w:rPr>
              <w:t>PART II</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9320" w:type="dxa"/>
            <w:vAlign w:val="bottom"/>
            <w:gridSpan w:val="29"/>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Market for Registrant’s Common Equity, Related Stockholder Matters and Issuer Purchases of Equity Securities</w:t>
              </w:r>
            </w:hyperlink>
          </w:p>
        </w:tc>
        <w:tc>
          <w:tcPr>
            <w:tcW w:w="580" w:type="dxa"/>
            <w:vAlign w:val="bottom"/>
            <w:gridSpan w:val="3"/>
          </w:tcPr>
          <w:p>
            <w:pPr>
              <w:jc w:val="center"/>
              <w:ind w:left="339"/>
              <w:spacing w:after="0"/>
              <w:rPr>
                <w:rFonts w:ascii="Arial" w:cs="Arial" w:eastAsia="Arial" w:hAnsi="Arial"/>
                <w:sz w:val="16"/>
                <w:szCs w:val="16"/>
                <w:color w:val="0000EE"/>
                <w:w w:val="89"/>
              </w:rPr>
            </w:pPr>
            <w:hyperlink w:anchor="page42">
              <w:r>
                <w:rPr>
                  <w:rFonts w:ascii="Arial" w:cs="Arial" w:eastAsia="Arial" w:hAnsi="Arial"/>
                  <w:sz w:val="16"/>
                  <w:szCs w:val="16"/>
                  <w:color w:val="0000EE"/>
                  <w:w w:val="89"/>
                </w:rPr>
                <w:t>41</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1540" w:type="dxa"/>
            <w:vAlign w:val="bottom"/>
            <w:gridSpan w:val="11"/>
          </w:tcPr>
          <w:p>
            <w:pPr>
              <w:spacing w:after="0"/>
              <w:rPr>
                <w:rFonts w:ascii="Arial" w:cs="Arial" w:eastAsia="Arial" w:hAnsi="Arial"/>
                <w:sz w:val="16"/>
                <w:szCs w:val="16"/>
                <w:color w:val="0000EE"/>
                <w:w w:val="89"/>
              </w:rPr>
            </w:pPr>
            <w:hyperlink w:anchor="page43">
              <w:r>
                <w:rPr>
                  <w:rFonts w:ascii="Arial" w:cs="Arial" w:eastAsia="Arial" w:hAnsi="Arial"/>
                  <w:sz w:val="16"/>
                  <w:szCs w:val="16"/>
                  <w:color w:val="0000EE"/>
                  <w:w w:val="89"/>
                </w:rPr>
                <w:t>Selected Financial Data</w:t>
              </w:r>
            </w:hyperlink>
          </w:p>
        </w:tc>
        <w:tc>
          <w:tcPr>
            <w:tcW w:w="5720" w:type="dxa"/>
            <w:vAlign w:val="bottom"/>
            <w:gridSpan w:val="17"/>
          </w:tcPr>
          <w:p>
            <w:pPr>
              <w:spacing w:after="0"/>
              <w:rPr>
                <w:sz w:val="20"/>
                <w:szCs w:val="20"/>
                <w:color w:val="auto"/>
              </w:rPr>
            </w:pPr>
          </w:p>
        </w:tc>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42</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7.</w:t>
            </w:r>
          </w:p>
        </w:tc>
        <w:tc>
          <w:tcPr>
            <w:tcW w:w="5820" w:type="dxa"/>
            <w:vAlign w:val="bottom"/>
            <w:gridSpan w:val="26"/>
          </w:tcPr>
          <w:p>
            <w:pPr>
              <w:spacing w:after="0"/>
              <w:rPr>
                <w:rFonts w:ascii="Arial" w:cs="Arial" w:eastAsia="Arial" w:hAnsi="Arial"/>
                <w:sz w:val="16"/>
                <w:szCs w:val="16"/>
                <w:color w:val="0000EE"/>
                <w:w w:val="92"/>
              </w:rPr>
            </w:pPr>
            <w:hyperlink w:anchor="page44">
              <w:r>
                <w:rPr>
                  <w:rFonts w:ascii="Arial" w:cs="Arial" w:eastAsia="Arial" w:hAnsi="Arial"/>
                  <w:sz w:val="16"/>
                  <w:szCs w:val="16"/>
                  <w:color w:val="0000EE"/>
                  <w:w w:val="92"/>
                </w:rPr>
                <w:t>Management’s Discussion and Analysis of Financial Condition and Results of Operations</w:t>
              </w:r>
            </w:hyperlink>
          </w:p>
        </w:tc>
        <w:tc>
          <w:tcPr>
            <w:tcW w:w="3500" w:type="dxa"/>
            <w:vAlign w:val="bottom"/>
            <w:gridSpan w:val="3"/>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44">
              <w:r>
                <w:rPr>
                  <w:rFonts w:ascii="Arial" w:cs="Arial" w:eastAsia="Arial" w:hAnsi="Arial"/>
                  <w:sz w:val="15"/>
                  <w:szCs w:val="15"/>
                  <w:color w:val="0000EE"/>
                  <w:w w:val="71"/>
                </w:rPr>
                <w:t>43</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7A.</w:t>
            </w:r>
          </w:p>
        </w:tc>
        <w:tc>
          <w:tcPr>
            <w:tcW w:w="5820" w:type="dxa"/>
            <w:vAlign w:val="bottom"/>
            <w:gridSpan w:val="26"/>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Quantitative and Qualitative Disclosures About Market Risk</w:t>
              </w:r>
            </w:hyperlink>
          </w:p>
        </w:tc>
        <w:tc>
          <w:tcPr>
            <w:tcW w:w="3500" w:type="dxa"/>
            <w:vAlign w:val="bottom"/>
            <w:gridSpan w:val="3"/>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72">
              <w:r>
                <w:rPr>
                  <w:rFonts w:ascii="Arial" w:cs="Arial" w:eastAsia="Arial" w:hAnsi="Arial"/>
                  <w:sz w:val="15"/>
                  <w:szCs w:val="15"/>
                  <w:color w:val="0000EE"/>
                  <w:w w:val="71"/>
                </w:rPr>
                <w:t>71</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8.</w:t>
            </w:r>
          </w:p>
        </w:tc>
        <w:tc>
          <w:tcPr>
            <w:tcW w:w="3000" w:type="dxa"/>
            <w:vAlign w:val="bottom"/>
            <w:gridSpan w:val="21"/>
          </w:tcPr>
          <w:p>
            <w:pPr>
              <w:spacing w:after="0"/>
              <w:rPr>
                <w:rFonts w:ascii="Arial" w:cs="Arial" w:eastAsia="Arial" w:hAnsi="Arial"/>
                <w:sz w:val="16"/>
                <w:szCs w:val="16"/>
                <w:color w:val="0000EE"/>
                <w:w w:val="90"/>
              </w:rPr>
            </w:pPr>
            <w:hyperlink w:anchor="page73">
              <w:r>
                <w:rPr>
                  <w:rFonts w:ascii="Arial" w:cs="Arial" w:eastAsia="Arial" w:hAnsi="Arial"/>
                  <w:sz w:val="16"/>
                  <w:szCs w:val="16"/>
                  <w:color w:val="0000EE"/>
                  <w:w w:val="90"/>
                </w:rPr>
                <w:t>Financial Statements and Supplementary Data</w:t>
              </w:r>
            </w:hyperlink>
          </w:p>
        </w:tc>
        <w:tc>
          <w:tcPr>
            <w:tcW w:w="920" w:type="dxa"/>
            <w:vAlign w:val="bottom"/>
            <w:gridSpan w:val="3"/>
          </w:tcPr>
          <w:p>
            <w:pPr>
              <w:spacing w:after="0"/>
              <w:rPr>
                <w:sz w:val="20"/>
                <w:szCs w:val="20"/>
                <w:color w:val="auto"/>
              </w:rPr>
            </w:pPr>
          </w:p>
        </w:tc>
        <w:tc>
          <w:tcPr>
            <w:tcW w:w="5400" w:type="dxa"/>
            <w:vAlign w:val="bottom"/>
            <w:gridSpan w:val="5"/>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gridSpan w:val="2"/>
          </w:tcPr>
          <w:p>
            <w:pPr>
              <w:jc w:val="center"/>
              <w:spacing w:after="0"/>
              <w:rPr>
                <w:rFonts w:ascii="Arial" w:cs="Arial" w:eastAsia="Arial" w:hAnsi="Arial"/>
                <w:sz w:val="15"/>
                <w:szCs w:val="15"/>
                <w:color w:val="0000EE"/>
                <w:w w:val="71"/>
              </w:rPr>
            </w:pPr>
            <w:hyperlink w:anchor="page73">
              <w:r>
                <w:rPr>
                  <w:rFonts w:ascii="Arial" w:cs="Arial" w:eastAsia="Arial" w:hAnsi="Arial"/>
                  <w:sz w:val="15"/>
                  <w:szCs w:val="15"/>
                  <w:color w:val="0000EE"/>
                  <w:w w:val="71"/>
                </w:rPr>
                <w:t>72</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9.</w:t>
            </w:r>
          </w:p>
        </w:tc>
        <w:tc>
          <w:tcPr>
            <w:tcW w:w="9320" w:type="dxa"/>
            <w:vAlign w:val="bottom"/>
            <w:gridSpan w:val="29"/>
          </w:tcPr>
          <w:p>
            <w:pPr>
              <w:spacing w:after="0"/>
              <w:rPr>
                <w:rFonts w:ascii="Arial" w:cs="Arial" w:eastAsia="Arial" w:hAnsi="Arial"/>
                <w:sz w:val="16"/>
                <w:szCs w:val="16"/>
                <w:color w:val="0000EE"/>
              </w:rPr>
            </w:pPr>
            <w:hyperlink w:anchor="page152">
              <w:r>
                <w:rPr>
                  <w:rFonts w:ascii="Arial" w:cs="Arial" w:eastAsia="Arial" w:hAnsi="Arial"/>
                  <w:sz w:val="16"/>
                  <w:szCs w:val="16"/>
                  <w:color w:val="0000EE"/>
                </w:rPr>
                <w:t>Changes in and Disagreements with Accountants on Accounting and Financial Disclosure</w:t>
              </w:r>
            </w:hyperlink>
          </w:p>
        </w:tc>
        <w:tc>
          <w:tcPr>
            <w:tcW w:w="1020" w:type="dxa"/>
            <w:vAlign w:val="bottom"/>
            <w:gridSpan w:val="4"/>
          </w:tcPr>
          <w:p>
            <w:pPr>
              <w:jc w:val="center"/>
              <w:ind w:right="20"/>
              <w:spacing w:after="0"/>
              <w:rPr>
                <w:rFonts w:ascii="Arial" w:cs="Arial" w:eastAsia="Arial" w:hAnsi="Arial"/>
                <w:sz w:val="16"/>
                <w:szCs w:val="16"/>
                <w:color w:val="0000EE"/>
                <w:w w:val="89"/>
              </w:rPr>
            </w:pPr>
            <w:hyperlink w:anchor="page152">
              <w:r>
                <w:rPr>
                  <w:rFonts w:ascii="Arial" w:cs="Arial" w:eastAsia="Arial" w:hAnsi="Arial"/>
                  <w:sz w:val="16"/>
                  <w:szCs w:val="16"/>
                  <w:color w:val="0000EE"/>
                  <w:w w:val="89"/>
                </w:rPr>
                <w:t>148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9A.</w:t>
            </w:r>
          </w:p>
        </w:tc>
        <w:tc>
          <w:tcPr>
            <w:tcW w:w="5820" w:type="dxa"/>
            <w:vAlign w:val="bottom"/>
            <w:gridSpan w:val="26"/>
          </w:tcPr>
          <w:p>
            <w:pPr>
              <w:spacing w:after="0"/>
              <w:rPr>
                <w:rFonts w:ascii="Arial" w:cs="Arial" w:eastAsia="Arial" w:hAnsi="Arial"/>
                <w:sz w:val="16"/>
                <w:szCs w:val="16"/>
                <w:color w:val="0000EE"/>
              </w:rPr>
            </w:pPr>
            <w:hyperlink w:anchor="page152">
              <w:r>
                <w:rPr>
                  <w:rFonts w:ascii="Arial" w:cs="Arial" w:eastAsia="Arial" w:hAnsi="Arial"/>
                  <w:sz w:val="16"/>
                  <w:szCs w:val="16"/>
                  <w:color w:val="0000EE"/>
                </w:rPr>
                <w:t>Controls and Procedures</w:t>
              </w:r>
            </w:hyperlink>
          </w:p>
        </w:tc>
        <w:tc>
          <w:tcPr>
            <w:tcW w:w="3500" w:type="dxa"/>
            <w:vAlign w:val="bottom"/>
            <w:gridSpan w:val="3"/>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2">
              <w:r>
                <w:rPr>
                  <w:rFonts w:ascii="Arial" w:cs="Arial" w:eastAsia="Arial" w:hAnsi="Arial"/>
                  <w:sz w:val="13"/>
                  <w:szCs w:val="13"/>
                  <w:color w:val="0000EE"/>
                  <w:w w:val="73"/>
                </w:rPr>
                <w:t>148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9B.</w:t>
            </w:r>
          </w:p>
        </w:tc>
        <w:tc>
          <w:tcPr>
            <w:tcW w:w="1580" w:type="dxa"/>
            <w:vAlign w:val="bottom"/>
            <w:gridSpan w:val="12"/>
          </w:tcPr>
          <w:p>
            <w:pPr>
              <w:spacing w:after="0"/>
              <w:rPr>
                <w:rFonts w:ascii="Arial" w:cs="Arial" w:eastAsia="Arial" w:hAnsi="Arial"/>
                <w:sz w:val="16"/>
                <w:szCs w:val="16"/>
                <w:color w:val="0000EE"/>
              </w:rPr>
            </w:pPr>
            <w:hyperlink w:anchor="page155">
              <w:r>
                <w:rPr>
                  <w:rFonts w:ascii="Arial" w:cs="Arial" w:eastAsia="Arial" w:hAnsi="Arial"/>
                  <w:sz w:val="16"/>
                  <w:szCs w:val="16"/>
                  <w:color w:val="0000EE"/>
                </w:rPr>
                <w:t>Other Information</w:t>
              </w:r>
            </w:hyperlink>
          </w:p>
        </w:tc>
        <w:tc>
          <w:tcPr>
            <w:tcW w:w="7740" w:type="dxa"/>
            <w:vAlign w:val="bottom"/>
            <w:gridSpan w:val="17"/>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5">
              <w:r>
                <w:rPr>
                  <w:rFonts w:ascii="Arial" w:cs="Arial" w:eastAsia="Arial" w:hAnsi="Arial"/>
                  <w:sz w:val="13"/>
                  <w:szCs w:val="13"/>
                  <w:color w:val="0000EE"/>
                  <w:w w:val="73"/>
                </w:rPr>
                <w:t>151</w:t>
              </w:r>
            </w:hyperlink>
          </w:p>
        </w:tc>
        <w:tc>
          <w:tcPr>
            <w:tcW w:w="0" w:type="dxa"/>
            <w:vAlign w:val="bottom"/>
          </w:tcPr>
          <w:p>
            <w:pPr>
              <w:spacing w:after="0"/>
              <w:rPr>
                <w:sz w:val="1"/>
                <w:szCs w:val="1"/>
                <w:color w:val="auto"/>
              </w:rPr>
            </w:pPr>
          </w:p>
        </w:tc>
      </w:tr>
      <w:tr>
        <w:trPr>
          <w:trHeight w:val="393"/>
        </w:trPr>
        <w:tc>
          <w:tcPr>
            <w:tcW w:w="10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40" w:type="dxa"/>
            <w:vAlign w:val="bottom"/>
            <w:gridSpan w:val="6"/>
          </w:tcPr>
          <w:p>
            <w:pPr>
              <w:jc w:val="center"/>
              <w:ind w:right="4760"/>
              <w:spacing w:after="0"/>
              <w:rPr>
                <w:sz w:val="20"/>
                <w:szCs w:val="20"/>
                <w:color w:val="auto"/>
              </w:rPr>
            </w:pPr>
            <w:r>
              <w:rPr>
                <w:rFonts w:ascii="Arial" w:cs="Arial" w:eastAsia="Arial" w:hAnsi="Arial"/>
                <w:sz w:val="16"/>
                <w:szCs w:val="16"/>
                <w:b w:val="1"/>
                <w:bCs w:val="1"/>
                <w:color w:val="auto"/>
              </w:rPr>
              <w:t>PART III</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40" w:type="dxa"/>
            <w:vAlign w:val="bottom"/>
          </w:tcPr>
          <w:p>
            <w:pPr>
              <w:spacing w:after="0"/>
              <w:rPr>
                <w:sz w:val="20"/>
                <w:szCs w:val="20"/>
                <w:color w:val="auto"/>
              </w:rPr>
            </w:pPr>
            <w:r>
              <w:rPr>
                <w:rFonts w:ascii="Arial" w:cs="Arial" w:eastAsia="Arial" w:hAnsi="Arial"/>
                <w:sz w:val="16"/>
                <w:szCs w:val="16"/>
                <w:color w:val="auto"/>
              </w:rPr>
              <w:t>Item 10.</w:t>
            </w:r>
          </w:p>
        </w:tc>
        <w:tc>
          <w:tcPr>
            <w:tcW w:w="9320" w:type="dxa"/>
            <w:vAlign w:val="bottom"/>
            <w:gridSpan w:val="29"/>
          </w:tcPr>
          <w:p>
            <w:pPr>
              <w:spacing w:after="0"/>
              <w:rPr>
                <w:rFonts w:ascii="Arial" w:cs="Arial" w:eastAsia="Arial" w:hAnsi="Arial"/>
                <w:sz w:val="16"/>
                <w:szCs w:val="16"/>
                <w:color w:val="0000EE"/>
              </w:rPr>
            </w:pPr>
            <w:hyperlink w:anchor="page155">
              <w:r>
                <w:rPr>
                  <w:rFonts w:ascii="Arial" w:cs="Arial" w:eastAsia="Arial" w:hAnsi="Arial"/>
                  <w:sz w:val="16"/>
                  <w:szCs w:val="16"/>
                  <w:color w:val="0000EE"/>
                </w:rPr>
                <w:t>Directors, Executive Officers and Corporate Governance</w:t>
              </w:r>
            </w:hyperlink>
          </w:p>
        </w:tc>
        <w:tc>
          <w:tcPr>
            <w:tcW w:w="1020" w:type="dxa"/>
            <w:vAlign w:val="bottom"/>
            <w:gridSpan w:val="4"/>
          </w:tcPr>
          <w:p>
            <w:pPr>
              <w:jc w:val="center"/>
              <w:ind w:right="20"/>
              <w:spacing w:after="0"/>
              <w:rPr>
                <w:rFonts w:ascii="Arial" w:cs="Arial" w:eastAsia="Arial" w:hAnsi="Arial"/>
                <w:sz w:val="16"/>
                <w:szCs w:val="16"/>
                <w:color w:val="0000EE"/>
                <w:w w:val="89"/>
              </w:rPr>
            </w:pPr>
            <w:hyperlink w:anchor="page155">
              <w:r>
                <w:rPr>
                  <w:rFonts w:ascii="Arial" w:cs="Arial" w:eastAsia="Arial" w:hAnsi="Arial"/>
                  <w:sz w:val="16"/>
                  <w:szCs w:val="16"/>
                  <w:color w:val="0000EE"/>
                  <w:w w:val="89"/>
                </w:rPr>
                <w:t>151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11.</w:t>
            </w:r>
          </w:p>
        </w:tc>
        <w:tc>
          <w:tcPr>
            <w:tcW w:w="1620" w:type="dxa"/>
            <w:vAlign w:val="bottom"/>
            <w:gridSpan w:val="13"/>
          </w:tcPr>
          <w:p>
            <w:pPr>
              <w:spacing w:after="0"/>
              <w:rPr>
                <w:rFonts w:ascii="Arial" w:cs="Arial" w:eastAsia="Arial" w:hAnsi="Arial"/>
                <w:sz w:val="16"/>
                <w:szCs w:val="16"/>
                <w:color w:val="0000EE"/>
                <w:w w:val="90"/>
              </w:rPr>
            </w:pPr>
            <w:hyperlink w:anchor="page155">
              <w:r>
                <w:rPr>
                  <w:rFonts w:ascii="Arial" w:cs="Arial" w:eastAsia="Arial" w:hAnsi="Arial"/>
                  <w:sz w:val="16"/>
                  <w:szCs w:val="16"/>
                  <w:color w:val="0000EE"/>
                  <w:w w:val="90"/>
                </w:rPr>
                <w:t>Executive Compensation</w:t>
              </w:r>
            </w:hyperlink>
          </w:p>
        </w:tc>
        <w:tc>
          <w:tcPr>
            <w:tcW w:w="2060" w:type="dxa"/>
            <w:vAlign w:val="bottom"/>
            <w:gridSpan w:val="10"/>
          </w:tcPr>
          <w:p>
            <w:pPr>
              <w:spacing w:after="0"/>
              <w:rPr>
                <w:sz w:val="20"/>
                <w:szCs w:val="20"/>
                <w:color w:val="auto"/>
              </w:rPr>
            </w:pPr>
          </w:p>
        </w:tc>
        <w:tc>
          <w:tcPr>
            <w:tcW w:w="5640" w:type="dxa"/>
            <w:vAlign w:val="bottom"/>
            <w:gridSpan w:val="6"/>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5">
              <w:r>
                <w:rPr>
                  <w:rFonts w:ascii="Arial" w:cs="Arial" w:eastAsia="Arial" w:hAnsi="Arial"/>
                  <w:sz w:val="13"/>
                  <w:szCs w:val="13"/>
                  <w:color w:val="0000EE"/>
                  <w:w w:val="73"/>
                </w:rPr>
                <w:t>151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12.</w:t>
            </w:r>
          </w:p>
        </w:tc>
        <w:tc>
          <w:tcPr>
            <w:tcW w:w="9320" w:type="dxa"/>
            <w:vAlign w:val="bottom"/>
            <w:gridSpan w:val="29"/>
          </w:tcPr>
          <w:p>
            <w:pPr>
              <w:spacing w:after="0"/>
              <w:rPr>
                <w:rFonts w:ascii="Arial" w:cs="Arial" w:eastAsia="Arial" w:hAnsi="Arial"/>
                <w:sz w:val="16"/>
                <w:szCs w:val="16"/>
                <w:color w:val="0000EE"/>
              </w:rPr>
            </w:pPr>
            <w:hyperlink w:anchor="page155">
              <w:r>
                <w:rPr>
                  <w:rFonts w:ascii="Arial" w:cs="Arial" w:eastAsia="Arial" w:hAnsi="Arial"/>
                  <w:sz w:val="16"/>
                  <w:szCs w:val="16"/>
                  <w:color w:val="0000EE"/>
                </w:rPr>
                <w:t>Security Ownership of Certain Beneficial Owners and Management and Related Stockholder Matters</w:t>
              </w:r>
            </w:hyperlink>
          </w:p>
        </w:tc>
        <w:tc>
          <w:tcPr>
            <w:tcW w:w="1020" w:type="dxa"/>
            <w:vAlign w:val="bottom"/>
            <w:gridSpan w:val="4"/>
          </w:tcPr>
          <w:p>
            <w:pPr>
              <w:jc w:val="center"/>
              <w:ind w:right="20"/>
              <w:spacing w:after="0"/>
              <w:rPr>
                <w:rFonts w:ascii="Arial" w:cs="Arial" w:eastAsia="Arial" w:hAnsi="Arial"/>
                <w:sz w:val="16"/>
                <w:szCs w:val="16"/>
                <w:color w:val="0000EE"/>
                <w:w w:val="89"/>
              </w:rPr>
            </w:pPr>
            <w:hyperlink w:anchor="page155">
              <w:r>
                <w:rPr>
                  <w:rFonts w:ascii="Arial" w:cs="Arial" w:eastAsia="Arial" w:hAnsi="Arial"/>
                  <w:sz w:val="16"/>
                  <w:szCs w:val="16"/>
                  <w:color w:val="0000EE"/>
                  <w:w w:val="89"/>
                </w:rPr>
                <w:t>151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13.</w:t>
            </w:r>
          </w:p>
        </w:tc>
        <w:tc>
          <w:tcPr>
            <w:tcW w:w="6560" w:type="dxa"/>
            <w:vAlign w:val="bottom"/>
            <w:gridSpan w:val="27"/>
          </w:tcPr>
          <w:p>
            <w:pPr>
              <w:spacing w:after="0"/>
              <w:rPr>
                <w:rFonts w:ascii="Arial" w:cs="Arial" w:eastAsia="Arial" w:hAnsi="Arial"/>
                <w:sz w:val="16"/>
                <w:szCs w:val="16"/>
                <w:color w:val="0000EE"/>
              </w:rPr>
            </w:pPr>
            <w:hyperlink w:anchor="page156">
              <w:r>
                <w:rPr>
                  <w:rFonts w:ascii="Arial" w:cs="Arial" w:eastAsia="Arial" w:hAnsi="Arial"/>
                  <w:sz w:val="16"/>
                  <w:szCs w:val="16"/>
                  <w:color w:val="0000EE"/>
                </w:rPr>
                <w:t>Certain Relationships and Related Transactions, and Director Independence</w:t>
              </w:r>
            </w:hyperlink>
          </w:p>
        </w:tc>
        <w:tc>
          <w:tcPr>
            <w:tcW w:w="276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6">
              <w:r>
                <w:rPr>
                  <w:rFonts w:ascii="Arial" w:cs="Arial" w:eastAsia="Arial" w:hAnsi="Arial"/>
                  <w:sz w:val="13"/>
                  <w:szCs w:val="13"/>
                  <w:color w:val="0000EE"/>
                  <w:w w:val="73"/>
                </w:rPr>
                <w:t>152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160" w:type="dxa"/>
            <w:vAlign w:val="bottom"/>
            <w:gridSpan w:val="7"/>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442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14.</w:t>
            </w:r>
          </w:p>
        </w:tc>
        <w:tc>
          <w:tcPr>
            <w:tcW w:w="4900" w:type="dxa"/>
            <w:vAlign w:val="bottom"/>
            <w:gridSpan w:val="25"/>
          </w:tcPr>
          <w:p>
            <w:pPr>
              <w:spacing w:after="0"/>
              <w:rPr>
                <w:rFonts w:ascii="Arial" w:cs="Arial" w:eastAsia="Arial" w:hAnsi="Arial"/>
                <w:sz w:val="16"/>
                <w:szCs w:val="16"/>
                <w:color w:val="0000EE"/>
              </w:rPr>
            </w:pPr>
            <w:hyperlink w:anchor="page156">
              <w:r>
                <w:rPr>
                  <w:rFonts w:ascii="Arial" w:cs="Arial" w:eastAsia="Arial" w:hAnsi="Arial"/>
                  <w:sz w:val="16"/>
                  <w:szCs w:val="16"/>
                  <w:color w:val="0000EE"/>
                </w:rPr>
                <w:t>Principal Accountant Fees and Services</w:t>
              </w:r>
            </w:hyperlink>
          </w:p>
        </w:tc>
        <w:tc>
          <w:tcPr>
            <w:tcW w:w="4420" w:type="dxa"/>
            <w:vAlign w:val="bottom"/>
            <w:gridSpan w:val="4"/>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6">
              <w:r>
                <w:rPr>
                  <w:rFonts w:ascii="Arial" w:cs="Arial" w:eastAsia="Arial" w:hAnsi="Arial"/>
                  <w:sz w:val="13"/>
                  <w:szCs w:val="13"/>
                  <w:color w:val="0000EE"/>
                  <w:w w:val="73"/>
                </w:rPr>
                <w:t>152</w:t>
              </w:r>
            </w:hyperlink>
          </w:p>
        </w:tc>
        <w:tc>
          <w:tcPr>
            <w:tcW w:w="0" w:type="dxa"/>
            <w:vAlign w:val="bottom"/>
          </w:tcPr>
          <w:p>
            <w:pPr>
              <w:spacing w:after="0"/>
              <w:rPr>
                <w:sz w:val="1"/>
                <w:szCs w:val="1"/>
                <w:color w:val="auto"/>
              </w:rPr>
            </w:pPr>
          </w:p>
        </w:tc>
      </w:tr>
      <w:tr>
        <w:trPr>
          <w:trHeight w:val="393"/>
        </w:trPr>
        <w:tc>
          <w:tcPr>
            <w:tcW w:w="10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40" w:type="dxa"/>
            <w:vAlign w:val="bottom"/>
            <w:gridSpan w:val="6"/>
          </w:tcPr>
          <w:p>
            <w:pPr>
              <w:jc w:val="center"/>
              <w:ind w:right="4760"/>
              <w:spacing w:after="0"/>
              <w:rPr>
                <w:sz w:val="20"/>
                <w:szCs w:val="20"/>
                <w:color w:val="auto"/>
              </w:rPr>
            </w:pPr>
            <w:r>
              <w:rPr>
                <w:rFonts w:ascii="Arial" w:cs="Arial" w:eastAsia="Arial" w:hAnsi="Arial"/>
                <w:sz w:val="16"/>
                <w:szCs w:val="16"/>
                <w:b w:val="1"/>
                <w:bCs w:val="1"/>
                <w:color w:val="auto"/>
              </w:rPr>
              <w:t>PART IV</w:t>
            </w:r>
          </w:p>
        </w:tc>
        <w:tc>
          <w:tcPr>
            <w:tcW w:w="4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040" w:type="dxa"/>
            <w:vAlign w:val="bottom"/>
          </w:tcPr>
          <w:p>
            <w:pPr>
              <w:spacing w:after="0"/>
              <w:rPr>
                <w:sz w:val="20"/>
                <w:szCs w:val="20"/>
                <w:color w:val="auto"/>
              </w:rPr>
            </w:pPr>
            <w:r>
              <w:rPr>
                <w:rFonts w:ascii="Arial" w:cs="Arial" w:eastAsia="Arial" w:hAnsi="Arial"/>
                <w:sz w:val="16"/>
                <w:szCs w:val="16"/>
                <w:color w:val="auto"/>
              </w:rPr>
              <w:t>Item 15.</w:t>
            </w:r>
          </w:p>
        </w:tc>
        <w:tc>
          <w:tcPr>
            <w:tcW w:w="2840" w:type="dxa"/>
            <w:vAlign w:val="bottom"/>
            <w:gridSpan w:val="20"/>
          </w:tcPr>
          <w:p>
            <w:pPr>
              <w:spacing w:after="0"/>
              <w:rPr>
                <w:rFonts w:ascii="Arial" w:cs="Arial" w:eastAsia="Arial" w:hAnsi="Arial"/>
                <w:sz w:val="16"/>
                <w:szCs w:val="16"/>
                <w:color w:val="0000EE"/>
                <w:w w:val="90"/>
              </w:rPr>
            </w:pPr>
            <w:hyperlink w:anchor="page157">
              <w:r>
                <w:rPr>
                  <w:rFonts w:ascii="Arial" w:cs="Arial" w:eastAsia="Arial" w:hAnsi="Arial"/>
                  <w:sz w:val="16"/>
                  <w:szCs w:val="16"/>
                  <w:color w:val="0000EE"/>
                  <w:w w:val="90"/>
                </w:rPr>
                <w:t>Exhibits and Financial Statement Schedules</w:t>
              </w:r>
            </w:hyperlink>
          </w:p>
        </w:tc>
        <w:tc>
          <w:tcPr>
            <w:tcW w:w="648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57">
              <w:r>
                <w:rPr>
                  <w:rFonts w:ascii="Arial" w:cs="Arial" w:eastAsia="Arial" w:hAnsi="Arial"/>
                  <w:sz w:val="13"/>
                  <w:szCs w:val="13"/>
                  <w:color w:val="0000EE"/>
                  <w:w w:val="73"/>
                </w:rPr>
                <w:t>153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0" w:type="dxa"/>
            <w:vAlign w:val="bottom"/>
            <w:gridSpan w:val="9"/>
            <w:shd w:val="clear" w:color="auto" w:fill="0000EE"/>
          </w:tcPr>
          <w:p>
            <w:pPr>
              <w:spacing w:after="0" w:line="20" w:lineRule="exact"/>
              <w:rPr>
                <w:sz w:val="1"/>
                <w:szCs w:val="1"/>
                <w:color w:val="auto"/>
              </w:rPr>
            </w:pPr>
          </w:p>
        </w:tc>
        <w:tc>
          <w:tcPr>
            <w:tcW w:w="1440" w:type="dxa"/>
            <w:vAlign w:val="bottom"/>
            <w:gridSpan w:val="11"/>
            <w:shd w:val="clear" w:color="auto" w:fill="0000EE"/>
          </w:tcPr>
          <w:p>
            <w:pPr>
              <w:spacing w:after="0" w:line="20" w:lineRule="exact"/>
              <w:rPr>
                <w:sz w:val="1"/>
                <w:szCs w:val="1"/>
                <w:color w:val="auto"/>
              </w:rPr>
            </w:pPr>
          </w:p>
        </w:tc>
        <w:tc>
          <w:tcPr>
            <w:tcW w:w="648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Item 16.</w:t>
            </w:r>
          </w:p>
        </w:tc>
        <w:tc>
          <w:tcPr>
            <w:tcW w:w="1400" w:type="dxa"/>
            <w:vAlign w:val="bottom"/>
            <w:gridSpan w:val="9"/>
          </w:tcPr>
          <w:p>
            <w:pPr>
              <w:spacing w:after="0"/>
              <w:rPr>
                <w:rFonts w:ascii="Arial" w:cs="Arial" w:eastAsia="Arial" w:hAnsi="Arial"/>
                <w:sz w:val="16"/>
                <w:szCs w:val="16"/>
                <w:color w:val="0000EE"/>
                <w:w w:val="92"/>
              </w:rPr>
            </w:pPr>
            <w:hyperlink w:anchor="page165">
              <w:r>
                <w:rPr>
                  <w:rFonts w:ascii="Arial" w:cs="Arial" w:eastAsia="Arial" w:hAnsi="Arial"/>
                  <w:sz w:val="16"/>
                  <w:szCs w:val="16"/>
                  <w:color w:val="0000EE"/>
                  <w:w w:val="92"/>
                </w:rPr>
                <w:t>Form 10-K Summary</w:t>
              </w:r>
            </w:hyperlink>
          </w:p>
        </w:tc>
        <w:tc>
          <w:tcPr>
            <w:tcW w:w="1440" w:type="dxa"/>
            <w:vAlign w:val="bottom"/>
            <w:gridSpan w:val="11"/>
          </w:tcPr>
          <w:p>
            <w:pPr>
              <w:spacing w:after="0"/>
              <w:rPr>
                <w:sz w:val="20"/>
                <w:szCs w:val="20"/>
                <w:color w:val="auto"/>
              </w:rPr>
            </w:pPr>
          </w:p>
        </w:tc>
        <w:tc>
          <w:tcPr>
            <w:tcW w:w="6480" w:type="dxa"/>
            <w:vAlign w:val="bottom"/>
            <w:gridSpan w:val="9"/>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gridSpan w:val="3"/>
          </w:tcPr>
          <w:p>
            <w:pPr>
              <w:jc w:val="center"/>
              <w:ind w:right="400"/>
              <w:spacing w:after="0"/>
              <w:rPr>
                <w:rFonts w:ascii="Arial" w:cs="Arial" w:eastAsia="Arial" w:hAnsi="Arial"/>
                <w:sz w:val="13"/>
                <w:szCs w:val="13"/>
                <w:color w:val="0000EE"/>
                <w:w w:val="73"/>
              </w:rPr>
            </w:pPr>
            <w:hyperlink w:anchor="page165">
              <w:r>
                <w:rPr>
                  <w:rFonts w:ascii="Arial" w:cs="Arial" w:eastAsia="Arial" w:hAnsi="Arial"/>
                  <w:sz w:val="13"/>
                  <w:szCs w:val="13"/>
                  <w:color w:val="0000EE"/>
                  <w:w w:val="73"/>
                </w:rPr>
                <w:t>161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37"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80" w:top="337" w:right="239" w:bottom="1440" w:gutter="0" w:footer="0" w:header="0"/>
          <w:type w:val="continuous"/>
        </w:sectPr>
      </w:pPr>
    </w:p>
    <w:bookmarkStart w:id="2" w:name="page3"/>
    <w:bookmarkEnd w:id="2"/>
    <w:p>
      <w:pPr>
        <w:ind w:left="5120"/>
        <w:spacing w:after="0"/>
        <w:rPr>
          <w:sz w:val="20"/>
          <w:szCs w:val="20"/>
          <w:color w:val="auto"/>
        </w:rPr>
      </w:pPr>
      <w:r>
        <w:rPr>
          <w:rFonts w:ascii="Arial" w:cs="Arial" w:eastAsia="Arial" w:hAnsi="Arial"/>
          <w:sz w:val="18"/>
          <w:szCs w:val="18"/>
          <w:b w:val="1"/>
          <w:bCs w:val="1"/>
          <w:color w:val="auto"/>
        </w:rPr>
        <w:t>DEFINITIONS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listing of certain abbreviations, acronyms, and other industry terminology that may be used throughout this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Measurements</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Barrel</w:t>
      </w:r>
      <w:r>
        <w:rPr>
          <w:rFonts w:ascii="Arial" w:cs="Arial" w:eastAsia="Arial" w:hAnsi="Arial"/>
          <w:sz w:val="18"/>
          <w:szCs w:val="18"/>
          <w:color w:val="auto"/>
        </w:rPr>
        <w:t>: One barrel of petroleum products that equals 42 U.S. gallons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Bcf </w:t>
      </w:r>
      <w:r>
        <w:rPr>
          <w:rFonts w:ascii="Arial" w:cs="Arial" w:eastAsia="Arial" w:hAnsi="Arial"/>
          <w:sz w:val="18"/>
          <w:szCs w:val="18"/>
          <w:color w:val="auto"/>
        </w:rPr>
        <w:t>: One billion cubic feet of natural gas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Bcf/d</w:t>
      </w:r>
      <w:r>
        <w:rPr>
          <w:rFonts w:ascii="Arial" w:cs="Arial" w:eastAsia="Arial" w:hAnsi="Arial"/>
          <w:sz w:val="18"/>
          <w:szCs w:val="18"/>
          <w:color w:val="auto"/>
        </w:rPr>
        <w:t>: One billion cubic feet of natural gas per day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British Thermal Unit (Btu)</w:t>
      </w:r>
      <w:r>
        <w:rPr>
          <w:rFonts w:ascii="Arial" w:cs="Arial" w:eastAsia="Arial" w:hAnsi="Arial"/>
          <w:sz w:val="18"/>
          <w:szCs w:val="18"/>
          <w:color w:val="auto"/>
        </w:rPr>
        <w:t>: A unit of energy needed to raise the temperature of one pound of water by one degree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Fahrenheit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Dekatherms (Dth)</w:t>
      </w:r>
      <w:r>
        <w:rPr>
          <w:rFonts w:ascii="Arial" w:cs="Arial" w:eastAsia="Arial" w:hAnsi="Arial"/>
          <w:sz w:val="18"/>
          <w:szCs w:val="18"/>
          <w:color w:val="auto"/>
        </w:rPr>
        <w:t>: A unit of energy equal to one million British thermal units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Mbbls/d</w:t>
      </w:r>
      <w:r>
        <w:rPr>
          <w:rFonts w:ascii="Arial" w:cs="Arial" w:eastAsia="Arial" w:hAnsi="Arial"/>
          <w:sz w:val="18"/>
          <w:szCs w:val="18"/>
          <w:color w:val="auto"/>
        </w:rPr>
        <w:t>: One thousand barrels per day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Mdth/d</w:t>
      </w:r>
      <w:r>
        <w:rPr>
          <w:rFonts w:ascii="Arial" w:cs="Arial" w:eastAsia="Arial" w:hAnsi="Arial"/>
          <w:sz w:val="18"/>
          <w:szCs w:val="18"/>
          <w:color w:val="auto"/>
        </w:rPr>
        <w:t>: One thousand dekatherms per day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MMcf/d</w:t>
      </w:r>
      <w:r>
        <w:rPr>
          <w:rFonts w:ascii="Arial" w:cs="Arial" w:eastAsia="Arial" w:hAnsi="Arial"/>
          <w:sz w:val="18"/>
          <w:szCs w:val="18"/>
          <w:color w:val="auto"/>
        </w:rPr>
        <w:t>: One million cubic feet per day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MMdth</w:t>
      </w:r>
      <w:r>
        <w:rPr>
          <w:rFonts w:ascii="Arial" w:cs="Arial" w:eastAsia="Arial" w:hAnsi="Arial"/>
          <w:sz w:val="18"/>
          <w:szCs w:val="18"/>
          <w:color w:val="auto"/>
        </w:rPr>
        <w:t>: One million dekatherms or one trillion British thermal units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MMdth/d</w:t>
      </w:r>
      <w:r>
        <w:rPr>
          <w:rFonts w:ascii="Arial" w:cs="Arial" w:eastAsia="Arial" w:hAnsi="Arial"/>
          <w:sz w:val="18"/>
          <w:szCs w:val="18"/>
          <w:color w:val="auto"/>
        </w:rPr>
        <w:t>: One million dekatherms per day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Tbtu</w:t>
      </w:r>
      <w:r>
        <w:rPr>
          <w:rFonts w:ascii="Arial" w:cs="Arial" w:eastAsia="Arial" w:hAnsi="Arial"/>
          <w:sz w:val="18"/>
          <w:szCs w:val="18"/>
          <w:color w:val="auto"/>
        </w:rPr>
        <w:t>: One trillion British thermal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Entities</w:t>
      </w:r>
      <w:r>
        <w:rPr>
          <w:rFonts w:ascii="Arial" w:cs="Arial" w:eastAsia="Arial" w:hAnsi="Arial"/>
          <w:sz w:val="18"/>
          <w:szCs w:val="18"/>
          <w:color w:val="auto"/>
        </w:rPr>
        <w: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Cardinal: </w:t>
      </w:r>
      <w:r>
        <w:rPr>
          <w:rFonts w:ascii="Arial" w:cs="Arial" w:eastAsia="Arial" w:hAnsi="Arial"/>
          <w:sz w:val="18"/>
          <w:szCs w:val="18"/>
          <w:color w:val="auto"/>
        </w:rPr>
        <w:t>Cardinal Gas Services,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Gulfstar One: </w:t>
      </w:r>
      <w:r>
        <w:rPr>
          <w:rFonts w:ascii="Arial" w:cs="Arial" w:eastAsia="Arial" w:hAnsi="Arial"/>
          <w:sz w:val="18"/>
          <w:szCs w:val="18"/>
          <w:color w:val="auto"/>
        </w:rPr>
        <w:t>Gulfstar One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Northwest Pipeline: </w:t>
      </w:r>
      <w:r>
        <w:rPr>
          <w:rFonts w:ascii="Arial" w:cs="Arial" w:eastAsia="Arial" w:hAnsi="Arial"/>
          <w:sz w:val="18"/>
          <w:szCs w:val="18"/>
          <w:color w:val="auto"/>
        </w:rPr>
        <w:t>Northwest Pipeline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Transco: </w:t>
      </w:r>
      <w:r>
        <w:rPr>
          <w:rFonts w:ascii="Arial" w:cs="Arial" w:eastAsia="Arial" w:hAnsi="Arial"/>
          <w:sz w:val="18"/>
          <w:szCs w:val="18"/>
          <w:color w:val="auto"/>
        </w:rPr>
        <w:t>Transcontinental Gas Pipe Line Company, LLC</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UEOM: </w:t>
      </w:r>
      <w:r>
        <w:rPr>
          <w:rFonts w:ascii="Arial" w:cs="Arial" w:eastAsia="Arial" w:hAnsi="Arial"/>
          <w:sz w:val="18"/>
          <w:szCs w:val="18"/>
          <w:color w:val="auto"/>
        </w:rPr>
        <w:t>Utica East Ohio Midstream LLC, previously a Partially Owned Entity until acquiring remaining interest in March 2019</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Northeast JV: </w:t>
      </w:r>
      <w:r>
        <w:rPr>
          <w:rFonts w:ascii="Arial" w:cs="Arial" w:eastAsia="Arial" w:hAnsi="Arial"/>
          <w:sz w:val="18"/>
          <w:szCs w:val="18"/>
          <w:color w:val="auto"/>
        </w:rPr>
        <w:t>Ohio Valley Midstream LLC, a partially owned venture that includes our Ohio Valley assets and UEOM</w:t>
      </w:r>
    </w:p>
    <w:p>
      <w:pPr>
        <w:spacing w:after="0" w:line="117"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i w:val="1"/>
          <w:iCs w:val="1"/>
          <w:color w:val="auto"/>
        </w:rPr>
        <w:t xml:space="preserve">WPZ: </w:t>
      </w:r>
      <w:r>
        <w:rPr>
          <w:rFonts w:ascii="Arial" w:cs="Arial" w:eastAsia="Arial" w:hAnsi="Arial"/>
          <w:sz w:val="18"/>
          <w:szCs w:val="18"/>
          <w:color w:val="auto"/>
        </w:rPr>
        <w:t>Williams Partners L.P. Effective August 10, 2018, we completed our merger with WPZ, pursuant to which we acquired all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of WPZ held by others and Williams continued as the surviving entity.</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Partially Owned Entities</w:t>
      </w:r>
      <w:r>
        <w:rPr>
          <w:rFonts w:ascii="Arial" w:cs="Arial" w:eastAsia="Arial" w:hAnsi="Arial"/>
          <w:sz w:val="18"/>
          <w:szCs w:val="18"/>
          <w:color w:val="auto"/>
        </w:rPr>
        <w:t>: Entities in which we do not own a 100 percent ownership interest and which, as of December 31, 2019, we account for as an equity-method investment, including principally the following:</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Aux Sable: </w:t>
      </w:r>
      <w:r>
        <w:rPr>
          <w:rFonts w:ascii="Arial" w:cs="Arial" w:eastAsia="Arial" w:hAnsi="Arial"/>
          <w:sz w:val="18"/>
          <w:szCs w:val="18"/>
          <w:color w:val="auto"/>
        </w:rPr>
        <w:t>Aux Sable Liquid Products LP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Brazos Permian II: </w:t>
      </w:r>
      <w:r>
        <w:rPr>
          <w:rFonts w:ascii="Arial" w:cs="Arial" w:eastAsia="Arial" w:hAnsi="Arial"/>
          <w:sz w:val="18"/>
          <w:szCs w:val="18"/>
          <w:color w:val="auto"/>
        </w:rPr>
        <w:t>Brazos Permian II,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Caiman II: </w:t>
      </w:r>
      <w:r>
        <w:rPr>
          <w:rFonts w:ascii="Arial" w:cs="Arial" w:eastAsia="Arial" w:hAnsi="Arial"/>
          <w:sz w:val="18"/>
          <w:szCs w:val="18"/>
          <w:color w:val="auto"/>
        </w:rPr>
        <w:t>Caiman Energy II,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Constitution: </w:t>
      </w:r>
      <w:r>
        <w:rPr>
          <w:rFonts w:ascii="Arial" w:cs="Arial" w:eastAsia="Arial" w:hAnsi="Arial"/>
          <w:sz w:val="18"/>
          <w:szCs w:val="18"/>
          <w:color w:val="auto"/>
        </w:rPr>
        <w:t>Constitution Pipeline Company,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Discovery: </w:t>
      </w:r>
      <w:r>
        <w:rPr>
          <w:rFonts w:ascii="Arial" w:cs="Arial" w:eastAsia="Arial" w:hAnsi="Arial"/>
          <w:sz w:val="18"/>
          <w:szCs w:val="18"/>
          <w:color w:val="auto"/>
        </w:rPr>
        <w:t>Discovery Producer Services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Gulfstream: </w:t>
      </w:r>
      <w:r>
        <w:rPr>
          <w:rFonts w:ascii="Arial" w:cs="Arial" w:eastAsia="Arial" w:hAnsi="Arial"/>
          <w:sz w:val="18"/>
          <w:szCs w:val="18"/>
          <w:color w:val="auto"/>
        </w:rPr>
        <w:t>Gulfstream Natural Gas System,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Jackalope: </w:t>
      </w:r>
      <w:r>
        <w:rPr>
          <w:rFonts w:ascii="Arial" w:cs="Arial" w:eastAsia="Arial" w:hAnsi="Arial"/>
          <w:sz w:val="18"/>
          <w:szCs w:val="18"/>
          <w:color w:val="auto"/>
        </w:rPr>
        <w:t>Jackalope Gas Gathering Services, L.L.C., which was sold in April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53" w:right="239" w:bottom="1440" w:gutter="0" w:footer="0" w:header="0"/>
        </w:sectPr>
      </w:pPr>
    </w:p>
    <w:bookmarkStart w:id="3" w:name="page4"/>
    <w:bookmarkEnd w:id="3"/>
    <w:p>
      <w:pPr>
        <w:ind w:left="340"/>
        <w:spacing w:after="0"/>
        <w:rPr>
          <w:sz w:val="20"/>
          <w:szCs w:val="20"/>
          <w:color w:val="auto"/>
        </w:rPr>
      </w:pPr>
      <w:r>
        <w:rPr>
          <w:rFonts w:ascii="Arial" w:cs="Arial" w:eastAsia="Arial" w:hAnsi="Arial"/>
          <w:sz w:val="18"/>
          <w:szCs w:val="18"/>
          <w:i w:val="1"/>
          <w:iCs w:val="1"/>
          <w:color w:val="auto"/>
        </w:rPr>
        <w:t xml:space="preserve">Laurel Mountain: </w:t>
      </w:r>
      <w:r>
        <w:rPr>
          <w:rFonts w:ascii="Arial" w:cs="Arial" w:eastAsia="Arial" w:hAnsi="Arial"/>
          <w:sz w:val="18"/>
          <w:szCs w:val="18"/>
          <w:color w:val="auto"/>
        </w:rPr>
        <w:t>Laurel Mountain Midstream,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OPPL: </w:t>
      </w:r>
      <w:r>
        <w:rPr>
          <w:rFonts w:ascii="Arial" w:cs="Arial" w:eastAsia="Arial" w:hAnsi="Arial"/>
          <w:sz w:val="18"/>
          <w:szCs w:val="18"/>
          <w:color w:val="auto"/>
        </w:rPr>
        <w:t>Overland Pass Pipeline Company LLC</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RMM: </w:t>
      </w:r>
      <w:r>
        <w:rPr>
          <w:rFonts w:ascii="Arial" w:cs="Arial" w:eastAsia="Arial" w:hAnsi="Arial"/>
          <w:sz w:val="18"/>
          <w:szCs w:val="18"/>
          <w:color w:val="auto"/>
        </w:rPr>
        <w:t>Rocky Mountain Midstream Holdings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and Regulatory: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EPA: </w:t>
      </w:r>
      <w:r>
        <w:rPr>
          <w:rFonts w:ascii="Arial" w:cs="Arial" w:eastAsia="Arial" w:hAnsi="Arial"/>
          <w:sz w:val="18"/>
          <w:szCs w:val="18"/>
          <w:color w:val="auto"/>
        </w:rPr>
        <w:t>Environmental Protection Agency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Exchange Act, the: </w:t>
      </w:r>
      <w:r>
        <w:rPr>
          <w:rFonts w:ascii="Arial" w:cs="Arial" w:eastAsia="Arial" w:hAnsi="Arial"/>
          <w:sz w:val="18"/>
          <w:szCs w:val="18"/>
          <w:color w:val="auto"/>
        </w:rPr>
        <w:t>Securities and Exchange Act of 1934, as amended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FERC: </w:t>
      </w:r>
      <w:r>
        <w:rPr>
          <w:rFonts w:ascii="Arial" w:cs="Arial" w:eastAsia="Arial" w:hAnsi="Arial"/>
          <w:sz w:val="18"/>
          <w:szCs w:val="18"/>
          <w:color w:val="auto"/>
        </w:rPr>
        <w:t>Federal Energy Regulatory Commission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IRS: </w:t>
      </w:r>
      <w:r>
        <w:rPr>
          <w:rFonts w:ascii="Arial" w:cs="Arial" w:eastAsia="Arial" w:hAnsi="Arial"/>
          <w:sz w:val="18"/>
          <w:szCs w:val="18"/>
          <w:color w:val="auto"/>
        </w:rPr>
        <w:t>Internal Revenue Service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w:t>
      </w:r>
    </w:p>
    <w:p>
      <w:pPr>
        <w:spacing w:after="0" w:line="117" w:lineRule="exact"/>
        <w:rPr>
          <w:sz w:val="20"/>
          <w:szCs w:val="20"/>
          <w:color w:val="auto"/>
        </w:rPr>
      </w:pPr>
    </w:p>
    <w:p>
      <w:pPr>
        <w:ind w:left="660" w:right="2740" w:hanging="323"/>
        <w:spacing w:after="0" w:line="277" w:lineRule="auto"/>
        <w:rPr>
          <w:sz w:val="20"/>
          <w:szCs w:val="20"/>
          <w:color w:val="auto"/>
        </w:rPr>
      </w:pPr>
      <w:r>
        <w:rPr>
          <w:rFonts w:ascii="Arial" w:cs="Arial" w:eastAsia="Arial" w:hAnsi="Arial"/>
          <w:sz w:val="18"/>
          <w:szCs w:val="18"/>
          <w:i w:val="1"/>
          <w:iCs w:val="1"/>
          <w:color w:val="auto"/>
        </w:rPr>
        <w:t>Fractionation</w:t>
      </w:r>
      <w:r>
        <w:rPr>
          <w:rFonts w:ascii="Arial" w:cs="Arial" w:eastAsia="Arial" w:hAnsi="Arial"/>
          <w:sz w:val="18"/>
          <w:szCs w:val="18"/>
          <w:color w:val="auto"/>
        </w:rPr>
        <w:t>: The process by which a mixed stream of natural gas liquids is separated into its constituent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ethane, propane, and butane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GAAP</w:t>
      </w:r>
      <w:r>
        <w:rPr>
          <w:rFonts w:ascii="Arial" w:cs="Arial" w:eastAsia="Arial" w:hAnsi="Arial"/>
          <w:sz w:val="18"/>
          <w:szCs w:val="18"/>
          <w:color w:val="auto"/>
        </w:rPr>
        <w:t>: U.S. generally accepted accounting principles</w:t>
      </w:r>
    </w:p>
    <w:p>
      <w:pPr>
        <w:spacing w:after="0" w:line="117"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i w:val="1"/>
          <w:iCs w:val="1"/>
          <w:color w:val="auto"/>
        </w:rPr>
        <w:t xml:space="preserve">Geismar Incident: </w:t>
      </w:r>
      <w:r>
        <w:rPr>
          <w:rFonts w:ascii="Arial" w:cs="Arial" w:eastAsia="Arial" w:hAnsi="Arial"/>
          <w:sz w:val="18"/>
          <w:szCs w:val="18"/>
          <w:color w:val="auto"/>
        </w:rPr>
        <w:t>An explosion and fire which occurred on June 13, 2013, at our formerly owned Geismar olefins plant and rendered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temporarily inoperable.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LNG: </w:t>
      </w:r>
      <w:r>
        <w:rPr>
          <w:rFonts w:ascii="Arial" w:cs="Arial" w:eastAsia="Arial" w:hAnsi="Arial"/>
          <w:sz w:val="18"/>
          <w:szCs w:val="18"/>
          <w:color w:val="auto"/>
        </w:rPr>
        <w:t>Liquefied natural gas; natural gas which has been liquefied at cryogenic temperatures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MVC: </w:t>
      </w:r>
      <w:r>
        <w:rPr>
          <w:rFonts w:ascii="Arial" w:cs="Arial" w:eastAsia="Arial" w:hAnsi="Arial"/>
          <w:sz w:val="18"/>
          <w:szCs w:val="18"/>
          <w:color w:val="auto"/>
        </w:rPr>
        <w:t>Minimum volume commitment</w:t>
      </w:r>
    </w:p>
    <w:p>
      <w:pPr>
        <w:spacing w:after="0" w:line="117" w:lineRule="exact"/>
        <w:rPr>
          <w:sz w:val="20"/>
          <w:szCs w:val="20"/>
          <w:color w:val="auto"/>
        </w:rPr>
      </w:pPr>
    </w:p>
    <w:p>
      <w:pPr>
        <w:ind w:left="660" w:right="3140" w:hanging="323"/>
        <w:spacing w:after="0" w:line="342" w:lineRule="auto"/>
        <w:rPr>
          <w:sz w:val="20"/>
          <w:szCs w:val="20"/>
          <w:color w:val="auto"/>
        </w:rPr>
      </w:pPr>
      <w:r>
        <w:rPr>
          <w:rFonts w:ascii="Arial" w:cs="Arial" w:eastAsia="Arial" w:hAnsi="Arial"/>
          <w:sz w:val="16"/>
          <w:szCs w:val="16"/>
          <w:i w:val="1"/>
          <w:iCs w:val="1"/>
          <w:color w:val="auto"/>
        </w:rPr>
        <w:t xml:space="preserve">NGLs: </w:t>
      </w:r>
      <w:r>
        <w:rPr>
          <w:rFonts w:ascii="Arial" w:cs="Arial" w:eastAsia="Arial" w:hAnsi="Arial"/>
          <w:sz w:val="16"/>
          <w:szCs w:val="16"/>
          <w:color w:val="auto"/>
        </w:rPr>
        <w:t>Natural gas liquids; natural gas liquids result from natural gas processing and crude oil refining and are</w:t>
      </w:r>
      <w:r>
        <w:rPr>
          <w:rFonts w:ascii="Arial" w:cs="Arial" w:eastAsia="Arial" w:hAnsi="Arial"/>
          <w:sz w:val="16"/>
          <w:szCs w:val="16"/>
          <w:i w:val="1"/>
          <w:iCs w:val="1"/>
          <w:color w:val="auto"/>
        </w:rPr>
        <w:t xml:space="preserve"> </w:t>
      </w:r>
      <w:r>
        <w:rPr>
          <w:rFonts w:ascii="Arial" w:cs="Arial" w:eastAsia="Arial" w:hAnsi="Arial"/>
          <w:sz w:val="16"/>
          <w:szCs w:val="16"/>
          <w:color w:val="auto"/>
        </w:rPr>
        <w:t>used as petrochemical feedstocks, heating fuels, and gasoline additives, among other applications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NGL margins</w:t>
      </w:r>
      <w:r>
        <w:rPr>
          <w:rFonts w:ascii="Arial" w:cs="Arial" w:eastAsia="Arial" w:hAnsi="Arial"/>
          <w:sz w:val="18"/>
          <w:szCs w:val="18"/>
          <w:color w:val="auto"/>
        </w:rPr>
        <w:t>: NGL revenues less Btu replacement cost, plant fuel, transportation, and fractionation</w:t>
      </w:r>
    </w:p>
    <w:p>
      <w:pPr>
        <w:spacing w:after="0" w:line="117" w:lineRule="exact"/>
        <w:rPr>
          <w:sz w:val="20"/>
          <w:szCs w:val="20"/>
          <w:color w:val="auto"/>
        </w:rPr>
      </w:pPr>
    </w:p>
    <w:p>
      <w:pPr>
        <w:ind w:left="660" w:hanging="323"/>
        <w:spacing w:after="0" w:line="277" w:lineRule="auto"/>
        <w:rPr>
          <w:sz w:val="20"/>
          <w:szCs w:val="20"/>
          <w:color w:val="auto"/>
        </w:rPr>
      </w:pPr>
      <w:r>
        <w:rPr>
          <w:rFonts w:ascii="Arial" w:cs="Arial" w:eastAsia="Arial" w:hAnsi="Arial"/>
          <w:sz w:val="18"/>
          <w:szCs w:val="18"/>
          <w:i w:val="1"/>
          <w:iCs w:val="1"/>
          <w:color w:val="auto"/>
        </w:rPr>
        <w:t xml:space="preserve">WPZ Merger: </w:t>
      </w:r>
      <w:r>
        <w:rPr>
          <w:rFonts w:ascii="Arial" w:cs="Arial" w:eastAsia="Arial" w:hAnsi="Arial"/>
          <w:sz w:val="18"/>
          <w:szCs w:val="18"/>
          <w:color w:val="auto"/>
        </w:rPr>
        <w:t>The August 10, 2018, merger transactions pursuant to which we acquired all outstanding common units of WPZ held by others, merged</w:t>
      </w:r>
      <w:r>
        <w:rPr>
          <w:rFonts w:ascii="Arial" w:cs="Arial" w:eastAsia="Arial" w:hAnsi="Arial"/>
          <w:sz w:val="18"/>
          <w:szCs w:val="18"/>
          <w:i w:val="1"/>
          <w:iCs w:val="1"/>
          <w:color w:val="auto"/>
        </w:rPr>
        <w:t xml:space="preserve"> </w:t>
      </w:r>
      <w:r>
        <w:rPr>
          <w:rFonts w:ascii="Arial" w:cs="Arial" w:eastAsia="Arial" w:hAnsi="Arial"/>
          <w:sz w:val="18"/>
          <w:szCs w:val="18"/>
          <w:color w:val="auto"/>
        </w:rPr>
        <w:t>WPZ into Williams, and Williams continued as the surviving entity.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statements in this Annual Report that are not historical information, including statements concerning plans and objectives of management for future operations, economic performance or related assumptions, are forward-looking statements. Forward-looking statements may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and other words and terms of similar meaning. Although we believe that our expectations regarding future events are based on reasonable assumptions, we can give no assurance that such expectations or assumptions will be achieved. Additional information regarding forward-looking statements and important factors that could cause actual results to differ materially from those in the forward-looking statements are described under Part I, Item 1A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report, Williams (which includes The Williams Companies, Inc. and, unless the context otherwise indicates, all of our subsidiaries) is at times referred to in the first person as “we,” “us” or “our.” We also sometimes refer to Williams as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an energy infrastructure company committed to be the leader in providing infrastructure that safely delivers natural gas products to reliably fuel the clean energy economy. We have operations in 15 supply areas that provide natural gas gathering, processing, and transmission services and natural gas liquids fractionation, transportation, and storage services to more than 600 customers. We own an interest in and operate over 30,000 miles of pipelines, 28 processing facilities, 7 fractionation facilities, and approximately 23 million barrels of NGL storage capacity, handling approximately 30 percent of the nation’s natural gas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214630</wp:posOffset>
            </wp:positionV>
            <wp:extent cx="5368290" cy="3542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6829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1908, originally incorporated under the laws of the state of Nevada in 1949 and reincorporated under the laws of the state of Delaware in 1987. Our common stock trades on the New York Stock Exchange under the symbol “WMB.” Our operations are located in the United States. Williams’ headquarters are located in Tulsa, Oklahoma, with other major offices in Salt Lake City, Utah; Houston, Texas; and Pittsburgh, Pennsylvania. Our telephone number is 918-573-2000.</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53"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448945</wp:posOffset>
            </wp:positionV>
            <wp:extent cx="5360035" cy="3627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60035"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Assets, Customers, and Contracts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Pipeline Assets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interstate natural gas pipelines, which are presented in our Transmission &amp; Gulf of Mexico segment as described under the heading “Business Segments,” are subject to regulation by the FERC and as such, our rates and charges for the transportation of natural gas in interstate commerce are subject to regulation. The rates are established through the FERC’s ratemaking process.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interstate natural gas pipelines transport and store natural gas for a broad mix of customers, including local natural gas distribution companies, public utilities, municipalities, direct industrial users, electric power generators, and natural gas marketers and producers. We have firm transportation and storage contracts that are generally long-term contracts with various expiration dates and account for the major portion of our regulated businesses. Additionally, we offer storage services and interruptible transportation services under shorter-term agreements. Transco’s and Northwest Pipeline’s three largest customers in 2019 accounted for approximately 28 percent and 48 percent, respectively, of their total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Processing, and Treating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gathering, processing, and treating operations are presented within our Transmission &amp; Gulf of Mexico, Northeast G&amp;P, and West reporting segments as described under the heading “Business Segments.”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gathering systems receive natural gas from producers’ crude oil and natural gas wells and gather these volumes to gas processing, treating, or redelivery facilities. Typically, natural gas, in its raw form, is not acceptable for transportation in major interstate natural gas pipelines or for commercial use as a fuel. Our treating facilities remove water vapor, carbon dioxide, and other contaminants, and collect condensate. We are generally paid a fee based on the volume of natural gas gathered and/or treated, generally measured in the Btu heating value.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6" w:name="page7"/>
    <w:bookmarkEnd w:id="6"/>
    <w:p>
      <w:pPr>
        <w:jc w:val="both"/>
        <w:ind w:firstLine="324"/>
        <w:spacing w:after="0" w:line="264" w:lineRule="auto"/>
        <w:rPr>
          <w:sz w:val="20"/>
          <w:szCs w:val="20"/>
          <w:color w:val="auto"/>
        </w:rPr>
      </w:pPr>
      <w:r>
        <w:rPr>
          <w:rFonts w:ascii="Arial" w:cs="Arial" w:eastAsia="Arial" w:hAnsi="Arial"/>
          <w:sz w:val="18"/>
          <w:szCs w:val="18"/>
          <w:color w:val="auto"/>
        </w:rPr>
        <w:t>In addition, natural gas contains various amounts of NGLs, which generally have a higher value when separated from the natural gas stream. Our processing plants extract the NGLs, which include ethane, primarily used in the petrochemical industry; propane, used for heating, fuel, and also in the petrochemical industry; and, normal butane, isobutane, and natural gasoline, primarily used by the refining industry.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gas processing services generate revenues primarily from the following types of contracts:</w:t>
      </w:r>
    </w:p>
    <w:p>
      <w:pPr>
        <w:spacing w:after="0" w:line="198" w:lineRule="exact"/>
        <w:rPr>
          <w:sz w:val="20"/>
          <w:szCs w:val="20"/>
          <w:color w:val="auto"/>
        </w:rPr>
      </w:pPr>
    </w:p>
    <w:p>
      <w:pPr>
        <w:jc w:val="both"/>
        <w:ind w:left="660" w:hanging="328"/>
        <w:spacing w:after="0" w:line="28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Fee-based: We are paid a fee based on the volume of natural gas processed, generally measured in the Btu heating value. A portion of our fee-based processing revenue includes a share of the margins on the NGLs produced. For the year ended December 31, 2019, 80 percent of our NGL production volumes were under fee-based contracts.</w:t>
      </w:r>
    </w:p>
    <w:p>
      <w:pPr>
        <w:spacing w:after="0" w:line="153" w:lineRule="exact"/>
        <w:rPr>
          <w:rFonts w:ascii="Arial" w:cs="Arial" w:eastAsia="Arial" w:hAnsi="Arial"/>
          <w:sz w:val="22"/>
          <w:szCs w:val="22"/>
          <w:color w:val="auto"/>
        </w:rPr>
      </w:pPr>
    </w:p>
    <w:p>
      <w:pPr>
        <w:jc w:val="both"/>
        <w:ind w:left="660" w:hanging="328"/>
        <w:spacing w:after="0" w:line="28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Noncash commodity-based: We also process gas under two types of commodity-based contracts, keep-whole and percent-of-liquids, where we receive consideration for our services in the form of NGLs. For a keep-whole arrangement we replace the Btu content of the retained NGLs with natural gas purchases, also known as shrink replacement gas. For a percent-of-liquids arrangement, we deliver an agreed-upon percentage of the extracted NGLs and retain the remainder. Retained NGLs are referred to as our equity NGL production. For the year ended December 31, 2019, 20 percent of our NGL production volumes were under noncash commodity-based contracts.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Generally, our gathering and processing agreements are long-term agreements, with terms ranging from month-to-month to the life of the producing lease. Certain contracts include fee redetermination or cost of service mechanisms that are designed to support a return on invested capital and allow our gathering rates to be adjusted, subject to specified caps in certain cases, to account for variability in volume, capital expenditures, commodity price fluctuations, compression and other expenses. We also have certain gas gathering and processing agreements with minimum volume commitments (MVC), whereby the customer is obligated to pay a contractually determined fee based on any shortfall between the actual gathered and processed volumes and the MVC for a stated period.</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Demand for gas gathering and processing services is dependent on producers’ drilling activities, which is impacted by the strength of the economy, natural gas prices, and the resulting demand for natural gas by manufacturing and industrial companies and consumers. During 2019, our facilities gathered and processed gas and crude oil for approximately 230 customers. Our top ten customers accounted for approximately 75 percent of our gathering and processing fee revenues and NGL margins from our noncash commodity-based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Transportation and Production Handling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Our crude oil transportation operations, which are presented in our Transmission &amp; Gulf of Mexico segment as described under the heading “Business Segments,” earn revenues typically by volumetric-based fee arrangements. Revenue sources have historically included a combination of fixed-fee, volumetric-based fee, and cost reimbursement arrangements. Generally, fixed fees associated with the production at our Gulf Coast production handling facilities are recognized on a units-of-production basis. Certain fixed fees associated with the production at our Gulfstar One facility are recognized based on contractually determined maximum daily quantities. Crude oil marketing activity is presented on a net basis within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in the Consolidated Statement of Operations subsequent to the adoption of Accounting Standard Update 2014-09, Revenue from Contracts with Customers (Topic 606) as of January 1, 2018.</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variables for our all of our businesses will continue to be:</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6"/>
          <w:szCs w:val="16"/>
          <w:color w:val="auto"/>
        </w:rPr>
        <w:t>Obstacles to our expansion efforts, including delays or denials of necessary permits and opposition to hydrocarbon-based energy development;</w:t>
      </w:r>
    </w:p>
    <w:p>
      <w:pPr>
        <w:spacing w:after="0" w:line="177" w:lineRule="exact"/>
        <w:rPr>
          <w:rFonts w:ascii="Arial" w:cs="Arial" w:eastAsia="Arial" w:hAnsi="Arial"/>
          <w:sz w:val="19"/>
          <w:szCs w:val="19"/>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Producer drilling activities impacting natural gas supplies supporting our gathering and processing volumes;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Retaining and attracting customers by continuing to provide reliable services;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3" w:right="23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Revenue growth associated with additional infrastructure either completed or currently under construction;</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Prices impacting our commodity-based activities;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Disciplined growth in our service areas.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January 1, 2020, following an organizational realignment, our interstate natural gas pipeline Northwest Pipeline LLC, reported within the West reporting segment throughout 2019, is now managed within the Transmission &amp; Gulf of Mexico reporting segment (previously identified as the Atlantic-Gulf reporting segment). Consistent with the manner in which our chief operating decision maker evaluates performance and allocates resources, our operations are conducted, managed, and presented in Part I of this Annual Report within the following reportable segments: Transmission &amp; Gulf of Mexico, Northeast G&amp;P, and West.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organizational realignment, our reportable segments are comprised of the following business activities:</w:t>
      </w:r>
    </w:p>
    <w:p>
      <w:pPr>
        <w:spacing w:after="0" w:line="212" w:lineRule="exact"/>
        <w:rPr>
          <w:sz w:val="20"/>
          <w:szCs w:val="20"/>
          <w:color w:val="auto"/>
        </w:rPr>
      </w:pPr>
    </w:p>
    <w:p>
      <w:pPr>
        <w:jc w:val="both"/>
        <w:ind w:left="660" w:hanging="328"/>
        <w:spacing w:after="0" w:line="288"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Transmission &amp; Gulf of Mexico is comprised of our interstate natural gas pipelines, Transco and Northwest Pipeline, as well as natural gas gathering, processing, and treating assets and crude oil production handling and transportation assets in the Gulf Coast region, including a 51 percent interest in Gulfstar One (a consolidated variable interest entity), which is a proprietary floating production system, and various petrochemical and feedstock pipelines in the Gulf Coast region, a 50 percent equity-method investment in Gulfstream, and a 60 percent equity-method investment in Discovery.</w:t>
      </w:r>
    </w:p>
    <w:p>
      <w:pPr>
        <w:spacing w:after="0" w:line="161" w:lineRule="exact"/>
        <w:rPr>
          <w:rFonts w:ascii="Arial" w:cs="Arial" w:eastAsia="Arial" w:hAnsi="Arial"/>
          <w:sz w:val="22"/>
          <w:szCs w:val="22"/>
          <w:color w:val="auto"/>
        </w:rPr>
      </w:pPr>
    </w:p>
    <w:p>
      <w:pPr>
        <w:jc w:val="both"/>
        <w:ind w:left="660" w:hanging="328"/>
        <w:spacing w:after="0" w:line="309" w:lineRule="auto"/>
        <w:tabs>
          <w:tab w:leader="none" w:pos="660" w:val="left"/>
        </w:tabs>
        <w:numPr>
          <w:ilvl w:val="0"/>
          <w:numId w:val="6"/>
        </w:numPr>
        <w:rPr>
          <w:rFonts w:ascii="Arial" w:cs="Arial" w:eastAsia="Arial" w:hAnsi="Arial"/>
          <w:sz w:val="21"/>
          <w:szCs w:val="21"/>
          <w:color w:val="auto"/>
        </w:rPr>
      </w:pPr>
      <w:r>
        <w:rPr>
          <w:rFonts w:ascii="Arial" w:cs="Arial" w:eastAsia="Arial" w:hAnsi="Arial"/>
          <w:sz w:val="17"/>
          <w:szCs w:val="17"/>
          <w:color w:val="auto"/>
        </w:rPr>
        <w:t>Northeast G&amp;P is comprised of our midstream gathering, processing, and fractionation businesses in the Marcellus Shale region primarily in Pennsylvania, New York, and the Utica Shale region of eastern Ohio, as well as a 65 percent interest in our Northeast JV (a consolidated variable interest entity) which operates in West Virginia, Ohio, and Pennsylvania, a 66 percent interest in Cardinal (a consolidated variable interest entity) which operates in Ohio, a 69 percent equity-method investment in Laurel Mountain, a 58 percent equity-method investment in Caiman II, and Appalachia Midstream Services, LLC, which owns equity-method investments with an approximate average 66 percent interest in multiple gas gathering systems in the Marcellus Shale (Appalachia Midstream Investments).</w:t>
      </w:r>
    </w:p>
    <w:p>
      <w:pPr>
        <w:spacing w:after="0" w:line="145" w:lineRule="exact"/>
        <w:rPr>
          <w:rFonts w:ascii="Arial" w:cs="Arial" w:eastAsia="Arial" w:hAnsi="Arial"/>
          <w:sz w:val="21"/>
          <w:szCs w:val="21"/>
          <w:color w:val="auto"/>
        </w:rPr>
      </w:pPr>
    </w:p>
    <w:p>
      <w:pPr>
        <w:jc w:val="both"/>
        <w:ind w:left="660" w:hanging="328"/>
        <w:spacing w:after="0" w:line="334"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6"/>
          <w:szCs w:val="16"/>
          <w:color w:val="auto"/>
        </w:rPr>
        <w:t>West is comprised of our gas gathering, processing, and treating operations in the Rocky Mountain region of Colorado and Wyoming, the Barnett Shale region of north-central Texas, the Eagle Ford Shale region of south Texas, the Haynesville Shale region of northwest Louisiana, and the Mid-Continent region which includes the Anadarko, Arkoma, and Permian basins. This segment also includes our NGL and natural gas marketing business, storage facilities, an undivided 50 percent interest in an NGL fractionator near Conway, Kansas, a 50 percent equity-method investment in OPPL, a 50 percent equity-method investment in RMM, and a 15 percent equity-method investment in Brazos Permian II.</w:t>
      </w:r>
    </w:p>
    <w:p>
      <w:pPr>
        <w:spacing w:after="0" w:line="107"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Other includes minor business activities that are not operating segments, as well as corporate operations.</w:t>
      </w:r>
    </w:p>
    <w:p>
      <w:pPr>
        <w:spacing w:after="0" w:line="16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Detailed discussion of each of our reporting segments follows. Part II, Item 7. Management’s Discussion and Analysis of Financial Condition and Results of Operations (including the discussion of our ongoing expansion projects) and Item 8. Financial Statements and Supplementary Data continue to present our segments as they were historically defined before the organizational realignment on January 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&amp; Gulf of Mexico</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segment includes the Transco interstate natural gas pipeline that extends from the Gulf of Mexico to the eastern seaboard, the Northwest Pipeline interstate natural gas pipeline, as well as natural gas gathering, processing and treating, crude oil production handling, and NGL fractionation assets within the onshore, offshore shelf,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2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deepwater areas in and around the Gulf Coast states of Texas, Louisiana, Mississippi, and Alabama. This segment also includes various petrochemical and feedstock pipelines in the Gulf Coast region.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Transco</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Transco is an interstate natural gas transmission company that owns and operates a 9,800-mile natural gas pipeline system, which is regulated by the FERC, extending from Texas, Louisiana, Mississippi, and the Gulf of Mexico through Alabama, Georgia, South Carolina, North Carolina, Virginia, Maryland, Delaware, Pennsylvania, and New Jersey to the New York City metropolitan area. The system serves customers in Texas and 12 southeast and Atlantic seaboard states, including major metropolitan areas in Georgia, North Carolina, Washington, D.C., Maryland, New York, New Jersey, and Pennsylvania.</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2019, Transco’s system, which extends from Texas to New York, had a system-wide delivery capacity totaling approximately 17.4 MMdth/d. During 2019, Transco completed four fully-contracted expansions, which added more than 0.6 MMdth of firm transportation capacity per day to our pipeline. Transco’s system includes 57 compressor stations, four underground storage fields, and one LNG storage facility. Compression facilities at sea level-rated capacity total approximately 2.3 million horsepower.</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Transco has natural gas storage capacity in four underground storage fields located on or near its pipeline system or market areas and operates two of these storage fields. Transco also has storage capacity in an LNG storage facility that it owns and operates. The total usable gas storage capacity available to Transco and its customers in such underground storage fields and LNG storage facility and through storage service contracts is approximately 198 Bcf of natural gas. At December 31, 2019, Transco’s customers had stored in its facilities approximately 140 Bcf of natural gas. Storage capacity permits our customers to inject gas into storage during the summer and off-peak periods for delivery during peak winter demand periods.</w:t>
      </w:r>
    </w:p>
    <w:p>
      <w:pPr>
        <w:spacing w:after="0" w:line="10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31, 2018, Transco filed a general rate case with the FERC for an overall increase in rates. In September 2018, with the exception of certain rates that reflected a rate decrease, the FERC accepted and suspended our general rate filing to be effective March 1, 2019, subject to refund and the outcome of a hearing. The specific rates that reflected a rate decrease were accepted, without suspension, to be effective October 1, 2018, as requested by Transco, and were not subject to refund. In March 2019, the FERC accepted our motion to place the rates that were suspended by the September 2018 order into effect on March 1, 2019, subject to refund. In October 2019, we reached an agreement on the terms of a settlement with the participants that would resolve all issues in the rate case without the need for a hearing, and on December 31, 2019, we filed a formal stipulation and agreement with the FERC setting forth such terms of the settlement. We anticipate FERC approval of the stipulation and agreement in the second quarter of 2020. As of December 31, 2019, we have provided a $189 million reserve for rate refunds related to increased rates collected since March 2019, which we believe is adequate for any refunds that may be required.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Northwest Pipeline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Northwest Pipeline is an interstate natural gas transmission company that owns and operates a natural gas pipeline system, which is regulated by the FERC, extending from the San Juan basin in northwestern New Mexico and southwestern Colorado through Colorado, Utah, Wyoming, Idaho, Oregon, and Washington to a point on the Canadian border near Sumas, Washington. Northwest Pipeline provides services for markets in Washington, Oregon, Idaho, Wyoming, Nevada, Utah, Colorado, New Mexico, California, and Arizona, either directly or indirectly through interconnections with other pipelines.</w:t>
      </w:r>
    </w:p>
    <w:p>
      <w:pPr>
        <w:spacing w:after="0" w:line="1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2019, Northwest Pipeline’s system, having long-term firm transportation and storage redelivery agreements with aggregate capacity reservations of approximately 3.9 MMdth/d, was composed of approximately 3,900 miles of mainline and lateral transmission pipeline and 41 transmission compressor stations having a combined sea level-rated capacity of approximately 472,000 horsepower.</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Northwest Pipeline owns a one-third undivided interest in the Jackson Prairie underground storage facility in Washington and contracts with a third party for natural gas storage services in the Clay basin underground field in Utah. Northwest Pipeline also owns and operates an LNG storage facility in Washington. These storage facilities have an aggregate working natural gas storage capacity of 14.2 MMdth of natural gas, which is substantially utilized for third-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19"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party natural gas. These natural gas storage facilities enable Northwest Pipeline to balance daily receipts and deliveries and provide storage services to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Transportation, Processing, and Treating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significant operated assets of this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6"/>
          </w:tcPr>
          <w:p>
            <w:pPr>
              <w:ind w:left="580"/>
              <w:spacing w:after="0"/>
              <w:rPr>
                <w:sz w:val="20"/>
                <w:szCs w:val="20"/>
                <w:color w:val="auto"/>
              </w:rPr>
            </w:pPr>
            <w:r>
              <w:rPr>
                <w:rFonts w:ascii="Arial" w:cs="Arial" w:eastAsia="Arial" w:hAnsi="Arial"/>
                <w:sz w:val="16"/>
                <w:szCs w:val="16"/>
                <w:b w:val="1"/>
                <w:bCs w:val="1"/>
                <w:i w:val="1"/>
                <w:iCs w:val="1"/>
                <w:color w:val="auto"/>
              </w:rPr>
              <w:t>Offshore Natural Gas Pipelines</w:t>
            </w:r>
          </w:p>
        </w:tc>
        <w:tc>
          <w:tcPr>
            <w:tcW w:w="2500" w:type="dxa"/>
            <w:vAlign w:val="bottom"/>
          </w:tcPr>
          <w:p>
            <w:pPr>
              <w:spacing w:after="0"/>
              <w:rPr>
                <w:sz w:val="17"/>
                <w:szCs w:val="17"/>
                <w:color w:val="auto"/>
              </w:rPr>
            </w:pPr>
          </w:p>
        </w:tc>
      </w:tr>
      <w:tr>
        <w:trPr>
          <w:trHeight w:val="33"/>
        </w:trPr>
        <w:tc>
          <w:tcPr>
            <w:tcW w:w="26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2"/>
        </w:trPr>
        <w:tc>
          <w:tcPr>
            <w:tcW w:w="26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Inlet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0"/>
        </w:trPr>
        <w:tc>
          <w:tcPr>
            <w:tcW w:w="26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Pipeline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Capacity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2500" w:type="dxa"/>
            <w:vAlign w:val="bottom"/>
          </w:tcPr>
          <w:p>
            <w:pPr>
              <w:spacing w:after="0"/>
              <w:rPr>
                <w:sz w:val="23"/>
                <w:szCs w:val="23"/>
                <w:color w:val="auto"/>
              </w:rPr>
            </w:pPr>
          </w:p>
        </w:tc>
      </w:tr>
      <w:tr>
        <w:trPr>
          <w:trHeight w:val="276"/>
        </w:trPr>
        <w:tc>
          <w:tcPr>
            <w:tcW w:w="264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Miles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(Bcf/d)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Supply Basins</w:t>
            </w:r>
          </w:p>
        </w:tc>
      </w:tr>
      <w:tr>
        <w:trPr>
          <w:trHeight w:val="108"/>
        </w:trPr>
        <w:tc>
          <w:tcPr>
            <w:tcW w:w="2640" w:type="dxa"/>
            <w:vAlign w:val="bottom"/>
          </w:tcPr>
          <w:p>
            <w:pPr>
              <w:spacing w:after="0"/>
              <w:rPr>
                <w:sz w:val="9"/>
                <w:szCs w:val="9"/>
                <w:color w:val="auto"/>
              </w:rPr>
            </w:pPr>
          </w:p>
        </w:tc>
        <w:tc>
          <w:tcPr>
            <w:tcW w:w="2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tcBorders>
              <w:top w:val="single" w:sz="8" w:color="auto"/>
            </w:tcBorders>
          </w:tcPr>
          <w:p>
            <w:pPr>
              <w:spacing w:after="0"/>
              <w:rPr>
                <w:sz w:val="9"/>
                <w:szCs w:val="9"/>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20"/>
        </w:trPr>
        <w:tc>
          <w:tcPr>
            <w:tcW w:w="2640" w:type="dxa"/>
            <w:vAlign w:val="bottom"/>
          </w:tcPr>
          <w:p>
            <w:pPr>
              <w:ind w:left="200"/>
              <w:spacing w:after="0"/>
              <w:rPr>
                <w:sz w:val="20"/>
                <w:szCs w:val="20"/>
                <w:color w:val="auto"/>
              </w:rPr>
            </w:pPr>
            <w:r>
              <w:rPr>
                <w:rFonts w:ascii="Arial" w:cs="Arial" w:eastAsia="Arial" w:hAnsi="Arial"/>
                <w:sz w:val="16"/>
                <w:szCs w:val="16"/>
                <w:color w:val="auto"/>
              </w:rPr>
              <w:t>Canyon Chief, including Blind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06"/>
        </w:trPr>
        <w:tc>
          <w:tcPr>
            <w:tcW w:w="2640" w:type="dxa"/>
            <w:vAlign w:val="bottom"/>
          </w:tcPr>
          <w:p>
            <w:pPr>
              <w:ind w:left="360"/>
              <w:spacing w:after="0"/>
              <w:rPr>
                <w:sz w:val="20"/>
                <w:szCs w:val="20"/>
                <w:color w:val="auto"/>
              </w:rPr>
            </w:pPr>
            <w:r>
              <w:rPr>
                <w:rFonts w:ascii="Arial" w:cs="Arial" w:eastAsia="Arial" w:hAnsi="Arial"/>
                <w:sz w:val="16"/>
                <w:szCs w:val="16"/>
                <w:color w:val="auto"/>
              </w:rPr>
              <w:t>Faith and Gulfstar extensions</w:t>
            </w:r>
          </w:p>
        </w:tc>
        <w:tc>
          <w:tcPr>
            <w:tcW w:w="27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Deepwater Gulf of Mexico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156</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Eastern Gulf of Mexico</w:t>
            </w:r>
          </w:p>
        </w:tc>
      </w:tr>
      <w:tr>
        <w:trPr>
          <w:trHeight w:val="33"/>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Eastern Gulf</w:t>
            </w: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Offshore shelf and other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Eastern Gulf of Mexico</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Seahawk</w:t>
            </w:r>
          </w:p>
        </w:tc>
        <w:tc>
          <w:tcPr>
            <w:tcW w:w="27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Deepwater Gulf of Mexico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115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33"/>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Perdido Norte</w:t>
            </w: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Deepwater Gulf of Mexico</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237"/>
        </w:trPr>
        <w:tc>
          <w:tcPr>
            <w:tcW w:w="2640" w:type="dxa"/>
            <w:vAlign w:val="bottom"/>
          </w:tcPr>
          <w:p>
            <w:pPr>
              <w:ind w:left="200"/>
              <w:spacing w:after="0"/>
              <w:rPr>
                <w:sz w:val="20"/>
                <w:szCs w:val="20"/>
                <w:color w:val="auto"/>
              </w:rPr>
            </w:pPr>
            <w:r>
              <w:rPr>
                <w:rFonts w:ascii="Arial" w:cs="Arial" w:eastAsia="Arial" w:hAnsi="Arial"/>
                <w:sz w:val="16"/>
                <w:szCs w:val="16"/>
                <w:color w:val="auto"/>
              </w:rPr>
              <w:t>Norphlet</w:t>
            </w:r>
          </w:p>
        </w:tc>
        <w:tc>
          <w:tcPr>
            <w:tcW w:w="27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Deepwater Gulf of Mexico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5"/>
              </w:rPr>
              <w:t>Eastern Gulf of Mexico</w:t>
            </w:r>
          </w:p>
        </w:tc>
      </w:tr>
      <w:tr>
        <w:trPr>
          <w:trHeight w:val="33"/>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Western Gulf</w:t>
            </w: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Offshore shelf and other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Non-consolidated: (1)</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7"/>
        </w:trPr>
        <w:tc>
          <w:tcPr>
            <w:tcW w:w="2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Discovery</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Central Gulf of Mexico</w:t>
            </w: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33"/>
        </w:trPr>
        <w:tc>
          <w:tcPr>
            <w:tcW w:w="264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6"/>
          </w:tcPr>
          <w:p>
            <w:pPr>
              <w:ind w:left="500"/>
              <w:spacing w:after="0"/>
              <w:rPr>
                <w:sz w:val="20"/>
                <w:szCs w:val="20"/>
                <w:color w:val="auto"/>
              </w:rPr>
            </w:pPr>
            <w:r>
              <w:rPr>
                <w:rFonts w:ascii="Arial" w:cs="Arial" w:eastAsia="Arial" w:hAnsi="Arial"/>
                <w:sz w:val="16"/>
                <w:szCs w:val="16"/>
                <w:b w:val="1"/>
                <w:bCs w:val="1"/>
                <w:i w:val="1"/>
                <w:iCs w:val="1"/>
                <w:color w:val="auto"/>
              </w:rPr>
              <w:t>Natural Gas Processing Facilities</w:t>
            </w:r>
          </w:p>
        </w:tc>
        <w:tc>
          <w:tcPr>
            <w:tcW w:w="250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NGL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Inlet</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Production</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Capacity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Capacity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Ownership</w:t>
            </w:r>
          </w:p>
        </w:tc>
        <w:tc>
          <w:tcPr>
            <w:tcW w:w="2500" w:type="dxa"/>
            <w:vAlign w:val="bottom"/>
          </w:tcPr>
          <w:p>
            <w:pPr>
              <w:spacing w:after="0"/>
              <w:rPr>
                <w:sz w:val="23"/>
                <w:szCs w:val="23"/>
                <w:color w:val="auto"/>
              </w:rPr>
            </w:pPr>
          </w:p>
        </w:tc>
      </w:tr>
      <w:tr>
        <w:trPr>
          <w:trHeight w:val="27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Location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(Bcf/d)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(Mbbls/d)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9"/>
              </w:rPr>
              <w:t>Supply Basins</w:t>
            </w:r>
          </w:p>
        </w:tc>
      </w:tr>
      <w:tr>
        <w:trPr>
          <w:trHeight w:val="108"/>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2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tcBorders>
              <w:top w:val="single" w:sz="8" w:color="auto"/>
            </w:tcBorders>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w:t>
            </w:r>
          </w:p>
        </w:tc>
        <w:tc>
          <w:tcPr>
            <w:tcW w:w="2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620" w:type="dxa"/>
            <w:vAlign w:val="bottom"/>
          </w:tcPr>
          <w:p>
            <w:pPr>
              <w:ind w:left="180"/>
              <w:spacing w:after="0"/>
              <w:rPr>
                <w:sz w:val="20"/>
                <w:szCs w:val="20"/>
                <w:color w:val="auto"/>
              </w:rPr>
            </w:pPr>
            <w:r>
              <w:rPr>
                <w:rFonts w:ascii="Arial" w:cs="Arial" w:eastAsia="Arial" w:hAnsi="Arial"/>
                <w:sz w:val="16"/>
                <w:szCs w:val="16"/>
                <w:color w:val="auto"/>
              </w:rPr>
              <w:t>Markham</w:t>
            </w:r>
          </w:p>
        </w:tc>
        <w:tc>
          <w:tcPr>
            <w:tcW w:w="27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Markham, TX</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Mobile Bay</w:t>
            </w:r>
          </w:p>
        </w:tc>
        <w:tc>
          <w:tcPr>
            <w:tcW w:w="2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Coden, 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Eastern Gulf of Mexico</w:t>
            </w:r>
          </w:p>
        </w:tc>
      </w:tr>
      <w:tr>
        <w:trPr>
          <w:trHeight w:val="237"/>
        </w:trPr>
        <w:tc>
          <w:tcPr>
            <w:tcW w:w="2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Non-consolidated: (1)</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Discovery</w:t>
            </w:r>
          </w:p>
        </w:tc>
        <w:tc>
          <w:tcPr>
            <w:tcW w:w="2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Larose, LA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Western Gulf of Mexico</w:t>
            </w:r>
          </w:p>
        </w:tc>
      </w:tr>
      <w:tr>
        <w:trPr>
          <w:trHeight w:val="150"/>
        </w:trPr>
        <w:tc>
          <w:tcPr>
            <w:tcW w:w="20" w:type="dxa"/>
            <w:vAlign w:val="bottom"/>
          </w:tcPr>
          <w:p>
            <w:pPr>
              <w:spacing w:after="0"/>
              <w:rPr>
                <w:sz w:val="13"/>
                <w:szCs w:val="13"/>
                <w:color w:val="auto"/>
              </w:rPr>
            </w:pPr>
          </w:p>
        </w:tc>
        <w:tc>
          <w:tcPr>
            <w:tcW w:w="2620" w:type="dxa"/>
            <w:vAlign w:val="bottom"/>
          </w:tcPr>
          <w:p>
            <w:pPr>
              <w:spacing w:after="0"/>
              <w:rPr>
                <w:sz w:val="20"/>
                <w:szCs w:val="20"/>
                <w:color w:val="auto"/>
              </w:rPr>
            </w:pPr>
            <w:r>
              <w:rPr>
                <w:rFonts w:ascii="Arial" w:cs="Arial" w:eastAsia="Arial" w:hAnsi="Arial"/>
                <w:sz w:val="13"/>
                <w:szCs w:val="13"/>
                <w:color w:val="auto"/>
              </w:rPr>
              <w:t>_____________</w:t>
            </w: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r>
    </w:tbl>
    <w:p>
      <w:pPr>
        <w:ind w:left="5660" w:right="4600" w:hanging="5652"/>
        <w:spacing w:after="0" w:line="819" w:lineRule="auto"/>
        <w:tabs>
          <w:tab w:leader="none" w:pos="323"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100 percent of the statistics associated with operated equity-method investments. 9</w:t>
      </w:r>
    </w:p>
    <w:p>
      <w:pPr>
        <w:sectPr>
          <w:pgSz w:w="11900" w:h="16838" w:orient="portrait"/>
          <w:cols w:equalWidth="0" w:num="1">
            <w:col w:w="11420"/>
          </w:cols>
          <w:pgMar w:left="240" w:top="71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Crude Oil Transportation and Production Handling Assets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our natural gas assets, we own and operate four deepwater crude oil pipelines and own production platforms serving the deepwater in the Gulf of Mexico. Our offshore floating production platforms provide centralized services to deepwater producers such as compression, separation, production handling, water removal, and pipeline landings.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significant crude oil transportation pipelines and production handling platforms of this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ind w:left="300"/>
              <w:spacing w:after="0"/>
              <w:rPr>
                <w:sz w:val="20"/>
                <w:szCs w:val="20"/>
                <w:color w:val="auto"/>
              </w:rPr>
            </w:pPr>
            <w:r>
              <w:rPr>
                <w:rFonts w:ascii="Arial" w:cs="Arial" w:eastAsia="Arial" w:hAnsi="Arial"/>
                <w:sz w:val="16"/>
                <w:szCs w:val="16"/>
                <w:b w:val="1"/>
                <w:bCs w:val="1"/>
                <w:i w:val="1"/>
                <w:iCs w:val="1"/>
                <w:color w:val="auto"/>
              </w:rPr>
              <w:t>Crude Oil Pipelines</w:t>
            </w:r>
          </w:p>
        </w:tc>
        <w:tc>
          <w:tcPr>
            <w:tcW w:w="2600" w:type="dxa"/>
            <w:vAlign w:val="bottom"/>
          </w:tcPr>
          <w:p>
            <w:pPr>
              <w:spacing w:after="0"/>
              <w:rPr>
                <w:sz w:val="17"/>
                <w:szCs w:val="17"/>
                <w:color w:val="auto"/>
              </w:rPr>
            </w:pPr>
          </w:p>
        </w:tc>
      </w:tr>
      <w:tr>
        <w:trPr>
          <w:trHeight w:val="33"/>
        </w:trPr>
        <w:tc>
          <w:tcPr>
            <w:tcW w:w="44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387"/>
        </w:trPr>
        <w:tc>
          <w:tcPr>
            <w:tcW w:w="448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Pipeline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18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Ownership</w:t>
            </w:r>
          </w:p>
        </w:tc>
        <w:tc>
          <w:tcPr>
            <w:tcW w:w="2600" w:type="dxa"/>
            <w:vAlign w:val="bottom"/>
          </w:tcPr>
          <w:p>
            <w:pPr>
              <w:spacing w:after="0"/>
              <w:rPr>
                <w:sz w:val="24"/>
                <w:szCs w:val="24"/>
                <w:color w:val="auto"/>
              </w:rPr>
            </w:pPr>
          </w:p>
        </w:tc>
      </w:tr>
      <w:tr>
        <w:trPr>
          <w:trHeight w:val="276"/>
        </w:trPr>
        <w:tc>
          <w:tcPr>
            <w:tcW w:w="448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Miles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(Mbbls/d)</w:t>
            </w:r>
          </w:p>
        </w:tc>
        <w:tc>
          <w:tcPr>
            <w:tcW w:w="18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4"/>
              </w:rPr>
              <w:t>Interest</w:t>
            </w:r>
          </w:p>
        </w:tc>
        <w:tc>
          <w:tcPr>
            <w:tcW w:w="2600" w:type="dxa"/>
            <w:vAlign w:val="bottom"/>
          </w:tcPr>
          <w:p>
            <w:pPr>
              <w:jc w:val="center"/>
              <w:ind w:right="501"/>
              <w:spacing w:after="0"/>
              <w:rPr>
                <w:sz w:val="20"/>
                <w:szCs w:val="20"/>
                <w:color w:val="auto"/>
              </w:rPr>
            </w:pPr>
            <w:r>
              <w:rPr>
                <w:rFonts w:ascii="Arial" w:cs="Arial" w:eastAsia="Arial" w:hAnsi="Arial"/>
                <w:sz w:val="14"/>
                <w:szCs w:val="14"/>
                <w:b w:val="1"/>
                <w:bCs w:val="1"/>
                <w:color w:val="auto"/>
                <w:w w:val="89"/>
              </w:rPr>
              <w:t>Supply Basins</w:t>
            </w:r>
          </w:p>
        </w:tc>
      </w:tr>
      <w:tr>
        <w:trPr>
          <w:trHeight w:val="108"/>
        </w:trPr>
        <w:tc>
          <w:tcPr>
            <w:tcW w:w="448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600" w:type="dxa"/>
            <w:vAlign w:val="bottom"/>
            <w:tcBorders>
              <w:top w:val="single" w:sz="8" w:color="auto"/>
            </w:tcBorders>
          </w:tcPr>
          <w:p>
            <w:pPr>
              <w:spacing w:after="0"/>
              <w:rPr>
                <w:sz w:val="9"/>
                <w:szCs w:val="9"/>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37"/>
        </w:trPr>
        <w:tc>
          <w:tcPr>
            <w:tcW w:w="4480" w:type="dxa"/>
            <w:vAlign w:val="bottom"/>
          </w:tcPr>
          <w:p>
            <w:pPr>
              <w:ind w:left="120"/>
              <w:spacing w:after="0"/>
              <w:rPr>
                <w:sz w:val="20"/>
                <w:szCs w:val="20"/>
                <w:color w:val="auto"/>
              </w:rPr>
            </w:pPr>
            <w:r>
              <w:rPr>
                <w:rFonts w:ascii="Arial" w:cs="Arial" w:eastAsia="Arial" w:hAnsi="Arial"/>
                <w:sz w:val="16"/>
                <w:szCs w:val="16"/>
                <w:color w:val="auto"/>
              </w:rPr>
              <w:t>Mountaineer, including Blind Faith and Gulfstar extensions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155</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Pr>
          <w:p>
            <w:pPr>
              <w:jc w:val="center"/>
              <w:ind w:right="501"/>
              <w:spacing w:after="0"/>
              <w:rPr>
                <w:sz w:val="20"/>
                <w:szCs w:val="20"/>
                <w:color w:val="auto"/>
              </w:rPr>
            </w:pPr>
            <w:r>
              <w:rPr>
                <w:rFonts w:ascii="Arial" w:cs="Arial" w:eastAsia="Arial" w:hAnsi="Arial"/>
                <w:sz w:val="16"/>
                <w:szCs w:val="16"/>
                <w:color w:val="auto"/>
                <w:w w:val="95"/>
              </w:rPr>
              <w:t>Eastern Gulf of Mexico</w:t>
            </w:r>
          </w:p>
        </w:tc>
      </w:tr>
      <w:tr>
        <w:trPr>
          <w:trHeight w:val="33"/>
        </w:trPr>
        <w:tc>
          <w:tcPr>
            <w:tcW w:w="4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BANJO</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center"/>
              <w:ind w:right="501"/>
              <w:spacing w:after="0"/>
              <w:rPr>
                <w:sz w:val="20"/>
                <w:szCs w:val="20"/>
                <w:color w:val="auto"/>
              </w:rPr>
            </w:pPr>
            <w:r>
              <w:rPr>
                <w:rFonts w:ascii="Arial" w:cs="Arial" w:eastAsia="Arial" w:hAnsi="Arial"/>
                <w:sz w:val="16"/>
                <w:szCs w:val="16"/>
                <w:color w:val="auto"/>
                <w:w w:val="94"/>
              </w:rPr>
              <w:t>Western Gulf of Mexico</w:t>
            </w:r>
          </w:p>
        </w:tc>
      </w:tr>
      <w:tr>
        <w:trPr>
          <w:trHeight w:val="237"/>
        </w:trPr>
        <w:tc>
          <w:tcPr>
            <w:tcW w:w="4480" w:type="dxa"/>
            <w:vAlign w:val="bottom"/>
          </w:tcPr>
          <w:p>
            <w:pPr>
              <w:ind w:left="120"/>
              <w:spacing w:after="0"/>
              <w:rPr>
                <w:sz w:val="20"/>
                <w:szCs w:val="20"/>
                <w:color w:val="auto"/>
              </w:rPr>
            </w:pPr>
            <w:r>
              <w:rPr>
                <w:rFonts w:ascii="Arial" w:cs="Arial" w:eastAsia="Arial" w:hAnsi="Arial"/>
                <w:sz w:val="16"/>
                <w:szCs w:val="16"/>
                <w:color w:val="auto"/>
              </w:rPr>
              <w:t>Alpine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96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85</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Pr>
          <w:p>
            <w:pPr>
              <w:jc w:val="center"/>
              <w:ind w:right="501"/>
              <w:spacing w:after="0"/>
              <w:rPr>
                <w:sz w:val="20"/>
                <w:szCs w:val="20"/>
                <w:color w:val="auto"/>
              </w:rPr>
            </w:pPr>
            <w:r>
              <w:rPr>
                <w:rFonts w:ascii="Arial" w:cs="Arial" w:eastAsia="Arial" w:hAnsi="Arial"/>
                <w:sz w:val="16"/>
                <w:szCs w:val="16"/>
                <w:color w:val="auto"/>
                <w:w w:val="94"/>
              </w:rPr>
              <w:t>Western Gulf of Mexico</w:t>
            </w:r>
          </w:p>
        </w:tc>
      </w:tr>
      <w:tr>
        <w:trPr>
          <w:trHeight w:val="33"/>
        </w:trPr>
        <w:tc>
          <w:tcPr>
            <w:tcW w:w="4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37"/>
        </w:trPr>
        <w:tc>
          <w:tcPr>
            <w:tcW w:w="4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Perdido Norte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0" w:type="dxa"/>
            <w:vAlign w:val="bottom"/>
            <w:shd w:val="clear" w:color="auto" w:fill="CCEEFF"/>
          </w:tcPr>
          <w:p>
            <w:pPr>
              <w:jc w:val="center"/>
              <w:ind w:right="501"/>
              <w:spacing w:after="0"/>
              <w:rPr>
                <w:sz w:val="20"/>
                <w:szCs w:val="20"/>
                <w:color w:val="auto"/>
              </w:rPr>
            </w:pPr>
            <w:r>
              <w:rPr>
                <w:rFonts w:ascii="Arial" w:cs="Arial" w:eastAsia="Arial" w:hAnsi="Arial"/>
                <w:sz w:val="16"/>
                <w:szCs w:val="16"/>
                <w:color w:val="auto"/>
                <w:w w:val="94"/>
              </w:rPr>
              <w:t>Western Gulf of Mexico</w:t>
            </w:r>
          </w:p>
        </w:tc>
      </w:tr>
      <w:tr>
        <w:trPr>
          <w:trHeight w:val="33"/>
        </w:trPr>
        <w:tc>
          <w:tcPr>
            <w:tcW w:w="4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gridSpan w:val="5"/>
          </w:tcPr>
          <w:p>
            <w:pPr>
              <w:ind w:left="60"/>
              <w:spacing w:after="0"/>
              <w:rPr>
                <w:sz w:val="20"/>
                <w:szCs w:val="20"/>
                <w:color w:val="auto"/>
              </w:rPr>
            </w:pPr>
            <w:r>
              <w:rPr>
                <w:rFonts w:ascii="Arial" w:cs="Arial" w:eastAsia="Arial" w:hAnsi="Arial"/>
                <w:sz w:val="16"/>
                <w:szCs w:val="16"/>
                <w:b w:val="1"/>
                <w:bCs w:val="1"/>
                <w:i w:val="1"/>
                <w:iCs w:val="1"/>
                <w:color w:val="auto"/>
                <w:w w:val="90"/>
              </w:rPr>
              <w:t>Production Handling Platforms</w:t>
            </w:r>
          </w:p>
        </w:tc>
        <w:tc>
          <w:tcPr>
            <w:tcW w:w="2360" w:type="dxa"/>
            <w:vAlign w:val="bottom"/>
          </w:tcPr>
          <w:p>
            <w:pPr>
              <w:spacing w:after="0"/>
              <w:rPr>
                <w:sz w:val="17"/>
                <w:szCs w:val="17"/>
                <w:color w:val="auto"/>
              </w:rPr>
            </w:pPr>
          </w:p>
        </w:tc>
      </w:tr>
      <w:tr>
        <w:trPr>
          <w:trHeight w:val="33"/>
        </w:trPr>
        <w:tc>
          <w:tcPr>
            <w:tcW w:w="45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360"/>
        </w:trPr>
        <w:tc>
          <w:tcPr>
            <w:tcW w:w="4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left="84"/>
              <w:spacing w:after="0"/>
              <w:rPr>
                <w:sz w:val="20"/>
                <w:szCs w:val="20"/>
                <w:color w:val="auto"/>
              </w:rPr>
            </w:pPr>
            <w:r>
              <w:rPr>
                <w:rFonts w:ascii="Arial" w:cs="Arial" w:eastAsia="Arial" w:hAnsi="Arial"/>
                <w:sz w:val="14"/>
                <w:szCs w:val="14"/>
                <w:b w:val="1"/>
                <w:bCs w:val="1"/>
                <w:color w:val="auto"/>
              </w:rPr>
              <w:t>Crude/NGL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70"/>
        </w:trPr>
        <w:tc>
          <w:tcPr>
            <w:tcW w:w="4500" w:type="dxa"/>
            <w:vAlign w:val="bottom"/>
          </w:tcPr>
          <w:p>
            <w:pPr>
              <w:spacing w:after="0"/>
              <w:rPr>
                <w:sz w:val="23"/>
                <w:szCs w:val="23"/>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Gas Inlet</w:t>
            </w:r>
          </w:p>
        </w:tc>
        <w:tc>
          <w:tcPr>
            <w:tcW w:w="980" w:type="dxa"/>
            <w:vAlign w:val="bottom"/>
          </w:tcPr>
          <w:p>
            <w:pPr>
              <w:jc w:val="center"/>
              <w:ind w:left="84"/>
              <w:spacing w:after="0"/>
              <w:rPr>
                <w:sz w:val="20"/>
                <w:szCs w:val="20"/>
                <w:color w:val="auto"/>
              </w:rPr>
            </w:pPr>
            <w:r>
              <w:rPr>
                <w:rFonts w:ascii="Arial" w:cs="Arial" w:eastAsia="Arial" w:hAnsi="Arial"/>
                <w:sz w:val="14"/>
                <w:szCs w:val="14"/>
                <w:b w:val="1"/>
                <w:bCs w:val="1"/>
                <w:color w:val="auto"/>
                <w:w w:val="96"/>
              </w:rPr>
              <w:t>Handling</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360" w:type="dxa"/>
            <w:vAlign w:val="bottom"/>
          </w:tcPr>
          <w:p>
            <w:pPr>
              <w:spacing w:after="0"/>
              <w:rPr>
                <w:sz w:val="23"/>
                <w:szCs w:val="23"/>
                <w:color w:val="auto"/>
              </w:rPr>
            </w:pPr>
          </w:p>
        </w:tc>
      </w:tr>
      <w:tr>
        <w:trPr>
          <w:trHeight w:val="270"/>
        </w:trPr>
        <w:tc>
          <w:tcPr>
            <w:tcW w:w="4500" w:type="dxa"/>
            <w:vAlign w:val="bottom"/>
          </w:tcPr>
          <w:p>
            <w:pPr>
              <w:spacing w:after="0"/>
              <w:rPr>
                <w:sz w:val="23"/>
                <w:szCs w:val="23"/>
                <w:color w:val="auto"/>
              </w:rPr>
            </w:pPr>
          </w:p>
        </w:tc>
        <w:tc>
          <w:tcPr>
            <w:tcW w:w="1360" w:type="dxa"/>
            <w:vAlign w:val="bottom"/>
            <w:gridSpan w:val="2"/>
          </w:tcPr>
          <w:p>
            <w:pPr>
              <w:ind w:left="400"/>
              <w:spacing w:after="0"/>
              <w:rPr>
                <w:sz w:val="20"/>
                <w:szCs w:val="20"/>
                <w:color w:val="auto"/>
              </w:rPr>
            </w:pPr>
            <w:r>
              <w:rPr>
                <w:rFonts w:ascii="Arial" w:cs="Arial" w:eastAsia="Arial" w:hAnsi="Arial"/>
                <w:sz w:val="14"/>
                <w:szCs w:val="14"/>
                <w:b w:val="1"/>
                <w:bCs w:val="1"/>
                <w:color w:val="auto"/>
              </w:rPr>
              <w:t>Capacity</w:t>
            </w:r>
          </w:p>
        </w:tc>
        <w:tc>
          <w:tcPr>
            <w:tcW w:w="980" w:type="dxa"/>
            <w:vAlign w:val="bottom"/>
          </w:tcPr>
          <w:p>
            <w:pPr>
              <w:jc w:val="center"/>
              <w:ind w:left="64"/>
              <w:spacing w:after="0"/>
              <w:rPr>
                <w:sz w:val="20"/>
                <w:szCs w:val="20"/>
                <w:color w:val="auto"/>
              </w:rPr>
            </w:pPr>
            <w:r>
              <w:rPr>
                <w:rFonts w:ascii="Arial" w:cs="Arial" w:eastAsia="Arial" w:hAnsi="Arial"/>
                <w:sz w:val="14"/>
                <w:szCs w:val="14"/>
                <w:b w:val="1"/>
                <w:bCs w:val="1"/>
                <w:color w:val="auto"/>
                <w:w w:val="95"/>
              </w:rPr>
              <w:t>Capacity</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3"/>
              </w:rPr>
              <w:t>Ownership</w:t>
            </w:r>
          </w:p>
        </w:tc>
        <w:tc>
          <w:tcPr>
            <w:tcW w:w="2360" w:type="dxa"/>
            <w:vAlign w:val="bottom"/>
          </w:tcPr>
          <w:p>
            <w:pPr>
              <w:spacing w:after="0"/>
              <w:rPr>
                <w:sz w:val="23"/>
                <w:szCs w:val="23"/>
                <w:color w:val="auto"/>
              </w:rPr>
            </w:pPr>
          </w:p>
        </w:tc>
      </w:tr>
      <w:tr>
        <w:trPr>
          <w:trHeight w:val="276"/>
        </w:trPr>
        <w:tc>
          <w:tcPr>
            <w:tcW w:w="450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Arial" w:cs="Arial" w:eastAsia="Arial" w:hAnsi="Arial"/>
                <w:sz w:val="14"/>
                <w:szCs w:val="14"/>
                <w:b w:val="1"/>
                <w:bCs w:val="1"/>
                <w:color w:val="auto"/>
              </w:rPr>
              <w:t>(MMcf/d)</w:t>
            </w:r>
          </w:p>
        </w:tc>
        <w:tc>
          <w:tcPr>
            <w:tcW w:w="980" w:type="dxa"/>
            <w:vAlign w:val="bottom"/>
          </w:tcPr>
          <w:p>
            <w:pPr>
              <w:jc w:val="center"/>
              <w:ind w:left="64"/>
              <w:spacing w:after="0"/>
              <w:rPr>
                <w:sz w:val="20"/>
                <w:szCs w:val="20"/>
                <w:color w:val="auto"/>
              </w:rPr>
            </w:pPr>
            <w:r>
              <w:rPr>
                <w:rFonts w:ascii="Arial" w:cs="Arial" w:eastAsia="Arial" w:hAnsi="Arial"/>
                <w:sz w:val="14"/>
                <w:szCs w:val="14"/>
                <w:b w:val="1"/>
                <w:bCs w:val="1"/>
                <w:color w:val="auto"/>
                <w:w w:val="96"/>
              </w:rPr>
              <w:t>(Mbbls/d)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4"/>
              </w:rPr>
              <w:t>Interest</w:t>
            </w:r>
          </w:p>
        </w:tc>
        <w:tc>
          <w:tcPr>
            <w:tcW w:w="2360" w:type="dxa"/>
            <w:vAlign w:val="bottom"/>
          </w:tcPr>
          <w:p>
            <w:pPr>
              <w:jc w:val="center"/>
              <w:ind w:right="641"/>
              <w:spacing w:after="0"/>
              <w:rPr>
                <w:sz w:val="20"/>
                <w:szCs w:val="20"/>
                <w:color w:val="auto"/>
              </w:rPr>
            </w:pPr>
            <w:r>
              <w:rPr>
                <w:rFonts w:ascii="Arial" w:cs="Arial" w:eastAsia="Arial" w:hAnsi="Arial"/>
                <w:sz w:val="14"/>
                <w:szCs w:val="14"/>
                <w:b w:val="1"/>
                <w:bCs w:val="1"/>
                <w:color w:val="auto"/>
                <w:w w:val="91"/>
              </w:rPr>
              <w:t>Supply Basins</w:t>
            </w:r>
          </w:p>
        </w:tc>
      </w:tr>
      <w:tr>
        <w:trPr>
          <w:trHeight w:val="108"/>
        </w:trPr>
        <w:tc>
          <w:tcPr>
            <w:tcW w:w="45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360" w:type="dxa"/>
            <w:vAlign w:val="bottom"/>
            <w:tcBorders>
              <w:top w:val="single" w:sz="8" w:color="auto"/>
            </w:tcBorders>
          </w:tcPr>
          <w:p>
            <w:pPr>
              <w:spacing w:after="0"/>
              <w:rPr>
                <w:sz w:val="9"/>
                <w:szCs w:val="9"/>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4500" w:type="dxa"/>
            <w:vAlign w:val="bottom"/>
          </w:tcPr>
          <w:p>
            <w:pPr>
              <w:ind w:left="120"/>
              <w:spacing w:after="0"/>
              <w:rPr>
                <w:sz w:val="20"/>
                <w:szCs w:val="20"/>
                <w:color w:val="auto"/>
              </w:rPr>
            </w:pPr>
            <w:r>
              <w:rPr>
                <w:rFonts w:ascii="Arial" w:cs="Arial" w:eastAsia="Arial" w:hAnsi="Arial"/>
                <w:sz w:val="16"/>
                <w:szCs w:val="16"/>
                <w:color w:val="auto"/>
              </w:rPr>
              <w:t>Devils Tower</w:t>
            </w:r>
          </w:p>
        </w:tc>
        <w:tc>
          <w:tcPr>
            <w:tcW w:w="1240" w:type="dxa"/>
            <w:vAlign w:val="bottom"/>
          </w:tcPr>
          <w:p>
            <w:pPr>
              <w:jc w:val="center"/>
              <w:ind w:left="43"/>
              <w:spacing w:after="0"/>
              <w:rPr>
                <w:sz w:val="20"/>
                <w:szCs w:val="20"/>
                <w:color w:val="auto"/>
              </w:rPr>
            </w:pPr>
            <w:r>
              <w:rPr>
                <w:rFonts w:ascii="Arial" w:cs="Arial" w:eastAsia="Arial" w:hAnsi="Arial"/>
                <w:sz w:val="16"/>
                <w:szCs w:val="16"/>
                <w:color w:val="auto"/>
                <w:w w:val="89"/>
              </w:rPr>
              <w:t>110</w:t>
            </w:r>
          </w:p>
        </w:tc>
        <w:tc>
          <w:tcPr>
            <w:tcW w:w="120" w:type="dxa"/>
            <w:vAlign w:val="bottom"/>
          </w:tcPr>
          <w:p>
            <w:pPr>
              <w:spacing w:after="0"/>
              <w:rPr>
                <w:sz w:val="20"/>
                <w:szCs w:val="20"/>
                <w:color w:val="auto"/>
              </w:rPr>
            </w:pPr>
          </w:p>
        </w:tc>
        <w:tc>
          <w:tcPr>
            <w:tcW w:w="980" w:type="dxa"/>
            <w:vAlign w:val="bottom"/>
          </w:tcPr>
          <w:p>
            <w:pPr>
              <w:jc w:val="center"/>
              <w:ind w:left="64"/>
              <w:spacing w:after="0"/>
              <w:rPr>
                <w:sz w:val="20"/>
                <w:szCs w:val="20"/>
                <w:color w:val="auto"/>
              </w:rPr>
            </w:pPr>
            <w:r>
              <w:rPr>
                <w:rFonts w:ascii="Arial" w:cs="Arial" w:eastAsia="Arial" w:hAnsi="Arial"/>
                <w:sz w:val="16"/>
                <w:szCs w:val="16"/>
                <w:color w:val="auto"/>
                <w:w w:val="89"/>
              </w:rPr>
              <w:t>60</w:t>
            </w:r>
          </w:p>
        </w:tc>
        <w:tc>
          <w:tcPr>
            <w:tcW w:w="1400" w:type="dxa"/>
            <w:vAlign w:val="bottom"/>
            <w:gridSpan w:val="3"/>
          </w:tcPr>
          <w:p>
            <w:pPr>
              <w:jc w:val="center"/>
              <w:ind w:left="179"/>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center"/>
              <w:ind w:right="641"/>
              <w:spacing w:after="0"/>
              <w:rPr>
                <w:sz w:val="20"/>
                <w:szCs w:val="20"/>
                <w:color w:val="auto"/>
              </w:rPr>
            </w:pPr>
            <w:r>
              <w:rPr>
                <w:rFonts w:ascii="Arial" w:cs="Arial" w:eastAsia="Arial" w:hAnsi="Arial"/>
                <w:sz w:val="16"/>
                <w:szCs w:val="16"/>
                <w:color w:val="auto"/>
                <w:w w:val="93"/>
              </w:rPr>
              <w:t>Eastern Gulf of Mexico</w:t>
            </w:r>
          </w:p>
        </w:tc>
      </w:tr>
      <w:tr>
        <w:trPr>
          <w:trHeight w:val="33"/>
        </w:trPr>
        <w:tc>
          <w:tcPr>
            <w:tcW w:w="4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Gulfstar I FPS (1)</w:t>
            </w:r>
          </w:p>
        </w:tc>
        <w:tc>
          <w:tcPr>
            <w:tcW w:w="1240" w:type="dxa"/>
            <w:vAlign w:val="bottom"/>
            <w:tcBorders>
              <w:bottom w:val="single" w:sz="8" w:color="CCEEFF"/>
            </w:tcBorders>
            <w:shd w:val="clear" w:color="auto" w:fill="CCEEFF"/>
          </w:tcPr>
          <w:p>
            <w:pPr>
              <w:jc w:val="center"/>
              <w:ind w:left="43"/>
              <w:spacing w:after="0"/>
              <w:rPr>
                <w:sz w:val="20"/>
                <w:szCs w:val="20"/>
                <w:color w:val="auto"/>
              </w:rPr>
            </w:pPr>
            <w:r>
              <w:rPr>
                <w:rFonts w:ascii="Arial" w:cs="Arial" w:eastAsia="Arial" w:hAnsi="Arial"/>
                <w:sz w:val="16"/>
                <w:szCs w:val="16"/>
                <w:color w:val="auto"/>
                <w:w w:val="89"/>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64"/>
              <w:spacing w:after="0"/>
              <w:rPr>
                <w:sz w:val="20"/>
                <w:szCs w:val="20"/>
                <w:color w:val="auto"/>
              </w:rPr>
            </w:pPr>
            <w:r>
              <w:rPr>
                <w:rFonts w:ascii="Arial" w:cs="Arial" w:eastAsia="Arial" w:hAnsi="Arial"/>
                <w:sz w:val="16"/>
                <w:szCs w:val="16"/>
                <w:color w:val="auto"/>
                <w:w w:val="89"/>
              </w:rPr>
              <w:t>80</w:t>
            </w:r>
          </w:p>
        </w:tc>
        <w:tc>
          <w:tcPr>
            <w:tcW w:w="1400" w:type="dxa"/>
            <w:vAlign w:val="bottom"/>
            <w:tcBorders>
              <w:bottom w:val="single" w:sz="8" w:color="CCEEFF"/>
            </w:tcBorders>
            <w:gridSpan w:val="3"/>
            <w:shd w:val="clear" w:color="auto" w:fill="CCEEFF"/>
          </w:tcPr>
          <w:p>
            <w:pPr>
              <w:jc w:val="center"/>
              <w:ind w:left="179"/>
              <w:spacing w:after="0"/>
              <w:rPr>
                <w:sz w:val="20"/>
                <w:szCs w:val="20"/>
                <w:color w:val="auto"/>
              </w:rPr>
            </w:pPr>
            <w:r>
              <w:rPr>
                <w:rFonts w:ascii="Arial" w:cs="Arial" w:eastAsia="Arial" w:hAnsi="Arial"/>
                <w:sz w:val="16"/>
                <w:szCs w:val="16"/>
                <w:color w:val="auto"/>
                <w:w w:val="93"/>
              </w:rPr>
              <w:t>51%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center"/>
              <w:ind w:right="641"/>
              <w:spacing w:after="0"/>
              <w:rPr>
                <w:sz w:val="20"/>
                <w:szCs w:val="20"/>
                <w:color w:val="auto"/>
              </w:rPr>
            </w:pPr>
            <w:r>
              <w:rPr>
                <w:rFonts w:ascii="Arial" w:cs="Arial" w:eastAsia="Arial" w:hAnsi="Arial"/>
                <w:sz w:val="16"/>
                <w:szCs w:val="16"/>
                <w:color w:val="auto"/>
                <w:w w:val="93"/>
              </w:rPr>
              <w:t>Eastern Gulf of Mexico</w:t>
            </w:r>
          </w:p>
        </w:tc>
      </w:tr>
      <w:tr>
        <w:trPr>
          <w:trHeight w:val="189"/>
        </w:trPr>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Non-consolidated: (2)</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37"/>
        </w:trPr>
        <w:tc>
          <w:tcPr>
            <w:tcW w:w="4500" w:type="dxa"/>
            <w:vAlign w:val="bottom"/>
          </w:tcPr>
          <w:p>
            <w:pPr>
              <w:ind w:left="120"/>
              <w:spacing w:after="0"/>
              <w:rPr>
                <w:sz w:val="20"/>
                <w:szCs w:val="20"/>
                <w:color w:val="auto"/>
              </w:rPr>
            </w:pPr>
            <w:r>
              <w:rPr>
                <w:rFonts w:ascii="Arial" w:cs="Arial" w:eastAsia="Arial" w:hAnsi="Arial"/>
                <w:sz w:val="16"/>
                <w:szCs w:val="16"/>
                <w:color w:val="auto"/>
              </w:rPr>
              <w:t>Discovery</w:t>
            </w:r>
          </w:p>
        </w:tc>
        <w:tc>
          <w:tcPr>
            <w:tcW w:w="1240" w:type="dxa"/>
            <w:vAlign w:val="bottom"/>
          </w:tcPr>
          <w:p>
            <w:pPr>
              <w:jc w:val="center"/>
              <w:ind w:left="43"/>
              <w:spacing w:after="0"/>
              <w:rPr>
                <w:sz w:val="20"/>
                <w:szCs w:val="20"/>
                <w:color w:val="auto"/>
              </w:rPr>
            </w:pPr>
            <w:r>
              <w:rPr>
                <w:rFonts w:ascii="Arial" w:cs="Arial" w:eastAsia="Arial" w:hAnsi="Arial"/>
                <w:sz w:val="16"/>
                <w:szCs w:val="16"/>
                <w:color w:val="auto"/>
                <w:w w:val="89"/>
              </w:rPr>
              <w:t>75</w:t>
            </w:r>
          </w:p>
        </w:tc>
        <w:tc>
          <w:tcPr>
            <w:tcW w:w="120" w:type="dxa"/>
            <w:vAlign w:val="bottom"/>
          </w:tcPr>
          <w:p>
            <w:pPr>
              <w:spacing w:after="0"/>
              <w:rPr>
                <w:sz w:val="20"/>
                <w:szCs w:val="20"/>
                <w:color w:val="auto"/>
              </w:rPr>
            </w:pPr>
          </w:p>
        </w:tc>
        <w:tc>
          <w:tcPr>
            <w:tcW w:w="980" w:type="dxa"/>
            <w:vAlign w:val="bottom"/>
          </w:tcPr>
          <w:p>
            <w:pPr>
              <w:jc w:val="center"/>
              <w:ind w:left="64"/>
              <w:spacing w:after="0"/>
              <w:rPr>
                <w:sz w:val="20"/>
                <w:szCs w:val="20"/>
                <w:color w:val="auto"/>
              </w:rPr>
            </w:pPr>
            <w:r>
              <w:rPr>
                <w:rFonts w:ascii="Arial" w:cs="Arial" w:eastAsia="Arial" w:hAnsi="Arial"/>
                <w:sz w:val="16"/>
                <w:szCs w:val="16"/>
                <w:color w:val="auto"/>
                <w:w w:val="89"/>
              </w:rPr>
              <w:t>10</w:t>
            </w:r>
          </w:p>
        </w:tc>
        <w:tc>
          <w:tcPr>
            <w:tcW w:w="1400" w:type="dxa"/>
            <w:vAlign w:val="bottom"/>
            <w:gridSpan w:val="3"/>
          </w:tcPr>
          <w:p>
            <w:pPr>
              <w:jc w:val="center"/>
              <w:ind w:left="179"/>
              <w:spacing w:after="0"/>
              <w:rPr>
                <w:sz w:val="20"/>
                <w:szCs w:val="20"/>
                <w:color w:val="auto"/>
              </w:rPr>
            </w:pPr>
            <w:r>
              <w:rPr>
                <w:rFonts w:ascii="Arial" w:cs="Arial" w:eastAsia="Arial" w:hAnsi="Arial"/>
                <w:sz w:val="16"/>
                <w:szCs w:val="16"/>
                <w:color w:val="auto"/>
                <w:w w:val="93"/>
              </w:rPr>
              <w:t>60%</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jc w:val="center"/>
              <w:ind w:right="641"/>
              <w:spacing w:after="0"/>
              <w:rPr>
                <w:sz w:val="20"/>
                <w:szCs w:val="20"/>
                <w:color w:val="auto"/>
              </w:rPr>
            </w:pPr>
            <w:r>
              <w:rPr>
                <w:rFonts w:ascii="Arial" w:cs="Arial" w:eastAsia="Arial" w:hAnsi="Arial"/>
                <w:sz w:val="16"/>
                <w:szCs w:val="16"/>
                <w:color w:val="auto"/>
                <w:w w:val="93"/>
              </w:rPr>
              <w:t>Western Gulf of Mexico</w:t>
            </w:r>
          </w:p>
        </w:tc>
      </w:tr>
      <w:tr>
        <w:trPr>
          <w:trHeight w:val="249"/>
        </w:trPr>
        <w:tc>
          <w:tcPr>
            <w:tcW w:w="4500" w:type="dxa"/>
            <w:vAlign w:val="bottom"/>
          </w:tcPr>
          <w:p>
            <w:pPr>
              <w:spacing w:after="0"/>
              <w:rPr>
                <w:sz w:val="20"/>
                <w:szCs w:val="20"/>
                <w:color w:val="auto"/>
              </w:rPr>
            </w:pPr>
            <w:r>
              <w:rPr>
                <w:rFonts w:ascii="Arial" w:cs="Arial" w:eastAsia="Arial" w:hAnsi="Arial"/>
                <w:sz w:val="18"/>
                <w:szCs w:val="18"/>
                <w:color w:val="auto"/>
              </w:rPr>
              <w:t>__________</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360" w:type="dxa"/>
            <w:vAlign w:val="bottom"/>
          </w:tcPr>
          <w:p>
            <w:pPr>
              <w:spacing w:after="0"/>
              <w:rPr>
                <w:sz w:val="21"/>
                <w:szCs w:val="21"/>
                <w:color w:val="auto"/>
              </w:rPr>
            </w:pPr>
          </w:p>
        </w:tc>
      </w:tr>
    </w:tbl>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Statistics reflect 100 percent of the assets from our 51 percent interest in Gulfstar One.</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100 percent of the statistics associated with operated equity-method investments.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Transmission &amp; Gulf of Mexico Operating Statistics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15"/>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Interstate natural gas pipeline throughput (Tbtu)</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5,129</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4,533</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Gathering volumes (Bcf/d) - Consolidated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Gathering volumes (Bcf/d) - Non-consolidated (1)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0.44</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Plant inlet natural gas volumes (Bcf/d) - Consolidated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Plant inlet natural gas volumes (Bcf/d) - Non-consolidated (1)</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production (Mbbls/d) - Consolidated (2)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NGL production (Mbbls/d) - Non-consolidated (1) (2)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equity sales (Mbbls/d) - Consolidated (2)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43"/>
        </w:trPr>
        <w:tc>
          <w:tcPr>
            <w:tcW w:w="20" w:type="dxa"/>
            <w:vAlign w:val="bottom"/>
          </w:tcPr>
          <w:p>
            <w:pPr>
              <w:spacing w:after="0"/>
              <w:rPr>
                <w:sz w:val="21"/>
                <w:szCs w:val="21"/>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NGL equity sales (Mbbls/d) - Non-consolidated (1) (2)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transportation (Mbbls/d) - Consolidated (2)</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r>
      <w:tr>
        <w:trPr>
          <w:trHeight w:val="191"/>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_____________</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 percent of the volumes associated with operated equity-method investments.</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average Mbbls/d.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Equity-Method Investments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Discovery</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own a 60 percent interest in and operate the facilities of Discovery. Discovery’s assets include a 600 MMcf/d cryogenic natural gas processing plant near Larose, Louisiana, a 32 Mbbls/d NGL fractionator plant near Paradis, Louisiana, and a 594-mile offshore natural gas gathering and transportation system in the Gulf of Mexico. Discovery’s mainline has a gathering inlet capacity of 600 MMcf/d, while the Keathley Canyon Connector, a deepwater lateral pipeline in the central deepwater Gulf of Mexico has a gathering inlet capacity of 400 MMcf/d. Discovery’s assets also include a crude oil production handling platform with capacity of 10 Mbbls/d and gas handling and separation capacity of 75 MMcf/d.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Gulfstream</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Gulfstream is a 745-mile interstate natural gas pipeline system extending from the Mobile Bay area in Alabama to markets in Florida, which has a capacity to transport 1.3 Bcf/d. We own, through a subsidiary, a 50 percent equity-method investment in Gulfstream. We share operating responsibilities for Gulfstream with the other 50 percent owner.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G&amp;P</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includes our natural gas gathering, compression, processing, and NGL fractionation businesses in the Marcellus and Utica Shale regions in Pennsylvania, West Virginia, New York, and Ohio.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UEOM and formation of Northeast JV</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2018, we owned a 62 percent interest in UEOM which we accounted for as an equity-method investment. On March 18, 2019, we signed and closed the acquisition of the remaining 38 percent interest in UEOM. Total consideration paid, including post-closing adjustments, was $741 million in cash funded through credit facility borrowings and cash on hand. As a result of acquiring this additional interest, we obtained control of and now consolidate UEOM. (See Note 3 – Acquisitions and Divestitures of Notes to Consolidated Financial Statements).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Concurrent with the UEOM acquisition, we executed an agreement whereby we contributed our consolidated interests in UEOM and our Ohio Valley midstream business to a newly formed partnership. In June 2019, our partner invested approximately $1.33 billion for a 35 percent ownership interest, and we retained 65 percent ownership of, as well as operate and consolidate, the Northeast JV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19"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following tables summarize the significant operated assets of this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ind w:left="180"/>
              <w:spacing w:after="0"/>
              <w:rPr>
                <w:sz w:val="20"/>
                <w:szCs w:val="20"/>
                <w:color w:val="auto"/>
              </w:rPr>
            </w:pPr>
            <w:r>
              <w:rPr>
                <w:rFonts w:ascii="Arial" w:cs="Arial" w:eastAsia="Arial" w:hAnsi="Arial"/>
                <w:sz w:val="16"/>
                <w:szCs w:val="16"/>
                <w:b w:val="1"/>
                <w:bCs w:val="1"/>
                <w:i w:val="1"/>
                <w:iCs w:val="1"/>
                <w:color w:val="auto"/>
                <w:w w:val="91"/>
              </w:rPr>
              <w:t>Natural Gas Gathering Assets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3"/>
        </w:trPr>
        <w:tc>
          <w:tcPr>
            <w:tcW w:w="310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33"/>
        </w:trPr>
        <w:tc>
          <w:tcPr>
            <w:tcW w:w="3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7"/>
              </w:rPr>
              <w:t>Inlet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310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Pipeline</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Capacity</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Ownership</w:t>
            </w:r>
          </w:p>
        </w:tc>
        <w:tc>
          <w:tcPr>
            <w:tcW w:w="1940" w:type="dxa"/>
            <w:vAlign w:val="bottom"/>
          </w:tcPr>
          <w:p>
            <w:pPr>
              <w:spacing w:after="0"/>
              <w:rPr>
                <w:sz w:val="23"/>
                <w:szCs w:val="23"/>
                <w:color w:val="auto"/>
              </w:rPr>
            </w:pPr>
          </w:p>
        </w:tc>
      </w:tr>
      <w:tr>
        <w:trPr>
          <w:trHeight w:val="276"/>
        </w:trPr>
        <w:tc>
          <w:tcPr>
            <w:tcW w:w="3100" w:type="dxa"/>
            <w:vAlign w:val="bottom"/>
          </w:tcPr>
          <w:p>
            <w:pPr>
              <w:spacing w:after="0"/>
              <w:rPr>
                <w:sz w:val="24"/>
                <w:szCs w:val="24"/>
                <w:color w:val="auto"/>
              </w:rPr>
            </w:pP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Miles</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(Bcf/d)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Supply Basins</w:t>
            </w:r>
          </w:p>
        </w:tc>
      </w:tr>
      <w:tr>
        <w:trPr>
          <w:trHeight w:val="108"/>
        </w:trPr>
        <w:tc>
          <w:tcPr>
            <w:tcW w:w="3100" w:type="dxa"/>
            <w:vAlign w:val="bottom"/>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Borders>
              <w:top w:val="single" w:sz="8" w:color="auto"/>
            </w:tcBorders>
          </w:tcPr>
          <w:p>
            <w:pPr>
              <w:spacing w:after="0"/>
              <w:rPr>
                <w:sz w:val="9"/>
                <w:szCs w:val="9"/>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Ohio Valley Midstream (1)</w:t>
            </w:r>
          </w:p>
        </w:tc>
        <w:tc>
          <w:tcPr>
            <w:tcW w:w="29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Ohio, West Virginia, &amp; Pennsylvania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216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Arial" w:cs="Arial" w:eastAsia="Arial" w:hAnsi="Arial"/>
                <w:sz w:val="16"/>
                <w:szCs w:val="16"/>
                <w:color w:val="auto"/>
                <w:w w:val="93"/>
              </w:rPr>
              <w:t>65%</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3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Utica East Ohio Midstream (1)</w:t>
            </w:r>
          </w:p>
        </w:tc>
        <w:tc>
          <w:tcPr>
            <w:tcW w:w="2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Ohio</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41"/>
              <w:spacing w:after="0"/>
              <w:rPr>
                <w:sz w:val="20"/>
                <w:szCs w:val="20"/>
                <w:color w:val="auto"/>
              </w:rPr>
            </w:pPr>
            <w:r>
              <w:rPr>
                <w:rFonts w:ascii="Arial" w:cs="Arial" w:eastAsia="Arial" w:hAnsi="Arial"/>
                <w:sz w:val="16"/>
                <w:szCs w:val="16"/>
                <w:color w:val="auto"/>
                <w:w w:val="93"/>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Susquehanna Supply Hub</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Pennsylvania &amp; New York</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451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3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Cardinal (1)</w:t>
            </w:r>
          </w:p>
        </w:tc>
        <w:tc>
          <w:tcPr>
            <w:tcW w:w="2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Ohio</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41"/>
              <w:spacing w:after="0"/>
              <w:rPr>
                <w:sz w:val="20"/>
                <w:szCs w:val="20"/>
                <w:color w:val="auto"/>
              </w:rPr>
            </w:pPr>
            <w:r>
              <w:rPr>
                <w:rFonts w:ascii="Arial" w:cs="Arial" w:eastAsia="Arial" w:hAnsi="Arial"/>
                <w:sz w:val="16"/>
                <w:szCs w:val="16"/>
                <w:color w:val="auto"/>
                <w:w w:val="93"/>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Flint</w:t>
            </w:r>
          </w:p>
        </w:tc>
        <w:tc>
          <w:tcPr>
            <w:tcW w:w="29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Ohio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95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3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Beaver Creek</w:t>
            </w:r>
          </w:p>
        </w:tc>
        <w:tc>
          <w:tcPr>
            <w:tcW w:w="29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41"/>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243"/>
        </w:trPr>
        <w:tc>
          <w:tcPr>
            <w:tcW w:w="31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Non-consolidated: (2)</w:t>
            </w:r>
          </w:p>
        </w:tc>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Bradford Supply Hub</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726</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Arial" w:cs="Arial" w:eastAsia="Arial" w:hAnsi="Arial"/>
                <w:sz w:val="16"/>
                <w:szCs w:val="16"/>
                <w:color w:val="auto"/>
                <w:w w:val="93"/>
              </w:rPr>
              <w:t>66%</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3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Marcellus South</w:t>
            </w:r>
          </w:p>
        </w:tc>
        <w:tc>
          <w:tcPr>
            <w:tcW w:w="2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Pennsylvania &amp; West Virginia</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41"/>
              <w:spacing w:after="0"/>
              <w:rPr>
                <w:sz w:val="20"/>
                <w:szCs w:val="20"/>
                <w:color w:val="auto"/>
              </w:rPr>
            </w:pPr>
            <w:r>
              <w:rPr>
                <w:rFonts w:ascii="Arial" w:cs="Arial" w:eastAsia="Arial" w:hAnsi="Arial"/>
                <w:sz w:val="16"/>
                <w:szCs w:val="16"/>
                <w:color w:val="auto"/>
                <w:w w:val="93"/>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Laurel Mountain</w:t>
            </w:r>
          </w:p>
        </w:tc>
        <w:tc>
          <w:tcPr>
            <w:tcW w:w="29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Pennsylvania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2,053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41"/>
              <w:spacing w:after="0"/>
              <w:rPr>
                <w:sz w:val="20"/>
                <w:szCs w:val="20"/>
                <w:color w:val="auto"/>
              </w:rPr>
            </w:pPr>
            <w:r>
              <w:rPr>
                <w:rFonts w:ascii="Arial" w:cs="Arial" w:eastAsia="Arial" w:hAnsi="Arial"/>
                <w:sz w:val="16"/>
                <w:szCs w:val="16"/>
                <w:color w:val="auto"/>
                <w:w w:val="93"/>
              </w:rPr>
              <w:t>69%</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bl>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460"/>
              <w:spacing w:after="0"/>
              <w:rPr>
                <w:sz w:val="20"/>
                <w:szCs w:val="20"/>
                <w:color w:val="auto"/>
              </w:rPr>
            </w:pPr>
            <w:r>
              <w:rPr>
                <w:rFonts w:ascii="Arial" w:cs="Arial" w:eastAsia="Arial" w:hAnsi="Arial"/>
                <w:sz w:val="16"/>
                <w:szCs w:val="16"/>
                <w:b w:val="1"/>
                <w:bCs w:val="1"/>
                <w:i w:val="1"/>
                <w:iCs w:val="1"/>
                <w:color w:val="auto"/>
                <w:w w:val="88"/>
              </w:rPr>
              <w:t>Natural Gas Processing Facilities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6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NGL</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Inlet</w:t>
            </w: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Production</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Capacity</w:t>
            </w: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Capacity</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Ownership</w:t>
            </w:r>
          </w:p>
        </w:tc>
        <w:tc>
          <w:tcPr>
            <w:tcW w:w="1940" w:type="dxa"/>
            <w:vAlign w:val="bottom"/>
          </w:tcPr>
          <w:p>
            <w:pPr>
              <w:spacing w:after="0"/>
              <w:rPr>
                <w:sz w:val="23"/>
                <w:szCs w:val="23"/>
                <w:color w:val="auto"/>
              </w:rPr>
            </w:pPr>
          </w:p>
        </w:tc>
      </w:tr>
      <w:tr>
        <w:trPr>
          <w:trHeight w:val="276"/>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(Bcf/d)</w:t>
            </w: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9"/>
              </w:rPr>
              <w:t>(Mbbls/d)</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Supply Basins</w:t>
            </w: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Borders>
              <w:top w:val="single" w:sz="8" w:color="auto"/>
            </w:tcBorders>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Fort Beeler</w:t>
            </w:r>
          </w:p>
        </w:tc>
        <w:tc>
          <w:tcPr>
            <w:tcW w:w="2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Marshall County, WV</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42"/>
              <w:spacing w:after="0"/>
              <w:rPr>
                <w:sz w:val="20"/>
                <w:szCs w:val="20"/>
                <w:color w:val="auto"/>
              </w:rPr>
            </w:pPr>
            <w:r>
              <w:rPr>
                <w:rFonts w:ascii="Arial" w:cs="Arial" w:eastAsia="Arial" w:hAnsi="Arial"/>
                <w:sz w:val="16"/>
                <w:szCs w:val="16"/>
                <w:color w:val="auto"/>
                <w:w w:val="93"/>
              </w:rPr>
              <w:t>65%</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Oak Grove</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Marshall County, WV</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6"/>
                <w:szCs w:val="16"/>
                <w:color w:val="auto"/>
                <w:w w:val="93"/>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237"/>
        </w:trPr>
        <w:tc>
          <w:tcPr>
            <w:tcW w:w="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Arial" w:cs="Arial" w:eastAsia="Arial" w:hAnsi="Arial"/>
                <w:sz w:val="16"/>
                <w:szCs w:val="16"/>
                <w:color w:val="auto"/>
              </w:rPr>
              <w:t>Kensington</w:t>
            </w:r>
          </w:p>
        </w:tc>
        <w:tc>
          <w:tcPr>
            <w:tcW w:w="25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Columbiana Co., OH</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0.6</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42"/>
              <w:spacing w:after="0"/>
              <w:rPr>
                <w:sz w:val="20"/>
                <w:szCs w:val="20"/>
                <w:color w:val="auto"/>
              </w:rPr>
            </w:pPr>
            <w:r>
              <w:rPr>
                <w:rFonts w:ascii="Arial" w:cs="Arial" w:eastAsia="Arial" w:hAnsi="Arial"/>
                <w:sz w:val="16"/>
                <w:szCs w:val="16"/>
                <w:color w:val="auto"/>
                <w:w w:val="93"/>
              </w:rPr>
              <w:t>65%</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Appalachian</w:t>
            </w:r>
          </w:p>
        </w:tc>
      </w:tr>
      <w:tr>
        <w:trPr>
          <w:trHeight w:val="33"/>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Leesville</w:t>
            </w:r>
          </w:p>
        </w:tc>
        <w:tc>
          <w:tcPr>
            <w:tcW w:w="2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Carroll Co., OH</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42"/>
              <w:spacing w:after="0"/>
              <w:rPr>
                <w:sz w:val="20"/>
                <w:szCs w:val="20"/>
                <w:color w:val="auto"/>
              </w:rPr>
            </w:pPr>
            <w:r>
              <w:rPr>
                <w:rFonts w:ascii="Arial" w:cs="Arial" w:eastAsia="Arial" w:hAnsi="Arial"/>
                <w:sz w:val="16"/>
                <w:szCs w:val="16"/>
                <w:color w:val="auto"/>
                <w:w w:val="93"/>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Appalachian</w:t>
            </w:r>
          </w:p>
        </w:tc>
      </w:tr>
      <w:tr>
        <w:trPr>
          <w:trHeight w:val="123"/>
        </w:trPr>
        <w:tc>
          <w:tcPr>
            <w:tcW w:w="20" w:type="dxa"/>
            <w:vAlign w:val="bottom"/>
          </w:tcPr>
          <w:p>
            <w:pPr>
              <w:spacing w:after="0"/>
              <w:rPr>
                <w:sz w:val="10"/>
                <w:szCs w:val="10"/>
                <w:color w:val="auto"/>
              </w:rPr>
            </w:pPr>
          </w:p>
        </w:tc>
        <w:tc>
          <w:tcPr>
            <w:tcW w:w="3200" w:type="dxa"/>
            <w:vAlign w:val="bottom"/>
          </w:tcPr>
          <w:p>
            <w:pPr>
              <w:spacing w:after="0" w:line="123" w:lineRule="exact"/>
              <w:rPr>
                <w:sz w:val="20"/>
                <w:szCs w:val="20"/>
                <w:color w:val="auto"/>
              </w:rPr>
            </w:pPr>
            <w:r>
              <w:rPr>
                <w:rFonts w:ascii="Arial" w:cs="Arial" w:eastAsia="Arial" w:hAnsi="Arial"/>
                <w:sz w:val="11"/>
                <w:szCs w:val="11"/>
                <w:color w:val="auto"/>
              </w:rPr>
              <w:t>_____________</w:t>
            </w: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Pr>
          <w:p>
            <w:pPr>
              <w:spacing w:after="0"/>
              <w:rPr>
                <w:sz w:val="10"/>
                <w:szCs w:val="10"/>
                <w:color w:val="auto"/>
              </w:rPr>
            </w:pPr>
          </w:p>
        </w:tc>
      </w:tr>
    </w:tbl>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Statistics reflect 100 percent of the assets from our 65 percent ownership in our Northeast JV and 66 percent ownership of Cardinal gathering system.</w:t>
      </w:r>
    </w:p>
    <w:p>
      <w:pPr>
        <w:spacing w:after="0" w:line="30"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100 percent of the statistics associated with operated equity-method investments.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NGL Operations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also own and operate fractionation facilities at Moundsville, West Virginia, de-ethanization and condensate facilities at our Oak Grove plant, a condensate stabilization facility near our Moundsville fractionator, and an ethane transportation pipeline. Our condensate stabilizers are capable of handling approximately 17 Mbbls/d of field condensate. NGLs are extracted from the natural gas stream in our Oak Grove and Fort Beeler cryogenic processing plants. Our Oak Grove de-ethanizer is capable of handling up to approximately 80 Mbbls/d of mixed NGLs to extract up to approximately 40 Mbbls/d of ethane. Ethane produced at our de-ethanizer is transported to markets via our 50-mile ethane pipeline from Oak Grove to Houston, Pennsylvania. The remaining mixed NGL stream from the de-ethanizer is then transported via pipeline and fractionated at our Moundsville fractionation facilities, which are capable of handling approximately 43 Mbbls/d of mixed NGLs. The resulting products are then transported on truck or rail. Ohio Valley Midstream provides residue natural gas take away options for our customers with interconnections to three interstate transmission pipelines. We also have an NGL pipeline that transports product from our Oak Grove plant to Harrison County, Ohio.</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own and operate 39 Mbbls/d of condensate stabilization capacity, a 135 Mbbls/d NGL fractionation facility, approximately 970,000 barrels of NGL storage capacity, and other ancillary assets, including loading and terminal facilities in Harrison County, Ohio.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Northeast G&amp;P Operating Statistics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r>
      <w:tr>
        <w:trPr>
          <w:trHeight w:val="33"/>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Volumes: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Gathering (Bcf/d) - Consolidated (1)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Gathering (Bcf/d) - Non-consolidated (2)</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43"/>
        </w:trPr>
        <w:tc>
          <w:tcPr>
            <w:tcW w:w="20" w:type="dxa"/>
            <w:vAlign w:val="bottom"/>
          </w:tcPr>
          <w:p>
            <w:pPr>
              <w:spacing w:after="0"/>
              <w:rPr>
                <w:sz w:val="21"/>
                <w:szCs w:val="21"/>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Plant inlet natural gas (Bcf/d) - Consolidated (1)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production (Mbbls/d) (3)</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ind w:left="340" w:hanging="31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volumes associated with Susquehanna Supply Hub, the Northeast JV, and Utica Supply Hub, all of which are consolidated.</w:t>
      </w:r>
    </w:p>
    <w:p>
      <w:pPr>
        <w:spacing w:after="0" w:line="7" w:lineRule="exact"/>
        <w:rPr>
          <w:rFonts w:ascii="Arial" w:cs="Arial" w:eastAsia="Arial" w:hAnsi="Arial"/>
          <w:sz w:val="18"/>
          <w:szCs w:val="18"/>
          <w:color w:val="auto"/>
        </w:rPr>
      </w:pPr>
    </w:p>
    <w:p>
      <w:pPr>
        <w:jc w:val="both"/>
        <w:ind w:left="340" w:right="20" w:hanging="318"/>
        <w:spacing w:after="0" w:line="250"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 percent of the volumes associated with operated equity-method investments, including the Laurel Mountain Midstream partnership; and the Bradford Supply Hub and a portion of the Marcellus South Supply Hub within Appalachia Midstream Investments. Volumes handled by Blue Racer Midstream, LLC (Blue Racer), (gathering and processing), which we do not operate, are not included.</w:t>
      </w:r>
    </w:p>
    <w:p>
      <w:pPr>
        <w:spacing w:after="0" w:line="1" w:lineRule="exact"/>
        <w:rPr>
          <w:rFonts w:ascii="Arial" w:cs="Arial" w:eastAsia="Arial" w:hAnsi="Arial"/>
          <w:sz w:val="18"/>
          <w:szCs w:val="18"/>
          <w:color w:val="auto"/>
        </w:rPr>
      </w:pPr>
    </w:p>
    <w:p>
      <w:pPr>
        <w:ind w:left="340" w:hanging="31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average Mbbls/d.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Equity-Method Investments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Laurel Mountain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operate and own a 69 percent interest in a joint venture, Laurel Mountain, that includes a 2,053-mile gathering system that we operate in western Pennsylvania with the capacity to gather 0.7 Bcf/d of natural gas. Laurel Mountain has a long-term, dedicated, volumetric-based fee agreement, with exposure to natural gas prices, to gather the anchor customer’s production in the western Pennsylvania area of the Marcellus Shale.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Caiman II</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own a 58 percent interest in third-party operated Caiman II, which owns a 50 percent interest in Blue Racer, a joint venture to own, operate, develop, and acquire midstream assets in the Utica Shale and certain adjacent areas in the Marcellus Shale. Blue Racer’s assets include 723 miles of gathering pipelines, and the Natrium complex in Marshall County, West Virginia, with a cryogenic processing capacity of 600 MMcf/d and fractionation capacity of approximately 134 Mbbls/d. Blue Racer also owns the Berne complex in Monroe County, Ohio, with a cryogenic processing capacity of 400 MMcf/d, and NGL and condensate pipelines connecting Natrium to Berne. Blue Racer provides gathering, processing, and marketing service primarily under percentage of liquids and fixed fee agreements.</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Appalachia Midstream Investments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our Appalachia Midstream Investments, we operate 100 percent of and own an approximate average 66 percent interest in the Bradford Supply Hub gathering system and own an approximate average 68 percent interest in the Marcellus South gathering system, together which consist of approximately 1,032 miles of gathering pipeline in the Marcellus Shale region with the capacity to gather 4,623 MMcf/d of natural gas. The majority of our volumes in the region are gathered from northern Pennsylvania, southwestern Pennsylvania, and the northwestern panhandle of West Virginia in core areas of the Marcellus Shale. We operate the assets under long-term, 100 percent fixed-fee gathering agreements that include significant acreage dedications and, in the Bradford Supply Hub, a cost of service mechanism.</w:t>
      </w:r>
    </w:p>
    <w:p>
      <w:pPr>
        <w:spacing w:after="0" w:line="139"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During the first quarter of 2017, we exchanged all of our 50 percent interest in the Delaware basin gas gathering system, previously reported within the West segment, for an increased interest in the Bradford Supply Hub natural gas gathering system that is part of the Appalachia Midstream Investments and $155 million in cash. Following this exchange, we have an approximate average 66 percent interest in the Appalachia Midstream Investments. We continue to account for this investment under the equity-method due to the significant participatory rights of our partners such that we do not exercise control. (See Note 6 – Investing Activities of Notes to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1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West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Gathering, Processing, and Treating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significant operated assets of this segment: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gridSpan w:val="6"/>
          </w:tcPr>
          <w:p>
            <w:pPr>
              <w:ind w:left="640"/>
              <w:spacing w:after="0"/>
              <w:rPr>
                <w:sz w:val="20"/>
                <w:szCs w:val="20"/>
                <w:color w:val="auto"/>
              </w:rPr>
            </w:pPr>
            <w:r>
              <w:rPr>
                <w:rFonts w:ascii="Arial" w:cs="Arial" w:eastAsia="Arial" w:hAnsi="Arial"/>
                <w:sz w:val="16"/>
                <w:szCs w:val="16"/>
                <w:b w:val="1"/>
                <w:bCs w:val="1"/>
                <w:i w:val="1"/>
                <w:iCs w:val="1"/>
                <w:color w:val="auto"/>
              </w:rPr>
              <w:t>Natural Gas Gathering Assets</w:t>
            </w:r>
          </w:p>
        </w:tc>
        <w:tc>
          <w:tcPr>
            <w:tcW w:w="2300" w:type="dxa"/>
            <w:vAlign w:val="bottom"/>
          </w:tcPr>
          <w:p>
            <w:pPr>
              <w:spacing w:after="0"/>
              <w:rPr>
                <w:sz w:val="17"/>
                <w:szCs w:val="17"/>
                <w:color w:val="auto"/>
              </w:rPr>
            </w:pPr>
          </w:p>
        </w:tc>
      </w:tr>
      <w:tr>
        <w:trPr>
          <w:trHeight w:val="33"/>
        </w:trPr>
        <w:tc>
          <w:tcPr>
            <w:tcW w:w="29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6"/>
        </w:trPr>
        <w:tc>
          <w:tcPr>
            <w:tcW w:w="29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0"/>
              </w:rPr>
              <w:t>Pipeline</w:t>
            </w:r>
          </w:p>
        </w:tc>
        <w:tc>
          <w:tcPr>
            <w:tcW w:w="11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Inlet Capacity</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02"/>
        </w:trPr>
        <w:tc>
          <w:tcPr>
            <w:tcW w:w="2960" w:type="dxa"/>
            <w:vAlign w:val="bottom"/>
          </w:tcPr>
          <w:p>
            <w:pPr>
              <w:spacing w:after="0"/>
              <w:rPr>
                <w:sz w:val="17"/>
                <w:szCs w:val="17"/>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Location</w:t>
            </w: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Miles</w:t>
            </w:r>
          </w:p>
        </w:tc>
        <w:tc>
          <w:tcPr>
            <w:tcW w:w="11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(Bcf/d)</w:t>
            </w: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Ownership Interest</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90"/>
              </w:rPr>
              <w:t>Supply Basins/Shale Formations</w:t>
            </w:r>
          </w:p>
        </w:tc>
      </w:tr>
      <w:tr>
        <w:trPr>
          <w:trHeight w:val="106"/>
        </w:trPr>
        <w:tc>
          <w:tcPr>
            <w:tcW w:w="2960" w:type="dxa"/>
            <w:vAlign w:val="bottom"/>
          </w:tcPr>
          <w:p>
            <w:pPr>
              <w:spacing w:after="0"/>
              <w:rPr>
                <w:sz w:val="9"/>
                <w:szCs w:val="9"/>
                <w:color w:val="auto"/>
              </w:rPr>
            </w:pPr>
          </w:p>
        </w:tc>
        <w:tc>
          <w:tcPr>
            <w:tcW w:w="2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tcBorders>
              <w:top w:val="single" w:sz="8" w:color="auto"/>
            </w:tcBorders>
          </w:tcPr>
          <w:p>
            <w:pPr>
              <w:spacing w:after="0"/>
              <w:rPr>
                <w:sz w:val="9"/>
                <w:szCs w:val="9"/>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w:t>
            </w: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Wamsutter</w:t>
            </w: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Wyoming</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2,265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0.7</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Wamsutter</w:t>
            </w:r>
          </w:p>
        </w:tc>
      </w:tr>
      <w:tr>
        <w:trPr>
          <w:trHeight w:val="33"/>
        </w:trPr>
        <w:tc>
          <w:tcPr>
            <w:tcW w:w="2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Southwest Wyoming</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Wyoming</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Southwest Wyoming</w:t>
            </w: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Piceance</w:t>
            </w: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Colorado</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352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(2)</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Piceance</w:t>
            </w:r>
          </w:p>
        </w:tc>
      </w:tr>
      <w:tr>
        <w:trPr>
          <w:trHeight w:val="33"/>
        </w:trPr>
        <w:tc>
          <w:tcPr>
            <w:tcW w:w="2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Barnett Shale</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Texas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Barnett Shale</w:t>
            </w: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Eagle Ford Shale</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Texas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1,275</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Eagle Ford Shale</w:t>
            </w:r>
          </w:p>
        </w:tc>
      </w:tr>
      <w:tr>
        <w:trPr>
          <w:trHeight w:val="33"/>
        </w:trPr>
        <w:tc>
          <w:tcPr>
            <w:tcW w:w="2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Haynesville Shale</w:t>
            </w:r>
          </w:p>
        </w:tc>
        <w:tc>
          <w:tcPr>
            <w:tcW w:w="2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Louisiana</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Haynesville Shale</w:t>
            </w: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Permian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Texas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0.1</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Permian</w:t>
            </w:r>
          </w:p>
        </w:tc>
      </w:tr>
      <w:tr>
        <w:trPr>
          <w:trHeight w:val="33"/>
        </w:trPr>
        <w:tc>
          <w:tcPr>
            <w:tcW w:w="29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20"/>
        </w:trPr>
        <w:tc>
          <w:tcPr>
            <w:tcW w:w="2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Miss-Lime, Granite Wash, Colony</w:t>
            </w:r>
          </w:p>
        </w:tc>
      </w:tr>
      <w:tr>
        <w:trPr>
          <w:trHeight w:val="219"/>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Mid-Continent</w:t>
            </w: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Oklahoma &amp; Texas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2,248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0.9</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Wash, Arkoma</w:t>
            </w:r>
          </w:p>
        </w:tc>
      </w:tr>
      <w:tr>
        <w:trPr>
          <w:trHeight w:val="297"/>
        </w:trPr>
        <w:tc>
          <w:tcPr>
            <w:tcW w:w="2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Non-consolidated: (1)</w:t>
            </w:r>
          </w:p>
        </w:tc>
        <w:tc>
          <w:tcPr>
            <w:tcW w:w="2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40"/>
              <w:spacing w:after="0"/>
              <w:rPr>
                <w:sz w:val="20"/>
                <w:szCs w:val="20"/>
                <w:color w:val="auto"/>
              </w:rPr>
            </w:pPr>
            <w:r>
              <w:rPr>
                <w:rFonts w:ascii="Arial" w:cs="Arial" w:eastAsia="Arial" w:hAnsi="Arial"/>
                <w:sz w:val="16"/>
                <w:szCs w:val="16"/>
                <w:color w:val="auto"/>
              </w:rPr>
              <w:t>Rocky Mountain Midstream</w:t>
            </w:r>
          </w:p>
        </w:tc>
        <w:tc>
          <w:tcPr>
            <w:tcW w:w="26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Colorado</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192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0.6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Denver-Julesburg</w:t>
            </w:r>
          </w:p>
        </w:tc>
      </w:tr>
      <w:tr>
        <w:trPr>
          <w:trHeight w:val="197"/>
        </w:trPr>
        <w:tc>
          <w:tcPr>
            <w:tcW w:w="2960" w:type="dxa"/>
            <w:vAlign w:val="bottom"/>
          </w:tcPr>
          <w:p>
            <w:pPr>
              <w:spacing w:after="0"/>
              <w:rPr>
                <w:sz w:val="20"/>
                <w:szCs w:val="20"/>
                <w:color w:val="auto"/>
              </w:rPr>
            </w:pPr>
            <w:r>
              <w:rPr>
                <w:rFonts w:ascii="Arial" w:cs="Arial" w:eastAsia="Arial" w:hAnsi="Arial"/>
                <w:sz w:val="14"/>
                <w:szCs w:val="14"/>
                <w:color w:val="auto"/>
              </w:rPr>
              <w:t>____________</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bl>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 percent of the statistics associated with an operated equity-method investment.</w:t>
      </w:r>
    </w:p>
    <w:p>
      <w:pPr>
        <w:spacing w:after="0" w:line="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our 60 percent ownership of a gathering system in the Ryan Gulch area with 140 miles of pipeline and 0.2 Bcf/d of inlet capacity, and our 67 percent ownership of a gathering system at Allen Point with 8 miles of pipeline and 0.1 Bcf/d of inlet capacity. We operate both systems. We own and operate 100 percent of the balance of the Piceance gathering assets.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6"/>
          </w:tcPr>
          <w:p>
            <w:pPr>
              <w:ind w:left="600"/>
              <w:spacing w:after="0"/>
              <w:rPr>
                <w:sz w:val="20"/>
                <w:szCs w:val="20"/>
                <w:color w:val="auto"/>
              </w:rPr>
            </w:pPr>
            <w:r>
              <w:rPr>
                <w:rFonts w:ascii="Arial" w:cs="Arial" w:eastAsia="Arial" w:hAnsi="Arial"/>
                <w:sz w:val="16"/>
                <w:szCs w:val="16"/>
                <w:b w:val="1"/>
                <w:bCs w:val="1"/>
                <w:i w:val="1"/>
                <w:iCs w:val="1"/>
                <w:color w:val="auto"/>
              </w:rPr>
              <w:t>Natural Gas Processing Facilities</w:t>
            </w:r>
          </w:p>
        </w:tc>
        <w:tc>
          <w:tcPr>
            <w:tcW w:w="2300" w:type="dxa"/>
            <w:vAlign w:val="bottom"/>
          </w:tcPr>
          <w:p>
            <w:pPr>
              <w:spacing w:after="0"/>
              <w:rPr>
                <w:sz w:val="17"/>
                <w:szCs w:val="17"/>
                <w:color w:val="auto"/>
              </w:rPr>
            </w:pPr>
          </w:p>
        </w:tc>
      </w:tr>
      <w:tr>
        <w:trPr>
          <w:trHeight w:val="3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36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NGL</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7"/>
              </w:rPr>
              <w:t>Inlet</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3"/>
              </w:rPr>
              <w:t>Production</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Capacity</w:t>
            </w:r>
          </w:p>
        </w:tc>
        <w:tc>
          <w:tcPr>
            <w:tcW w:w="12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Capacity</w:t>
            </w:r>
          </w:p>
        </w:tc>
        <w:tc>
          <w:tcPr>
            <w:tcW w:w="12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Ownership</w:t>
            </w:r>
          </w:p>
        </w:tc>
        <w:tc>
          <w:tcPr>
            <w:tcW w:w="2300" w:type="dxa"/>
            <w:vAlign w:val="bottom"/>
          </w:tcPr>
          <w:p>
            <w:pPr>
              <w:spacing w:after="0"/>
              <w:rPr>
                <w:sz w:val="23"/>
                <w:szCs w:val="23"/>
                <w:color w:val="auto"/>
              </w:rPr>
            </w:pPr>
          </w:p>
        </w:tc>
      </w:tr>
      <w:tr>
        <w:trPr>
          <w:trHeight w:val="274"/>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Location</w:t>
            </w: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(Bcf/d)</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5"/>
              </w:rPr>
              <w:t>(Mbbls/d)</w:t>
            </w:r>
          </w:p>
        </w:tc>
        <w:tc>
          <w:tcPr>
            <w:tcW w:w="12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Interest</w:t>
            </w:r>
          </w:p>
        </w:tc>
        <w:tc>
          <w:tcPr>
            <w:tcW w:w="2300" w:type="dxa"/>
            <w:vAlign w:val="bottom"/>
          </w:tcPr>
          <w:p>
            <w:pPr>
              <w:jc w:val="center"/>
              <w:spacing w:after="0"/>
              <w:rPr>
                <w:sz w:val="20"/>
                <w:szCs w:val="20"/>
                <w:color w:val="auto"/>
              </w:rPr>
            </w:pPr>
            <w:r>
              <w:rPr>
                <w:rFonts w:ascii="Arial" w:cs="Arial" w:eastAsia="Arial" w:hAnsi="Arial"/>
                <w:sz w:val="15"/>
                <w:szCs w:val="15"/>
                <w:b w:val="1"/>
                <w:bCs w:val="1"/>
                <w:color w:val="auto"/>
                <w:w w:val="88"/>
              </w:rPr>
              <w:t>Supply Basins</w:t>
            </w:r>
          </w:p>
        </w:tc>
      </w:tr>
      <w:tr>
        <w:trPr>
          <w:trHeight w:val="106"/>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tcBorders>
              <w:top w:val="single" w:sz="8" w:color="auto"/>
            </w:tcBorders>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Echo Springs</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Echo Springs, WY</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0.7</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Wamsutter</w:t>
            </w:r>
          </w:p>
        </w:tc>
      </w:tr>
      <w:tr>
        <w:trPr>
          <w:trHeight w:val="3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Opal</w:t>
            </w:r>
          </w:p>
        </w:tc>
        <w:tc>
          <w:tcPr>
            <w:tcW w:w="2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Opal, WY</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Southwest Wyoming</w:t>
            </w:r>
          </w:p>
        </w:tc>
      </w:tr>
      <w:tr>
        <w:trPr>
          <w:trHeight w:val="237"/>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Willow Creek</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Rio Blanco County, CO</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0.5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88"/>
              </w:rPr>
              <w:t>Piceance</w:t>
            </w:r>
          </w:p>
        </w:tc>
      </w:tr>
      <w:tr>
        <w:trPr>
          <w:trHeight w:val="3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Parachute</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Garfield County, CO</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Piceance</w:t>
            </w:r>
          </w:p>
        </w:tc>
      </w:tr>
      <w:tr>
        <w:trPr>
          <w:trHeight w:val="28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Non-consolidated: (1)</w:t>
            </w:r>
          </w:p>
        </w:tc>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6"/>
                <w:szCs w:val="16"/>
                <w:color w:val="auto"/>
              </w:rPr>
              <w:t>Fort Lupton</w:t>
            </w:r>
          </w:p>
        </w:tc>
        <w:tc>
          <w:tcPr>
            <w:tcW w:w="25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Colorado</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0.2</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6"/>
                <w:szCs w:val="16"/>
                <w:color w:val="auto"/>
                <w:w w:val="90"/>
              </w:rPr>
              <w:t>Denver-Julesburg</w:t>
            </w:r>
          </w:p>
        </w:tc>
      </w:tr>
      <w:tr>
        <w:trPr>
          <w:trHeight w:val="33"/>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Keenesburg I</w:t>
            </w:r>
          </w:p>
        </w:tc>
        <w:tc>
          <w:tcPr>
            <w:tcW w:w="2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Colorado</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Denver-Julesburg</w:t>
            </w:r>
          </w:p>
        </w:tc>
      </w:tr>
      <w:tr>
        <w:trPr>
          <w:trHeight w:val="164"/>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4"/>
                <w:szCs w:val="14"/>
                <w:color w:val="auto"/>
              </w:rPr>
              <w:t>____________</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 percent of the statistics associated with operated equity-method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420"/>
          </w:cols>
          <w:pgMar w:left="240" w:top="71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Marketing Services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market gas and NGL products to a wide range of users in the energy and petrochemical industries. The NGL marketing business transports and markets our equity NGLs from the production at our processing plants, and also markets NGLs on behalf of third-party NGL producers, including some of our fee-based processing customers, and the NGL volumes owned by Discovery and RMM. The NGL marketing business bears the risk of price changes in these NGL volumes while they are being transported to final sales delivery points. In order to meet sales contract obligations, we may purchase products in the spot market for resale.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NGL Operations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own interests in and/or operate NGL fractionation and storage assets in central Kansas near Conway. These assets include a 50 percent interest in an NGL fractionation facility with capacity of slightly more than 100 Mbbls/d and we own approximately 20 million barrels of NGL storage capacity.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 Operating Statistics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11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7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02"/>
        </w:trPr>
        <w:tc>
          <w:tcPr>
            <w:tcW w:w="7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Volumes: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Gathering (Bcf/d) - Consolidated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4.53</w:t>
            </w:r>
          </w:p>
        </w:tc>
      </w:tr>
      <w:tr>
        <w:trPr>
          <w:trHeight w:val="27"/>
        </w:trPr>
        <w:tc>
          <w:tcPr>
            <w:tcW w:w="7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(Bcf/d) - Non-consolidated (1)</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Plant inlet natural gas (Bcf/d) - Consolidated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2.07</w:t>
            </w:r>
          </w:p>
        </w:tc>
      </w:tr>
      <w:tr>
        <w:trPr>
          <w:trHeight w:val="27"/>
        </w:trPr>
        <w:tc>
          <w:tcPr>
            <w:tcW w:w="7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inlet natural gas (Bcf/d) - Non-consolidated (1)</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NGL production (Mbbls/d) - Consolidated (2)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
        </w:trPr>
        <w:tc>
          <w:tcPr>
            <w:tcW w:w="7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production (Mbbls/d) - Non-consolidated (1) (2)</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NGL equity sales (Mbbls/d) - Consolidated (2)</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7780" w:type="dxa"/>
            <w:vAlign w:val="bottom"/>
          </w:tcPr>
          <w:p>
            <w:pPr>
              <w:spacing w:after="0"/>
              <w:rPr>
                <w:sz w:val="20"/>
                <w:szCs w:val="20"/>
                <w:color w:val="auto"/>
              </w:rPr>
            </w:pPr>
            <w:r>
              <w:rPr>
                <w:rFonts w:ascii="Arial" w:cs="Arial" w:eastAsia="Arial" w:hAnsi="Arial"/>
                <w:sz w:val="18"/>
                <w:szCs w:val="18"/>
                <w:color w:val="auto"/>
              </w:rPr>
              <w:t>__________</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jc w:val="both"/>
        <w:ind w:left="340" w:hanging="318"/>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100 percent of the volumes associated with operated equity-method investments, including RMM and Jackalope. Jackalope was a consolidated entity in 2017 and first- and second-quarter 2018, an equity-method investment during third- and fourth-quarter 2018 as well as first-quarter 2019, and sold effective with second-quarter 2019.</w:t>
      </w:r>
    </w:p>
    <w:p>
      <w:pPr>
        <w:spacing w:after="0" w:line="1" w:lineRule="exact"/>
        <w:rPr>
          <w:rFonts w:ascii="Arial" w:cs="Arial" w:eastAsia="Arial" w:hAnsi="Arial"/>
          <w:sz w:val="18"/>
          <w:szCs w:val="18"/>
          <w:color w:val="auto"/>
        </w:rPr>
      </w:pPr>
    </w:p>
    <w:p>
      <w:pPr>
        <w:ind w:left="340" w:hanging="318"/>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average Mbbls/d.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Four Corners Assets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2018, we completed the sale of our natural gas gathering and processing assets in the Four Corners area of New Mexico and Colorado. The system was comprised of 3,742 miles of gathering pipeline with 1.8 Bcf/d of gas gathering inlet capacity and two processing facilities with a combined 0.7 Bcf/d of natural gas processing inlet capacity and 41 Mbbls/d of NGL production capacity.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Equity-Method Investments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Brazos Permian II</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acquired a non-operated 15 percent interest in Brazos Permian II in December 2018 by contributing cash and our existing Delaware basin assets. This partnership consists of 725 miles of gas gathering pipelines, 460 MMcf/d of natural gas processing inlet capacity, and 75 miles of crude oil gathering pipelines.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Rocky Mountain Midstream</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2018, our joint venture, RMM, purchased a natural gas and crude oil gathering and natural gas processing business in Colorado’s Denver-Julesburg basin. As of December 31, 2019, we operate and own 50 percent of RMM. RMM includes an approximate 80-mile crude oil gathering system.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7" w:right="239" w:bottom="1440" w:gutter="0" w:footer="0" w:header="0"/>
        </w:sectPr>
      </w:pPr>
    </w:p>
    <w:bookmarkStart w:id="16" w:name="page17"/>
    <w:bookmarkEnd w:id="16"/>
    <w:p>
      <w:pPr>
        <w:ind w:left="180"/>
        <w:spacing w:after="0"/>
        <w:rPr>
          <w:sz w:val="20"/>
          <w:szCs w:val="20"/>
          <w:color w:val="auto"/>
        </w:rPr>
      </w:pPr>
      <w:r>
        <w:rPr>
          <w:rFonts w:ascii="Arial" w:cs="Arial" w:eastAsia="Arial" w:hAnsi="Arial"/>
          <w:sz w:val="18"/>
          <w:szCs w:val="18"/>
          <w:i w:val="1"/>
          <w:iCs w:val="1"/>
          <w:color w:val="auto"/>
        </w:rPr>
        <w:t>Overland Pass Pipeline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also operate and own a 50 percent interest in OPPL. OPPL is capable of transporting 255 Mbbls/d of NGLs and includes approximately 1,035 miles of NGL pipeline extending from Opal, Wyoming, to the Mid-Continent NGL market center near Conway, Kansas, along with extensions into the Piceance and Denver-Julesberg basins in Colorado and the Bakken Shale in the Williston basin in North Dakota. Our equity NGL volumes from our Wyoming plants and our Willow Creek facility in Colorado are dedicated for transport on OPPL under a long-term transportation agreement. NGL volumes from our RMM equity-method investment are also transported on OPPL.</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Jackalope</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previously owned and operated a 50 percent interest in Jackalope which provides gas gathering and processing services for the Powder River basin. During the second quarter of 2018, we deconsolidated Jackalope (see Note 6 – Investing Activities of Notes to Consolidated Financial Statements). During the second quarter of 2019, we sold our interest in Jackalope. Jackalope, which included the Bucking Horse gas processing plant, consisted of a 257-mile natural gas pipeline, 0.2 Bcf/d of gas gathering inlet capacity, 0.1 Bcf/d of natural gas processing inlet capacity, and 12 Mbbls/d of NGL production capacity.</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Delaware basin gas gathering system</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previously owned a non-operated 50 percent interest in the Delaware basin gas gathering system in the Permian basin, which was sold in February 2017. The system was comprised of more than 450 miles of gathering pipeline, located in west Texas.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Other includes our previously owned operations, minor business activities that are not operating segments, as well as corporate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Geismar Interest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2017, we completed the sale of Williams Olefins, L.L.C, a wholly owned subsidiary which owned our 88.5 percent undivided interest in the Geismar, Louisiana, olefins plant (Geismar Interest). Upon closing the sale, we entered into a long-term supply and transportation agreement with the purchaser to provide feedstock to the plant via our Bayou Ethane pipeline 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Segment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by service that exceeded 10 percent of consolidated revenues are presented in Note 2 – Revenue Recognition of Notes to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perform certain management, legal, financial, tax, consultation, information technology, administrative, and other services for our subsidiaries.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principal sources of cash are from dividends and advances from our subsidiaries, investments, payments by subsidiaries for services rendered, and, if needed, external financings, and net proceeds from asset sales and sales of partial interests of our subsidiaries. The terms of our credit agreement, which also govern certain subsidiaries’ borrowing arrangements, may limit the transfer of funds to us under certain conditions.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we have adequate sources and availability of raw materials and commodities for existing and anticipated business needs. Our interstate pipeline systems are all regulated in various ways resulting in the financial return on the investments made in the systems being limited to standards permitted by the regulatory agencies. Each of the pipeline systems has ongoing capital requirements for efficiency and mandatory improvements, with expansion opportunities also necessitating periodic capital outlays.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FERC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gas pipeline interstate transmission and storage activities are subject to FERC regulation under the Natural Gas Act of 1938 (NGA) and under the Natural Gas Policy Act of 1978, and, as such, our rates and charges for the transportation of natural gas in interstate commerce, accounting, and the extension, enlargement, or abandonment of our jurisdictional facilities, among other things, are subject to regulation. Each of our gas pipeline companies holds certificates of public convenience and necessity issued by the FERC authorizing ownership and operation of all pipelines, facilities, and properties for which certificates are required under the NGA. FERC Standards of Conduct govern how our interstate pipelines communicate and do business with gas marketing employees. Among other things, the Standards of Conduct require that interstate gas pipelines not operate their systems to preferentially benefit gas marketing functions.</w:t>
      </w:r>
    </w:p>
    <w:p>
      <w:pPr>
        <w:spacing w:after="0" w:line="13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FERC regulation requires all terms and conditions of service, including the rates charged, to be filed with and approved by the FERC before any changes can go into effect. Our interstate gas pipeline companies establish rates through the FERC’s ratemaking process. In addition, our interstate gas pipelines may enter into negotiated rate agreements where cost-based recourse rates are made available. Key determinants in the FERC ratemaking process include:</w:t>
      </w:r>
    </w:p>
    <w:p>
      <w:pPr>
        <w:spacing w:after="0" w:line="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Costs of providing service, including depreciation expense;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Allowed rate of return, including the equity component of the capital structure and related income taxes;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Contract and volume throughput assumptions.</w:t>
      </w:r>
    </w:p>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allowed rate of return is determined in each rate case. Rate design and the allocation of costs between the reservation and commodity rates also impact profitability. As a result of these proceedings, certain revenues previously collected may be subject to refund.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own interests in and operate natural gas liquids pipelines that are regulated by various federal and state governmental agencies. Services provided on our interstate natural gas liquids pipelines are subject to regulation under the Interstate Commerce Act by the FERC, which has authority over the terms and conditions of service; rates, including depreciation and amortization policies; and initiation of service. Our intrastate natural gas liquids pipelines providing common carrier service are subject to regulation by various state regulatory agencies.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gas pipelines are subject to the Natural Gas Pipeline Safety Act of 1968, as amended, the Pipeline Safety Improvement Act of 2002, the Pipeline Safety, Regulatory Certainty, and Jobs Creation Act of 2011 (Pipeline Safety Act), and the Protecting Our Infrastructure of Pipelines and Enhancing Safety Act of 2016, which regulate safety requirements in the design, construction, operation, and maintenance of interstate natural gas transmission facilities. The United States Department of Transportation Pipeline and Hazardous Materials Safety Administration (PHMSA) administers federal pipeline safety laws.</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Federal pipeline safety laws authorize PHMSA to establish minimum safety standards for pipeline facilities and persons engaged in the transportation of gas or hazardous liquids by pipeline. These safety standards apply to the design, construction, testing, operation, and maintenance of gas and hazardous liquids pipeline facilities affecting interstate or foreign commerce. PHMSA has also established reporting requirements for operators of gas and hazardous liquid pipeline facilities, as well as provisions for establishing the qualification of pipeline personnel and requirements for managing the integrity of gas transmission and distribution lines and certain hazardous liquid pipelines. To ensure compliance with these provisions, PHMSA performs pipeline safety inspections and has the authority to initiate enforcement actions.</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Federal pipeline safety regulations contain an exemption that applies to gathering lines in certain rural locations. A substantial portion of our gathering lines qualify for that exemption and are currently not regulated under federal law.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15" w:right="239" w:bottom="1440" w:gutter="0" w:footer="0" w:header="0"/>
        </w:sectPr>
      </w:pPr>
    </w:p>
    <w:bookmarkStart w:id="18" w:name="page19"/>
    <w:bookmarkEnd w:id="18"/>
    <w:p>
      <w:pPr>
        <w:jc w:val="both"/>
        <w:ind w:firstLine="324"/>
        <w:spacing w:after="0" w:line="259" w:lineRule="auto"/>
        <w:rPr>
          <w:sz w:val="20"/>
          <w:szCs w:val="20"/>
          <w:color w:val="auto"/>
        </w:rPr>
      </w:pPr>
      <w:r>
        <w:rPr>
          <w:rFonts w:ascii="Arial" w:cs="Arial" w:eastAsia="Arial" w:hAnsi="Arial"/>
          <w:sz w:val="18"/>
          <w:szCs w:val="18"/>
          <w:color w:val="auto"/>
        </w:rPr>
        <w:t>States are largely preempted by federal law from regulating pipeline safety for interstate pipelines but most are certified by PHMSA to assume responsibility for enforcing intrastate pipeline safety regulations and inspecting intrastate pipelines. In practice, because states can adopt stricter standards for intrastate pipelines than those imposed by the federal government for interstate lines, they vary considerably in their authority and capacity to address pipeline safety.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Integrity Regulations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an enterprise-wide Gas Integrity Management Plan that we believe meets the PHMSA final rule that was issued pursuant to the requirements of the Pipeline Safety Improvement Act of 2002. The rule requires gas pipeline operators to develop an integrity management program for gas transmission pipelines that could affect high-consequence areas in the event of pipeline failure. The integrity management program includes a baseline assessment plan along with periodic reassessments to be completed within required time frames. In meeting the integrity regulations, we have identified high-consequence areas and developed baseline assessment plans. Ongoing periodic reassessments and initial assessments of any new high-consequence areas have been completed. We estimate that the cost to be incurred in 2020 associated with this program to be approximately $133 million. Management considers costs associated with compliance with the rule to be prudent costs incurred in the ordinary course of business and, therefore, recoverable through Northwest Pipeline’s and Transco’s rates.</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an enterprise-wide Liquid Integrity Management Plan that we believe meets the PHMSA final rule that was issued pursuant to the requirements of the Pipeline Safety Improvement Act of 2002. The rule requires liquid pipeline operators to develop an integrity management program for liquid transmission pipelines that could affect high-consequence areas in the event of pipeline failure. The integrity management program includes a baseline assessment plan along with periodic reassessments expected to be completed within required time frames. In meeting the integrity regulations, we utilized government defined high-consequence areas and developed baseline assessment plans. We completed assessments within the required time frames. We estimate that the cost to be incurred in 2020 associated with this program will be approximately $2 million. Ongoing periodic reassessments and initial assessments of any new high-consequence areas are expected to be completed within the time frames required by the rule. Management considers the costs associated with compliance with the rule to be prudent costs incurred in the ordinary course of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Gathering Regulations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onshore midstream gathering operations are subject to laws and regulations in the various states in which we operate. For example, the Texas Railroad Commission has the authority to regulate the terms of service for our intrastate natural gas gathering business in Texas. Although the applicable state regulations vary widely, they generally require that pipeline rates and practices be reasonable and nondiscriminatory, and may include provisions covering marketing, pricing, pollution, environment, and human health and safety. Some states, such as New York, have specific regulations pertaining to the design, construction, and operations of gathering lines within such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Liquids Pipelines in the Gulf Coast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intrastate liquids pipelines in the Gulf Coast are regulated by the Louisiana Public Service Commission, the Texas Railroad Commission, and various other state and federal agencies. These pipelines are also subject to the liquid pipeline safety and integrity regulations discussed above since both Louisiana and Texas have adopted the integrity management regulations defined in PHMSA.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OCSLA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offshore gas and liquids pipelines located on the outer continental shelf are subject to the Outer Continental Shelf Lands Act, which provides in part that outer continental shelf pipelines “must provide open and nondiscriminatory access to both owner and nonowner shippers.”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See Part II, Item 8. Financial Statements and Supplementary Data — Note 19 – Contingent Liabilities and Commitments of Notes to Consolidated Financial Statements for further details on our regulatory matters. For additional information regarding regulatory matters, please also refer to Part 1, Item 1A. “Risk Factors” — </w:t>
      </w:r>
      <w:r>
        <w:rPr>
          <w:rFonts w:ascii="Arial" w:cs="Arial" w:eastAsia="Arial" w:hAnsi="Arial"/>
          <w:sz w:val="16"/>
          <w:szCs w:val="16"/>
          <w:i w:val="1"/>
          <w:iCs w:val="1"/>
          <w:color w:val="auto"/>
        </w:rPr>
        <w:t>“The operation of our businesses might be adversely affected by regulatory proceedings, changes in government regulations or in their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19"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i w:val="1"/>
          <w:iCs w:val="1"/>
          <w:color w:val="auto"/>
        </w:rPr>
        <w:t>interpretation or implementation, or the introduction of new laws or regulations applicable to our businesses or our customers,” and “The natural gas sales, transportation, and storage operations of our gas pipelines are subject to regulation by the FERC, which could have an adverse impact on their ability to establish transportation and storage rates that would allow them to recover the full cost of operating their respective pipelines, including a reasonable rate of return.</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operations are subject to federal environmental laws and regulations as well as the state, local, and tribal laws and regulations adopted by the jurisdictions in which we operate. We could incur liability to governments or third parties for any unlawful discharge of pollutants into the air, soil, or water, as well as liability for cleanup costs. Materials could be released into the environment in several ways including, but not limited to:</w:t>
      </w:r>
    </w:p>
    <w:p>
      <w:pPr>
        <w:spacing w:after="0" w:line="139" w:lineRule="exact"/>
        <w:rPr>
          <w:sz w:val="20"/>
          <w:szCs w:val="20"/>
          <w:color w:val="auto"/>
        </w:rPr>
      </w:pPr>
    </w:p>
    <w:p>
      <w:pPr>
        <w:ind w:left="660" w:hanging="328"/>
        <w:spacing w:after="0" w:line="271"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Leakage from gathering systems, underground gas storage caverns, pipelines, processing or treating facilities, transportation facilities, and storage tanks;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Damage to facilities resulting from accidents during normal operations;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Damages to onshore and offshore equipment and facilities resulting from storm events or natural disasters;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Blowouts, cratering, and explosions.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may be liable for environmental damage caused by former owners or operators of our properties.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compliance with current environmental laws and regulations will not have a material adverse effect on our capital expenditures, earnings, or current competitive position. However, environmental laws and regulations could affect our business in various ways from time to time, including incurring capital and maintenance expenditures, fines and penalties, and creating the need to seek relief from the FERC for rate increases to recover the costs of certain capital expenditures and operation and maintenance expenses.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For additional information regarding the potential impact of federal, state, tribal, or local regulatory measures on our business and specific environmental issues, please refer to Part 1, Item 1A. “Risk Factors” — </w:t>
      </w:r>
      <w:r>
        <w:rPr>
          <w:rFonts w:ascii="Arial" w:cs="Arial" w:eastAsia="Arial" w:hAnsi="Arial"/>
          <w:sz w:val="18"/>
          <w:szCs w:val="18"/>
          <w:i w:val="1"/>
          <w:iCs w:val="1"/>
          <w:color w:val="auto"/>
        </w:rPr>
        <w:t>“Our operations are subject to environmental laws and regulations, including laws and regulations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relating to climate change and greenhouse gas emissions, which may expose us to significant costs, liabilities, and expenditures that could exceed our expectations,” </w:t>
      </w:r>
      <w:r>
        <w:rPr>
          <w:rFonts w:ascii="Arial" w:cs="Arial" w:eastAsia="Arial" w:hAnsi="Arial"/>
          <w:sz w:val="18"/>
          <w:szCs w:val="18"/>
          <w:color w:val="auto"/>
        </w:rPr>
        <w:t>and Part II, Item 7 “Management’s Discussion and Analysis of Financial Condition and Results of Operations — Environmental” and</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Matters” in Part II, Item 8. Financial Statements and Supplementary Data — Note 19 – Contingent Liabilities and Commitments of Notes to Consolidated Financial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Pipeline Business</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 for supplying natural gas is highly competitive and new pipelines, storage facilities, and other related services are expanding to service the growing demand for natural gas. Additionally, pipeline capacity in many growing natural gas supply basins is constrained causing competition to increase among pipeline companies as they strive to connect those basins to major natural gas demand centers.</w:t>
      </w:r>
    </w:p>
    <w:p>
      <w:pPr>
        <w:spacing w:after="0" w:line="10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our business, we predominately compete with major intrastate and interstate natural gas pipelines. In the last few years, local distribution companies have also started entering into the long-haul transportation business through joint venture pipelines. The principle elements of competition in the interstate natural gas pipeline business are based on rates, reliability, quality of customer service, diversity of supply, and proximity to customers and market hubs.</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entrance barriers to build new pipelines exist, including federal and growing state regulations and public opposition against new pipeline builds, and these factors will continue to impact potential competition for the foreseeable future. However, we believe our past success in working with regulators and the public, the position of our existing infrastructure, established strategic long-term contracts, and the fact that our pipelines have numerous receipt and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19" w:right="239" w:bottom="1440" w:gutter="0" w:footer="0" w:header="0"/>
        </w:sectPr>
      </w:pPr>
    </w:p>
    <w:bookmarkStart w:id="20" w:name="page21"/>
    <w:bookmarkEnd w:id="20"/>
    <w:p>
      <w:pPr>
        <w:ind w:right="1300"/>
        <w:spacing w:after="0" w:line="407" w:lineRule="auto"/>
        <w:rPr>
          <w:sz w:val="20"/>
          <w:szCs w:val="20"/>
          <w:color w:val="auto"/>
        </w:rPr>
      </w:pPr>
      <w:r>
        <w:rPr>
          <w:rFonts w:ascii="Arial" w:cs="Arial" w:eastAsia="Arial" w:hAnsi="Arial"/>
          <w:sz w:val="18"/>
          <w:szCs w:val="18"/>
          <w:color w:val="auto"/>
        </w:rPr>
        <w:t xml:space="preserve">delivery points along our systems provide us a competitive advantage, especially along the eastern seaboard and northwestern United States. </w:t>
      </w:r>
      <w:r>
        <w:rPr>
          <w:rFonts w:ascii="Arial" w:cs="Arial" w:eastAsia="Arial" w:hAnsi="Arial"/>
          <w:sz w:val="18"/>
          <w:szCs w:val="18"/>
          <w:b w:val="1"/>
          <w:bCs w:val="1"/>
          <w:color w:val="auto"/>
        </w:rPr>
        <w:t>Midstream Business</w:t>
      </w:r>
    </w:p>
    <w:p>
      <w:pPr>
        <w:jc w:val="both"/>
        <w:ind w:firstLine="324"/>
        <w:spacing w:after="0" w:line="308" w:lineRule="auto"/>
        <w:rPr>
          <w:sz w:val="20"/>
          <w:szCs w:val="20"/>
          <w:color w:val="auto"/>
        </w:rPr>
      </w:pPr>
      <w:r>
        <w:rPr>
          <w:rFonts w:ascii="Arial" w:cs="Arial" w:eastAsia="Arial" w:hAnsi="Arial"/>
          <w:sz w:val="17"/>
          <w:szCs w:val="17"/>
          <w:color w:val="auto"/>
        </w:rPr>
        <w:t>Competition for natural gas gathering, processing, treating, transporting, and storing natural gas continues to increase as production from shales and other resource areas continues to grow. Our midstream services compete with similar facilities that are in the same proximity as our assets.</w:t>
      </w:r>
    </w:p>
    <w:p>
      <w:pPr>
        <w:spacing w:after="0" w:line="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face competition from companies of varying size and financial capabilities, including major and independent natural gas midstream providers, private equity firms, and major integrated oil and natural gas companies that gather, transport, process, fractionate, store, and market natural gas and NGLs, as well as some larger exploration and production companies that are choosing to develop midstream services to handle their own natural gas.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gathering and processing agreements are generally long-term agreements that may include acreage dedication. Competition for natural gas volumes is primarily based on reputation, commercial terms (products retained or fees charged), array of services provided, efficiency and reliability of services, location of gathering facilities, available capacity, downstream interconnects, and latent capacity. We believe our significant presence in traditional prolific supply basins, our solid positions in growing shale plays, our expertise and reputation as a reliable operator, and our ability to offer integrated packages of services position us well against our competition.</w:t>
      </w:r>
    </w:p>
    <w:p>
      <w:pPr>
        <w:spacing w:after="0" w:line="26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additional information regarding competition for our services or otherwise affecting our business, please refer to Part 1, Item 1A. “Risk Factors” - “</w:t>
      </w:r>
      <w:r>
        <w:rPr>
          <w:rFonts w:ascii="Arial" w:cs="Arial" w:eastAsia="Arial" w:hAnsi="Arial"/>
          <w:sz w:val="16"/>
          <w:szCs w:val="16"/>
          <w:i w:val="1"/>
          <w:iCs w:val="1"/>
          <w:color w:val="auto"/>
        </w:rPr>
        <w:t>The financial condition of our natural gas transportation and midstream businesses is dependent on the continued availability of natural gas supplies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supply basins that we access and demand for those supplies in the markets we serve,” </w:t>
      </w:r>
      <w:r>
        <w:rPr>
          <w:rFonts w:ascii="Arial" w:cs="Arial" w:eastAsia="Arial" w:hAnsi="Arial"/>
          <w:sz w:val="16"/>
          <w:szCs w:val="16"/>
          <w:color w:val="auto"/>
        </w:rPr>
        <w:t>“</w:t>
      </w:r>
      <w:r>
        <w:rPr>
          <w:rFonts w:ascii="Arial" w:cs="Arial" w:eastAsia="Arial" w:hAnsi="Arial"/>
          <w:sz w:val="16"/>
          <w:szCs w:val="16"/>
          <w:i w:val="1"/>
          <w:iCs w:val="1"/>
          <w:color w:val="auto"/>
        </w:rPr>
        <w:t>Our industry is highly competitive and increased competitive pressure could adversely affect our business and operating results</w:t>
      </w:r>
      <w:r>
        <w:rPr>
          <w:rFonts w:ascii="Arial" w:cs="Arial" w:eastAsia="Arial" w:hAnsi="Arial"/>
          <w:sz w:val="16"/>
          <w:szCs w:val="16"/>
          <w:color w:val="auto"/>
        </w:rPr>
        <w:t>,” and “</w:t>
      </w:r>
      <w:r>
        <w:rPr>
          <w:rFonts w:ascii="Arial" w:cs="Arial" w:eastAsia="Arial" w:hAnsi="Arial"/>
          <w:sz w:val="16"/>
          <w:szCs w:val="16"/>
          <w:i w:val="1"/>
          <w:iCs w:val="1"/>
          <w:color w:val="auto"/>
        </w:rPr>
        <w:t>We may not be able to replace, extend, or add additional customer contracts or contracted volumes on favorable terms, or at all, which could affect our financial condition, the amount of cash available to pay dividends, and our ability to grow.</w:t>
      </w:r>
      <w:r>
        <w:rPr>
          <w:rFonts w:ascii="Arial" w:cs="Arial" w:eastAsia="Arial" w:hAnsi="Arial"/>
          <w:sz w:val="16"/>
          <w:szCs w:val="16"/>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February 1, 2020, we had 4,812 full-time employees.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ACCESS TO REPORTS AND OTHER INFORMATION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file our annual report on Form 10-K, quarterly reports on Form 10-Q, current reports on Form 8-K, proxy statements, and other documents electronically with the SEC under the Exchange Act.</w:t>
      </w:r>
    </w:p>
    <w:p>
      <w:pPr>
        <w:spacing w:after="0" w:line="11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Our Internet website is www.williams.com</w:t>
      </w:r>
      <w:r>
        <w:rPr>
          <w:rFonts w:ascii="Arial" w:cs="Arial" w:eastAsia="Arial" w:hAnsi="Arial"/>
          <w:sz w:val="17"/>
          <w:szCs w:val="17"/>
          <w:i w:val="1"/>
          <w:iCs w:val="1"/>
          <w:color w:val="auto"/>
        </w:rPr>
        <w:t>.</w:t>
      </w:r>
      <w:r>
        <w:rPr>
          <w:rFonts w:ascii="Arial" w:cs="Arial" w:eastAsia="Arial" w:hAnsi="Arial"/>
          <w:sz w:val="17"/>
          <w:szCs w:val="17"/>
          <w:color w:val="auto"/>
        </w:rPr>
        <w:t xml:space="preserve"> We make available, free of charge, through the Investors tab of our Internet website our annual report on Form 10-K, quarterly reports on Form 10-Q,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amendments to those reports filed or furnished pursuant to Section 13(a) or 15(d) of the Exchange Act as soon as reasonably practicable after we electronically file such material with, or furnish it to, the SEC. Our Corporate Governance Guidelines, Sustainability Report, Code of Ethics for Senior Officers, Board committee charters, and the Williams Code of Business Conduct are also available on our Internet website. We will also provide, free of charge, a copy of any of our corporate documents listed above upon written request to our Corporate Secretary, One Williams Center, Suite 4700, Tulsa, Oklahoma 74172.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6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FORWARD-LOOKING STATEMENTS AND CAUTIONARY STATEMENT FOR PURPOSES OF THE “SAFE HARBOR” PROVISIONS OF THE PRIVATE SECURITIES LITIGATION REFORM ACT OF 1995</w:t>
      </w:r>
    </w:p>
    <w:p>
      <w:pPr>
        <w:spacing w:after="0" w:line="27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The reports, filings, and other public announcements of Williams may contain or incorporate by reference statements that do not directly or exclusively relate to historical facts. Such statements are “forward-looking statements” within the meaning of Section 27A of the Securities Act of 1933, as amended (Securities Act) and Section 21E of the Securities Exchange Act of 1934, as amended. These forward-looking statements relate to anticipated financial performance, management’s plans and objectives for future operations, business prospects, outcome of regulatory proceedings, market conditions, and other matters as discussed below. We make these forward-looking statements in reliance on the safe harbor protections provided under the Private Securities Litigation Reform Act of 1995.</w:t>
      </w:r>
    </w:p>
    <w:p>
      <w:pPr>
        <w:spacing w:after="0" w:line="193"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All statements, other than statements of historical facts, included in this report that address activities, events, or developments that we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19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Levels of dividends to Williams stockholders;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Future credit ratings of Williams and its affiliates;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Amounts and nature of future capital expenditures;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Expansion and growth of our business and operations;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Expected in-service dates for capital projects;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Financial condition and liquidity;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Business strategy;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Cash flow from operations or results of operations;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Seasonality of certain business components;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Natural gas and natural gas liquids prices, supply, and demand;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Demand for our services.</w:t>
      </w:r>
    </w:p>
    <w:p>
      <w:pPr>
        <w:spacing w:after="0" w:line="21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Forward-looking statements are based on numerous assumptions, uncertainties, and risks that could cause future events or results to be materially different from those stated or implied in this report. Many of the factors that will determine these results are beyond our ability to control or predict. Specific factors that could cause actual results to differ from results contemplated by the forward-looking statements include, among others, the following:</w:t>
      </w:r>
    </w:p>
    <w:p>
      <w:pPr>
        <w:spacing w:after="0" w:line="9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Availability of supplies, market demand, and volatility of prices;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07" w:right="239" w:bottom="1440" w:gutter="0" w:footer="0" w:header="0"/>
        </w:sectPr>
      </w:pPr>
    </w:p>
    <w:bookmarkStart w:id="22" w:name="page23"/>
    <w:bookmarkEnd w:id="22"/>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Development and rate of adoption of alternative energy sources;</w:t>
      </w:r>
    </w:p>
    <w:p>
      <w:pPr>
        <w:spacing w:after="0" w:line="242" w:lineRule="exact"/>
        <w:rPr>
          <w:rFonts w:ascii="Arial" w:cs="Arial" w:eastAsia="Arial" w:hAnsi="Arial"/>
          <w:sz w:val="22"/>
          <w:szCs w:val="22"/>
          <w:color w:val="auto"/>
        </w:rPr>
      </w:pPr>
    </w:p>
    <w:p>
      <w:pPr>
        <w:ind w:left="328" w:hanging="328"/>
        <w:spacing w:after="0" w:line="27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 of existing and future laws and regulations, the regulatory environment, environmental liabilities, and litigation, as well as our ability to obtain necessary permits and approvals, and achieve favorable rate proceeding outcomes;</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exposure to the credit risk of our customers and counterparties;</w:t>
      </w:r>
    </w:p>
    <w:p>
      <w:pPr>
        <w:spacing w:after="0" w:line="242" w:lineRule="exact"/>
        <w:rPr>
          <w:rFonts w:ascii="Arial" w:cs="Arial" w:eastAsia="Arial" w:hAnsi="Arial"/>
          <w:sz w:val="22"/>
          <w:szCs w:val="22"/>
          <w:color w:val="auto"/>
        </w:rPr>
      </w:pPr>
    </w:p>
    <w:p>
      <w:pPr>
        <w:ind w:left="328" w:right="20" w:hanging="328"/>
        <w:spacing w:after="0" w:line="27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ability to acquire new businesses and assets and successfully integrate those operations and assets into existing businesses as well as successfully expand our facilities, and to consummate asset sales on acceptable terms;</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Whether we are able to successfully identify, evaluate, and timely execute our capital projects and investment opportunities;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strength and financial resources of our competitors and the effects of competition;</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amount of cash distributions from and capital requirements of our investments and joint ventures in which we participate;</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Whether we will be able to effectively execute our financing plan;</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Increasing scrutiny and changing expectations from stakeholders with respect to our environmental, social and governance practices;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physical and financial risks associated with climate change;</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 of operational and developmental hazards and unforeseen interruptions;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Risks associated with weather and natural phenomena, including climate conditions and physical damage to our facilities;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Acts of terrorism, cybersecurity incidents, and related disruptions;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costs and funding obligations for defined benefit pension plans and other postretirement benefit plans;</w:t>
      </w:r>
    </w:p>
    <w:p>
      <w:pPr>
        <w:spacing w:after="0" w:line="231"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1"/>
          <w:szCs w:val="21"/>
          <w:color w:val="auto"/>
        </w:rPr>
      </w:pPr>
      <w:r>
        <w:rPr>
          <w:rFonts w:ascii="Arial" w:cs="Arial" w:eastAsia="Arial" w:hAnsi="Arial"/>
          <w:sz w:val="17"/>
          <w:szCs w:val="17"/>
          <w:color w:val="auto"/>
        </w:rPr>
        <w:t>Changes in maintenance and construction costs, as well as our ability to obtain sufficient construction related inputs including skilled labor;</w:t>
      </w:r>
    </w:p>
    <w:p>
      <w:pPr>
        <w:spacing w:after="0" w:line="242" w:lineRule="exact"/>
        <w:rPr>
          <w:rFonts w:ascii="Arial" w:cs="Arial" w:eastAsia="Arial" w:hAnsi="Arial"/>
          <w:sz w:val="21"/>
          <w:szCs w:val="21"/>
          <w:color w:val="auto"/>
        </w:rPr>
      </w:pPr>
    </w:p>
    <w:p>
      <w:pPr>
        <w:ind w:left="328" w:hanging="328"/>
        <w:spacing w:after="0" w:line="27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Inflation, interest rates, and general economic conditions (including future disruptions and volatility in the global credit markets and the impact of these events on customers and suppliers);</w:t>
      </w:r>
    </w:p>
    <w:p>
      <w:pPr>
        <w:spacing w:after="0" w:line="209" w:lineRule="exact"/>
        <w:rPr>
          <w:rFonts w:ascii="Arial" w:cs="Arial" w:eastAsia="Arial" w:hAnsi="Arial"/>
          <w:sz w:val="22"/>
          <w:szCs w:val="22"/>
          <w:color w:val="auto"/>
        </w:rPr>
      </w:pPr>
    </w:p>
    <w:p>
      <w:pPr>
        <w:ind w:left="328" w:hanging="328"/>
        <w:spacing w:after="0" w:line="27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Risks related to financing, including restrictions stemming from debt agreements, future changes in credit ratings as determined by nationally recognized credit rating agencies, and the availability and cost of capital;</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Changes in the current geopolitical situation;</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Whether we are able to pay current and expected levels of dividends;</w:t>
      </w:r>
    </w:p>
    <w:p>
      <w:pPr>
        <w:spacing w:after="0" w:line="219" w:lineRule="exact"/>
        <w:rPr>
          <w:rFonts w:ascii="Arial" w:cs="Arial" w:eastAsia="Arial" w:hAnsi="Arial"/>
          <w:sz w:val="22"/>
          <w:szCs w:val="22"/>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18"/>
          <w:szCs w:val="18"/>
          <w:color w:val="auto"/>
        </w:rPr>
        <w:t>Additional risks described in our filings with the Securities and Exchange Commission.</w:t>
      </w:r>
    </w:p>
    <w:p>
      <w:pPr>
        <w:spacing w:after="0" w:line="200" w:lineRule="exact"/>
        <w:rPr>
          <w:sz w:val="20"/>
          <w:szCs w:val="20"/>
          <w:color w:val="auto"/>
        </w:rPr>
      </w:pPr>
    </w:p>
    <w:p>
      <w:pPr>
        <w:spacing w:after="0" w:line="23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8"/>
          </w:cols>
          <w:pgMar w:left="572" w:top="737" w:right="239" w:bottom="1440" w:gutter="0" w:footer="0" w:header="0"/>
        </w:sectPr>
      </w:pPr>
    </w:p>
    <w:bookmarkStart w:id="23" w:name="page24"/>
    <w:bookmarkEnd w:id="23"/>
    <w:p>
      <w:pPr>
        <w:jc w:val="both"/>
        <w:ind w:firstLine="324"/>
        <w:spacing w:after="0" w:line="286" w:lineRule="auto"/>
        <w:rPr>
          <w:sz w:val="20"/>
          <w:szCs w:val="20"/>
          <w:color w:val="auto"/>
        </w:rPr>
      </w:pPr>
      <w:r>
        <w:rPr>
          <w:rFonts w:ascii="Arial" w:cs="Arial" w:eastAsia="Arial" w:hAnsi="Arial"/>
          <w:sz w:val="17"/>
          <w:szCs w:val="17"/>
          <w:color w:val="auto"/>
        </w:rPr>
        <w:t>Given the uncertainties and risk factors that could cause our actual results to differ materially from those contained in any forward-looking statement, we caution investors not to unduly rely on our forward-looking statements. We disclaim any obligations to and do not intend to update the above list or announce publicly the result of any revisions to any of the forward-looking statements to reflect future events or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causing our actual results to differ, the factors listed above and referred to below may cause our intentions to change from those statements of intention set forth in this report. Such changes in our intentions may also cause our results to differ. We may change our intentions, at any time and without notice, based upon changes in such factors, our assumptions, or otherwise.</w:t>
      </w:r>
    </w:p>
    <w:p>
      <w:pPr>
        <w:spacing w:after="0" w:line="181" w:lineRule="exact"/>
        <w:rPr>
          <w:sz w:val="20"/>
          <w:szCs w:val="20"/>
          <w:color w:val="auto"/>
        </w:rPr>
      </w:pPr>
    </w:p>
    <w:p>
      <w:pPr>
        <w:jc w:val="both"/>
        <w:ind w:right="20" w:firstLine="338"/>
        <w:spacing w:after="0" w:line="342" w:lineRule="auto"/>
        <w:rPr>
          <w:sz w:val="20"/>
          <w:szCs w:val="20"/>
          <w:color w:val="auto"/>
        </w:rPr>
      </w:pPr>
      <w:r>
        <w:rPr>
          <w:rFonts w:ascii="Arial" w:cs="Arial" w:eastAsia="Arial" w:hAnsi="Arial"/>
          <w:sz w:val="16"/>
          <w:szCs w:val="16"/>
          <w:color w:val="auto"/>
        </w:rPr>
        <w:t>Because forward-looking statements involve risks and uncertainties, we caution that there are important factors, in addition to those listed above, that may cause actual results to differ materially from those contained in the forward-looking statements. These factors are described in the following section.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You should carefully consider the following risk factors in addition to the other information in this report. Each of these factors could adversely affect our business, prospects, financial condition, results of operations, cash flows, and, in some cases our reputation. The occurrence of any of such risks could also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financial condition of our natural gas transportation and midstream businesses is dependent on the continued availability of natural gas supplies in the supply basins that we access and demand for those supplies in the markets we serve.</w:t>
      </w:r>
    </w:p>
    <w:p>
      <w:pPr>
        <w:spacing w:after="0" w:line="170"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6"/>
          <w:szCs w:val="16"/>
          <w:color w:val="auto"/>
        </w:rPr>
        <w:t>Our ability to maintain and expand our natural gas transportation and midstream businesses depends on the level of drilling and production by third parties in our supply basins. Production from existing wells and natural gas supply basins with access to our pipeline and gathering systems will naturally decline over time. The amount of natural gas reserves underlying these existing wells may also be less than anticipated, and the rate at which production from these reserves declines may be greater than anticipated. We do not obtain independent evaluations of natural gas reserves connected to our systems and processing facilities. Accordingly, we do not have independent estimates of total reserves dedicated to our systems or the anticipated life of such reserves. In addition, low prices for natural gas, regulatory limitations, or the lack of available capital have, and may continue to, adversely affect the development and production of existing or additional natural gas reserves and the installation of gathering, storage, and pipeline transportation facilities. The import and export of natural gas supplies may also be affected by such conditions. Low natural gas prices in one or more of our existing supply basins, whether caused by a lack of infrastructure or otherwise, could also result in depressed natural gas production in such basins and limit the supply of natural gas made available to us. The competition for natural gas supplies to serve other markets could also reduce the amount of natural gas supply for our customers. A failure to obtain access to sufficient natural gas supplies will adversely impact our ability to maximize the capacities of our gathering, transportation, and processing facilities.</w:t>
      </w:r>
    </w:p>
    <w:p>
      <w:pPr>
        <w:spacing w:after="0" w:line="173"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Demand for our services is dependent on the demand for gas in the markets we serve. Alternative fuel sources such as electricity, coal, fuel oils, or nuclear energy, as well as technological advances and renewable sources of energy, could reduce demand for natural gas in our markets and have an adverse effect on our business.</w:t>
      </w:r>
    </w:p>
    <w:p>
      <w:pPr>
        <w:spacing w:after="0" w:line="181"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A failure to obtain access to sufficient natural gas supplies or a reduction in demand for our services in the markets we serve could result in impairments of our assets and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33"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Prices for natural gas, NGLs, oil, and other commodities, are volatile and this volatility has and could continue to adversely affect our financial results, cash flows, access to capital, and ability to maintain our existing businesses.</w:t>
      </w:r>
    </w:p>
    <w:p>
      <w:pPr>
        <w:spacing w:after="0" w:line="116"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Our revenues, operating results, future rate of growth, and the value of certain components of our businesses depend primarily upon the prices of natural gas, NGLs, oil, or other commodities, and the differences between prices of these commodities and could be materially adversely affected by an extended period of low commodity prices, or a decline in commodity prices. Price volatility has and could continue to impact both the amount we receive for our products and services and the volume of products and services we sell. Prices affect the amount of cash flow available for capital expenditures and our ability to borrow money or raise additional capital. Price volatility has and could continue to have an adverse effect on our business, results of operations, financial condition, and cash flows.</w:t>
      </w:r>
    </w:p>
    <w:p>
      <w:pPr>
        <w:spacing w:after="0" w:line="193"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The markets for natural gas, NGLs, oil, and other commodities are likely to continue to be volatile. Wide fluctuations in prices might result from one or more factors beyond our control, including:</w:t>
      </w:r>
    </w:p>
    <w:p>
      <w:pPr>
        <w:spacing w:after="0" w:line="17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Worldwide and domestic supplies of and demand for natural gas, NGLs, oil, and related commodities;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Turmoil in the Middle East and other producing regions;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activities of the Organization of Petroleum Exporting Countries;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level of consumer demand;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price and availability of other types of fuels or feedstocks;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availability of pipeline capacity;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Supply disruptions, including plant outages and transportation disruptions;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price and quantity of foreign imports and domestic exports of natural gas and oil;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Domestic and foreign governmental regulations and taxes;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credit of participants in the markets where products are bought and sold.</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the credit risk of our customers and counterparties, and our credit risk management will not be able to completely eliminate such risk.</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subject to the risk of loss resulting from nonpayment and/or nonperformance by our customers and counterparties in the ordinary course of our business. Generally, our customers are rated investment grade, are otherwise considered creditworthy, are required to make prepayments or provide security to satisfy credit concerns or are dependent upon us, in some cases without a readily available alternative, to provide necessary services. However, our credit procedures and policies cannot completely eliminate customer and counterparty credit risk. Our customers and counterparties include industrial customers, local distribution companies, natural gas producers, and marketers whose creditworthiness may be suddenly and disparately impacted by, among other factors, commodity price volatility, deteriorating energy market conditions, and public and regulatory opposition to energy producing activities. In a low commodity price environment certain of our customers have been or could be negatively impacted, causing them significant economic stress resulting, in some cases, in a customer bankruptcy filing or an effort to renegotiate our contracts. To the extent one or more of our key customers commences bankruptcy proceedings, our contracts with the customers may be subject to rejection under applicable provisions of the United States Bankruptcy Code or, if we so agree, may be renegotiated. Further, during any such bankruptcy proceeding, prior to assumption, rejection or renegotiation of such contracts, the bankruptcy court may temporarily authorize the payment of value for our services less than contractually required, which could have a material adverse effect on our business, financial condition, results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7"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of operations, and cash flows. If we fail to adequately assess the creditworthiness of existing or future customers and counterparties or otherwise do not take or are unable to take sufficient mitigating actions, including obtaining sufficient collateral, deterioration in their creditworthiness, and any resulting increase in nonpayment and/or nonperformance by them could cause us to write down or write off accounts receivable. Such write-downs or write-offs could negatively affect our operating results in the periods in which they occur, and, if significant,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opposition to operation and expansion of our pipelines and facilities from various individuals and groups.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experienced, and we anticipate that we will continue to face, opposition to the operation and expansion of our pipelines and facilities from governmental officials, environmental groups, landowners, tribal groups, local groups and other advocates. In some instances, we encounter opposition which disfavors hydrocarbon-based energy supplies regardless of practical implementation or financial considerations. Opposition to our operation and expansion can take many forms, including the delay or denial of required governmental permits, organized protests, attempts to block or sabotage our operations, intervention in regulatory or administrative proceedings involving our assets, or lawsuits or other actions designed to prevent, disrupt or delay the operation or expansion of our assets and business. In addition, acts of sabotage or eco-terrorism could cause significant damage or injury to people, property or the environment or lead to extended interruptions of our operations. Any such event that delays or prevents the expansion of our business, that interrupts the revenues generated by our operations, or which causes us to make significant expenditures not covered by insurance, could adversely affect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effectively manage our growth.</w:t>
      </w:r>
    </w:p>
    <w:p>
      <w:pPr>
        <w:spacing w:after="0" w:line="225" w:lineRule="exact"/>
        <w:rPr>
          <w:sz w:val="20"/>
          <w:szCs w:val="20"/>
          <w:color w:val="auto"/>
        </w:rPr>
      </w:pPr>
    </w:p>
    <w:p>
      <w:pPr>
        <w:jc w:val="both"/>
        <w:ind w:firstLine="338"/>
        <w:spacing w:after="0" w:line="293" w:lineRule="auto"/>
        <w:rPr>
          <w:sz w:val="20"/>
          <w:szCs w:val="20"/>
          <w:color w:val="auto"/>
        </w:rPr>
      </w:pPr>
      <w:r>
        <w:rPr>
          <w:rFonts w:ascii="Arial" w:cs="Arial" w:eastAsia="Arial" w:hAnsi="Arial"/>
          <w:sz w:val="16"/>
          <w:szCs w:val="16"/>
          <w:color w:val="auto"/>
        </w:rPr>
        <w:t>As part of our growth strategy, we consider acquisition opportunities and engage in significant capital projects. We have both a project lifecycle process and an investment evaluation process. These are processes we use to identify, evaluate, and execute on acquisition opportunities and capital projects. We may not always have sufficient and accurate information to identify and value potential opportunities and risks or our investment evaluation process may be incomplete or flawed. Regarding potential acquisitions, suitable acquisition candidates or assets may not be available on terms and conditions we find acceptable or, where multiple parties are trying to acquire an acquisition candidate or assets, we may not be chosen as the acquirer. If we are able to acquire a targeted business, we may not be able to successfully integrate the acquired businesses and realize anticipated benefits in a timely manner.</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growth may also be dependent upon the construction of new natural gas gathering, transportation, compression, processing or treating pipelines, and facilities, NGL transportation, or fractionation or storage facilities as well as the expansion of existing facilities. Additional risks associated with construction may include the inability to obtain rights-of-way, skilled labor, equipment, materials, and other required inputs in a timely manner such that projects are completed, on time or at all, and the risk that construction cost overruns could cause total project costs to exceed budgeted costs. Additional risks associated with growing our business include, among others, that:</w:t>
      </w:r>
    </w:p>
    <w:p>
      <w:pPr>
        <w:spacing w:after="0" w:line="215" w:lineRule="exact"/>
        <w:rPr>
          <w:sz w:val="20"/>
          <w:szCs w:val="20"/>
          <w:color w:val="auto"/>
        </w:rPr>
      </w:pPr>
    </w:p>
    <w:p>
      <w:pPr>
        <w:ind w:left="660" w:right="20" w:hanging="328"/>
        <w:spacing w:after="0" w:line="301" w:lineRule="auto"/>
        <w:tabs>
          <w:tab w:leader="none" w:pos="6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Changing circumstances and deviations in variables could negatively impact our investment analysis, including our projections of revenues, earnings, and cash flow relating to potential investment targets, resulting in outcomes which are materially different than anticipated;</w:t>
      </w:r>
    </w:p>
    <w:p>
      <w:pPr>
        <w:spacing w:after="0" w:line="158" w:lineRule="exact"/>
        <w:rPr>
          <w:rFonts w:ascii="Arial" w:cs="Arial" w:eastAsia="Arial" w:hAnsi="Arial"/>
          <w:sz w:val="21"/>
          <w:szCs w:val="21"/>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could be required to contribute additional capital to support acquired businesses or assets;</w:t>
      </w:r>
    </w:p>
    <w:p>
      <w:pPr>
        <w:spacing w:after="0" w:line="242"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may assume liabilities that were not disclosed to us, that exceed our estimates and for which contractual protections are either unavailable or prove inadequate;</w:t>
      </w:r>
    </w:p>
    <w:p>
      <w:pPr>
        <w:spacing w:after="0" w:line="209"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Acquisitions could disrupt our ongoing business, distract management, divert financial and operational resources from existing operations and make it difficult to maintain our current business standards, controls, and procedures;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7" w:right="239" w:bottom="1440" w:gutter="0" w:footer="0" w:header="0"/>
        </w:sectPr>
      </w:pPr>
    </w:p>
    <w:bookmarkStart w:id="26" w:name="page27"/>
    <w:bookmarkEnd w:id="26"/>
    <w:p>
      <w:pPr>
        <w:ind w:left="660" w:right="20" w:hanging="328"/>
        <w:spacing w:after="0" w:line="271"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Acquisitions and capital projects may require substantial new capital, including proceeds from the issuance of debt or equity, and we may not be able to access capital markets or obtain acceptable terms.</w:t>
      </w:r>
    </w:p>
    <w:p>
      <w:pPr>
        <w:spacing w:after="0" w:line="1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If realized, any of these risks could have an adverse impact on our financial condition, results of operations, including the possible impairment of our assets,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highly competitive and increased competitive pressure could adversely affect our business and operating results.</w:t>
      </w:r>
    </w:p>
    <w:p>
      <w:pPr>
        <w:spacing w:after="0" w:line="22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have numerous competitors in all aspects of our businesses, and additional competitors may enter our markets. Any current or future competitor that delivers natural gas, NGLs, or other commodities into the areas that we operate could offer transportation services that are more desirable to shippers than those we provide because of price, location, facilities or other factors. In addition, current or potential competitors may make strategic acquisitions or have greater financial resources than we do, which could affect our ability to make strategic investments or acquisitions. Our competitors may be able to respond more quickly to new laws or regulations or emerging technologies or to devote greater resources to the construction, expansion, or refurbishment of their facilities than we can. Failure to successfully compete against current and future competitors could have a material adverse effect on our business, results of operations, financial condition, and cash flows.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do not own 100 percent of the equity interests of certain subsidiaries, including the Partially Owned Entities, which may limit our ability to operate and control these subsidiaries. Certain operations, including the Partially Owned Entities, are conducted through arrangements that may limit our ability to operate and control these operations.</w:t>
      </w:r>
    </w:p>
    <w:p>
      <w:pPr>
        <w:spacing w:after="0" w:line="181"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operations of our current non-wholly-owned subsidiaries, including the Partially Owned Entities, are conducted in accordance with their organizational documents. We anticipate that we will enter into more such arrangements, including through new joint venture structures or new Partially Owned Entities. We may have limited operational flexibility in such current and future arrangements and we may not be able to control the timing or amount of cash distributions received. In certain cases:</w:t>
      </w:r>
    </w:p>
    <w:p>
      <w:pPr>
        <w:spacing w:after="0" w:line="21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We cannot control the amount of cash reserves determined to be necessary to operate the business, which reduces cash available for distributions;</w:t>
      </w:r>
    </w:p>
    <w:p>
      <w:pPr>
        <w:spacing w:after="0" w:line="254" w:lineRule="exact"/>
        <w:rPr>
          <w:rFonts w:ascii="Arial" w:cs="Arial" w:eastAsia="Arial" w:hAnsi="Arial"/>
          <w:sz w:val="19"/>
          <w:szCs w:val="19"/>
          <w:color w:val="auto"/>
        </w:rPr>
      </w:pPr>
    </w:p>
    <w:p>
      <w:pPr>
        <w:ind w:left="660" w:hanging="328"/>
        <w:spacing w:after="0" w:line="271" w:lineRule="auto"/>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cannot control the amount of capital expenditures that we are required to fund and we are dependent on third parties to fund their required share of capital expenditures;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may be subject to restrictions or limitations on our ability to sell or transfer our interests in the jointly owned assets;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may be forced to offer rights of participation to other joint venture participants in the area of mutual interest;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have limited ability to influence or control certain day to day activities affecting the operations;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may have additional obligations, such as required capital contributions, that are important to the success of the operations.</w:t>
      </w:r>
    </w:p>
    <w:p>
      <w:pPr>
        <w:spacing w:after="0" w:line="21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In addition, conflicts of interest may arise between us, on the one hand, and other interest owners, on the other hand. If such conflicts of interest arise, we may not have the ability to control the outcome with respect to the matter in question. Disputes between us and other interest owners may also result in delays, litigation or operational impasses.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338"/>
        <w:spacing w:after="0" w:line="308" w:lineRule="auto"/>
        <w:rPr>
          <w:sz w:val="20"/>
          <w:szCs w:val="20"/>
          <w:color w:val="auto"/>
        </w:rPr>
      </w:pPr>
      <w:r>
        <w:rPr>
          <w:rFonts w:ascii="Arial" w:cs="Arial" w:eastAsia="Arial" w:hAnsi="Arial"/>
          <w:sz w:val="17"/>
          <w:szCs w:val="17"/>
          <w:color w:val="auto"/>
        </w:rPr>
        <w:t>The risks described above or the failure to continue such arrangements could adversely affect our ability to conduct the operations that are the subject of such arrangements which could, in turn, negatively affect our business, growth strategy, financial condition and results of operations.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replace, extend, or add additional customer contracts or contracted volumes on favorable terms, or at all, which could affect our financial condition, the amount of cash available to pay dividends, and our ability to grow.</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limited number of customers and producers for a significant portion of our revenues and supply of natural gas and NGLs. Although many of our customers and suppliers are subject to long-term contracts, if we are unable to replace or extend such contracts, add additional customers, or otherwise increase the contracted volumes of natural gas provided to us by current producers, in each case on favorable terms, if at all, our financial condition, growth plans, and the amount of cash available to pay dividends could be adversely affected. Our ability to replace, extend, or add additional customer or supplier contracts, or increase contracted volumes of natural gas from current producers, on favorable terms, or at all, is subject to a number of factors, some of which are beyond our control, including:</w:t>
      </w:r>
    </w:p>
    <w:p>
      <w:pPr>
        <w:spacing w:after="0" w:line="220" w:lineRule="exact"/>
        <w:rPr>
          <w:sz w:val="20"/>
          <w:szCs w:val="20"/>
          <w:color w:val="auto"/>
        </w:rPr>
      </w:pPr>
    </w:p>
    <w:p>
      <w:pPr>
        <w:ind w:left="660" w:hanging="328"/>
        <w:spacing w:after="0" w:line="27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level of existing and new competition in our businesses or from alternative sources, such as electricity, renewable resources, coal, fuel oils, or nuclear energy;</w:t>
      </w:r>
    </w:p>
    <w:p>
      <w:pPr>
        <w:spacing w:after="0" w:line="209" w:lineRule="exact"/>
        <w:rPr>
          <w:rFonts w:ascii="Arial" w:cs="Arial" w:eastAsia="Arial" w:hAnsi="Arial"/>
          <w:sz w:val="22"/>
          <w:szCs w:val="22"/>
          <w:color w:val="auto"/>
        </w:rPr>
      </w:pPr>
    </w:p>
    <w:p>
      <w:pPr>
        <w:jc w:val="both"/>
        <w:ind w:left="660" w:hanging="328"/>
        <w:spacing w:after="0" w:line="288"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Natural gas and NGL prices, demand, availability, and margins in our markets. Higher prices for energy commodities related to our businesses could result in a decline in the demand for those commodities and, therefore, in customer contracts or throughput on our pipeline systems. Also, lower energy commodity prices could negatively impact our ability to maintain or achieve favorable contractual terms, including pricing, and could also result in a decline in the production of energy commodities resulting in reduced customer contracts, supply contracts, and throughput on our pipeline systems;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General economic, financial markets, and industry conditions;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effects of regulation on us, our customers, and our contracting practices;</w:t>
      </w:r>
    </w:p>
    <w:p>
      <w:pPr>
        <w:spacing w:after="0" w:line="242"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ability to understand our customers’ expectations, efficiently and reliably deliver high quality services and effectively manage customer relationships. The results of these efforts will impact our reputation and positioning in the market.</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of our gas pipeline services are subject to long-term, fixed-price contracts that are not subject to adjustment, even if our cost to perform such services exceeds the revenues received from such contracts.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gas pipelines provide some services pursuant to long-term, fixed-price contracts. It is possible that costs to perform services under such contracts will exceed the revenues our pipelines collect for their services. Although most of the services are priced at cost-based rates that are subject to adjustment in rate cases, under FERC policy, a regulated service provider and a customer may mutually agree to sign a contract for service at a “negotiated rate” that may be above or below the FERC regulated cost-based rate for that service. These “negotiated rate” contracts are not generally subject to adjustment for increased costs that could be produced by inflation or other factors relating to the specific facilities being used to perform the services.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businesses are exposed to supplier concentration risks arising from dependence on a single or a limited number of suppliers.</w:t>
      </w:r>
    </w:p>
    <w:p>
      <w:pPr>
        <w:spacing w:after="0" w:line="23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Some of our businesses may be dependent on a small number of suppliers for delivery of critical goods or services. If a supplier on which one of our businesses depends were to fail to timely supply required goods and services, such business may not be able to replace such goods and services in a timely manner or otherwise on favorable terms or at all. If our business is unable to adequately diversify or otherwise mitigate such supplier concentration risks and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7"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risks were realized, such businesses could be subject to reduced revenues and increased expenses, which could have a material adverse effect on our financial condition, results of operation,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of our service providers or disruptions to our outsourcing relationships might negatively impact our ability to conduct our business.</w:t>
      </w:r>
    </w:p>
    <w:p>
      <w:pPr>
        <w:spacing w:after="0" w:line="23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Certain of our accounting and information technology services are currently provided by third-party vendors, and sometimes from service centers outside of the United States. Services provided pursuant to these agreements could be disrupted. Similarly, the expiration of such agreements or the transition of services between providers could lead to loss of institutional knowledge or service disruptions. Our reliance on others as service providers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impairment of our assets, including property, plant, and equipment, intangible assets, and/or equity-method investments, could reduce our earnings.</w:t>
      </w:r>
    </w:p>
    <w:p>
      <w:pPr>
        <w:spacing w:after="0" w:line="260"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GAAP requires us to test certain assets for impairment on either an annual basis or when events or circumstances occur which indicate that the carrying value of such assets might be impaired. The outcome of such testing could result in impairments of our assets including our property, plant, and equipment, intangible assets, and/or equity-method investments. Additionally, any asset monetizations could result in impairments if any assets are sold or otherwise exchanged for amounts less than their carrying value. If we determine that an impairment has occurred, we would be required to take an immediate noncash charge to earnings.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stakeholders with respect to our environmental, social and governance practices may impose additional costs on us or expose us to new or additional risks.</w:t>
      </w:r>
    </w:p>
    <w:p>
      <w:pPr>
        <w:spacing w:after="0" w:line="170"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Companies across all industries are facing increasing scrutiny from stakeholders related to their environmental, social and governance (“ESG”) practices.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and similar matters may hinder access to capital, as investors may decide to reallocate capital or to not commit capital as a result of their assessment of a company’s ESG practices.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w:t>
      </w:r>
    </w:p>
    <w:p>
      <w:pPr>
        <w:spacing w:after="0" w:line="179"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face pressures from our stockholders, who are increasingly focused on climate change, to prioritize sustainable energy practices, reduce our carbon footprint and promote sustainability. Our stockholders may require us to implement ESG procedures or standards in order to remain invested in us or before they may make further investments in us. Additionally, we may face reputational challenges in the event our ESG procedures or standards do not meet the standards set by certain constituencies. We have adopted certain practices as highlighted in our 2018 Sustainability Report, including with respect to air emissions, biodiversity and land use, climate change and environmental stewardship. It is possible, however, that our stockholders might not be satisfied with our sustainability efforts or the speed of their adoption. If we do not meet our stockholders’ expectations, our business, ability to access capital, and/or our stock price could be harmed.</w:t>
      </w:r>
    </w:p>
    <w:p>
      <w:pPr>
        <w:spacing w:after="0" w:line="189"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Additionally, adverse effects upon the oil and gas industry related to the worldwide social and political environment, including uncertainty or instability resulting from climate change, changes in political leadership and environmental policies, changes in geopolitical-social views toward fossil fuels and renewable energy, concern about the environmental impact of climate change and investors’ expectations regarding ESG matters, may also adversely affect demand for our services. Any long-term material adverse effect on the oil and gas industry could have a significant financial and operational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7"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7"/>
          <w:szCs w:val="17"/>
          <w:color w:val="auto"/>
        </w:rPr>
        <w:t>The occurrence of any of the foregoing could have a material adverse effect on the price of our stock and our business and financial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physical and financial risks associated with climate change.</w:t>
      </w:r>
    </w:p>
    <w:p>
      <w:pPr>
        <w:spacing w:after="0" w:line="225" w:lineRule="exact"/>
        <w:rPr>
          <w:sz w:val="20"/>
          <w:szCs w:val="20"/>
          <w:color w:val="auto"/>
        </w:rPr>
      </w:pPr>
    </w:p>
    <w:p>
      <w:pPr>
        <w:jc w:val="both"/>
        <w:ind w:firstLine="338"/>
        <w:spacing w:after="0" w:line="291" w:lineRule="auto"/>
        <w:rPr>
          <w:sz w:val="20"/>
          <w:szCs w:val="20"/>
          <w:color w:val="auto"/>
        </w:rPr>
      </w:pPr>
      <w:r>
        <w:rPr>
          <w:rFonts w:ascii="Arial" w:cs="Arial" w:eastAsia="Arial" w:hAnsi="Arial"/>
          <w:sz w:val="16"/>
          <w:szCs w:val="16"/>
          <w:color w:val="auto"/>
        </w:rPr>
        <w:t>The threat of global climate change may create physical and financial risks to our business. Energy needs vary with weather conditions. To the extent weather conditions may be affected by climate change, energy use could increase or decrease depending on the duration and magnitude of any changes. Increased energy use due to weather changes may require us to invest in more pipelines and other infrastructure to serve increased demand. A decrease in energy use due to weather changes may affect our financial condition through decreased revenues. Extreme weather conditions in general require more system backup, adding to costs, and can contribute to increased system stresses, including service interruptions. Weather conditions outside of our operating territory could also have an impact on our revenues. To the extent the frequency of extreme weather events increases, this could increase our cost of providing service. We may not be able to pass on the higher costs to our customers or recover all costs related to mitigating these physical risks.</w:t>
      </w:r>
    </w:p>
    <w:p>
      <w:pPr>
        <w:spacing w:after="0" w:line="16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Additionally, many climate models indicate that global warming is likely to result in rising sea levels and increased frequency and severity of weather events, which may lead to higher insurance costs, or a decrease in available coverage, for our assets in areas subject to severe weather. These climate-related changes could damage our physical assets, especially operations located in low-lying areas near coasts and river banks, and facilities situated in hurricane-prone and rain-susceptible regions.</w:t>
      </w:r>
    </w:p>
    <w:p>
      <w:pPr>
        <w:spacing w:after="0" w:line="18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To the extent financial markets view climate change and greenhouse gas (“GHG”) emissions as a financial risk, this could negatively impact our cost of and access to capital. Climate change and GHG regulation could also reduce demand for our services. Our business could also be affected by the potential for lawsuits against GHG emitters, based on links drawn between GHG emissions and climate 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are subject to operational hazards and unforeseen interruptions.</w:t>
      </w:r>
    </w:p>
    <w:p>
      <w:pPr>
        <w:spacing w:after="0" w:line="225"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There are operational risks associated with the gathering, transporting, storage, processing, and treating of natural gas, the fractionation, transportation, and storage of NGLs, and crude oil transportation and production handling, including:</w:t>
      </w:r>
    </w:p>
    <w:p>
      <w:pPr>
        <w:spacing w:after="0" w:line="17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Aging infrastructure and mechanical problems;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Damages to pipelines and pipeline blockages or other pipeline interruptions;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Uncontrolled releases of natural gas (including sour gas), NGLs, crude oil, or other products;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Collapse or failure of storage caverns;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Operator error;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Damage caused by third-party activity, such as operation of construction equipment;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Pollution and other environmental risks;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Fires, explosions, craterings, and blowouts;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Security risks, including cybersecurity;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Operating in a marine environment.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57" w:right="2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Any of these risks could result in loss of human life, personal injuries, significant damage to property, environmental pollution, impairment of our operations, loss of services to our customers, reputational damage, and substantial losses to us. The location of certain segments of our facilities in or near populated areas, including residential areas, commercial business centers, and industrial sites, could increase the level of damages resulting from these risks. An event such as those described above could have a material adverse effect on our financial condition and results of operations, particularly if the event is not fully covered by insurance.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insure against all potential risks and losses and could be seriously harmed by unexpected liabilities or by the inability of our insurers to satisfy our claims.</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In accordance with customary industry practice, we maintain insurance against some, but not all, risks and losses, and only at levels we believe to be appropriate. The occurrence of any risks not fully covered by our insurance could have a material adverse effect on our business, financial condition, results of operations, and cash flows and our ability to repay our debt.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and operations, as well as our customers’ assets and operations, can be adversely affected by weather and other natural phenomena.</w:t>
      </w:r>
    </w:p>
    <w:p>
      <w:pPr>
        <w:spacing w:after="0" w:line="248"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Our assets and operations, especially those located offshore, and our customers’ assets and operations can be adversely affected by hurricanes, floods, earthquakes, landslides, tornadoes, fires, and other natural phenomena and weather conditions, including extreme or unseasonable temperatures, making it more difficult for us to realize the historic rates of return associated with our assets and operations. A significant disruption in our or our customers’ operations or a significant liability for which we are not fully insured could have a material adverse effect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acts of terrorism and related disruptions.</w:t>
      </w:r>
    </w:p>
    <w:p>
      <w:pPr>
        <w:spacing w:after="0" w:line="225"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Given the volatile nature of the commodities we transport, process, store, and sell, our assets and the assets of our customers and others in our industry may be targets of terrorist activities. A terrorist attack could create significant price volatility, disrupt our business, limit our access to capital markets, or cause significant harm to our operations, such as full or partial disruption to our ability to produce, process, transport, or distribute natural gas, NGLs, or other commodities. Acts of terrorism, as well as events occurring in response to or in connection with acts of terrorism, could cause environmental repercussions that could result in a significant decrease in revenues or significant reconstruction or remediation costs, which could have a material adverse effect on our business, financial condition, results of operations, and cash flows.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breach of our information technology infrastructure, including a breach caused by a cybersecurity attack on us or third parties with whom we are interconnected, may interfere with the safe operation of our assets, result in the disclosure of personal or proprietary information, and harm our reputation.</w:t>
      </w:r>
    </w:p>
    <w:p>
      <w:pPr>
        <w:spacing w:after="0" w:line="195" w:lineRule="exact"/>
        <w:rPr>
          <w:sz w:val="20"/>
          <w:szCs w:val="20"/>
          <w:color w:val="auto"/>
        </w:rPr>
      </w:pPr>
    </w:p>
    <w:p>
      <w:pPr>
        <w:jc w:val="both"/>
        <w:ind w:firstLine="338"/>
        <w:spacing w:after="0" w:line="306" w:lineRule="auto"/>
        <w:rPr>
          <w:sz w:val="20"/>
          <w:szCs w:val="20"/>
          <w:color w:val="auto"/>
        </w:rPr>
      </w:pPr>
      <w:r>
        <w:rPr>
          <w:rFonts w:ascii="Arial" w:cs="Arial" w:eastAsia="Arial" w:hAnsi="Arial"/>
          <w:sz w:val="16"/>
          <w:szCs w:val="16"/>
          <w:color w:val="auto"/>
        </w:rPr>
        <w:t>We rely on our information technology infrastructure to process, transmit, and store electronic information, including information we use to safely operate our assets. Our Board of Directors has oversight responsibility with regard to assessment of the major risks inherent in our business, including cybersecurity risks, and reviews management’s efforts to address and mitigate such risks, including the establishment and implementation of policies to address cybersecurity threats. We have invested, and expect to continue to invest, significant time, manpower and capital in our information technology infrastructure. However, the age, operating systems, or condition of our current information technology infrastructure and software assets and our ability to maintain and upgrade such assets could affect our ability to resist cybersecurity threats. While we believe that we maintain appropriate information security policies, practices, and protocols, we regularly face cybersecurity and other security threats to our information technology infrastructure, which could include threats to our operational industrial control systems that are used to operate our pipelines, plants, and assets. We face unlawful attempts to gain access to our information technology infrastructure, including coordinated attacks from hackers, whether state-sponsored groups, “hacktivists”, or private individuals. We face the threat of theft and misuse of sensitive data and information, including customer and employee information. We also face attempts to</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73" w:right="2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7"/>
          <w:szCs w:val="17"/>
          <w:color w:val="auto"/>
        </w:rPr>
        <w:t>gain access to information related to our assets through attempts to obtain unauthorized access by targeting acts of deception against individuals with legitimate access to physical locations or information. We also are subject to cybersecurity risks arising from the fact that our business operations are interconnected with third parties, including third-party pipelines, other facilities and our contractors and vendors. In addition, the breach of certain business systems could affect our ability to correctly record, process and report financial information. Breaches in our information technology infrastructure or physical facilities, or other disruptions including those arising from theft, vandalism, fraud, or unethical conduct, could result in damage to or destruction of our assets, unnecessary waste, safety incidents, damage to the environment, reputational damage, potential liability, the loss of contracts, the imposition of significant costs associated with remediation and litigation, heightened regulatory scrutiny, increased insurance costs, and a material adverse effect on our operations, financial condition, results of operations, and cash flows.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third-party pipelines and other facilities interconnected to our pipelines and facilities become unavailable to transport natural gas and NGLs or to treat natural gas, our revenues could be adversely affected.</w:t>
      </w:r>
    </w:p>
    <w:p>
      <w:pPr>
        <w:spacing w:after="0" w:line="170"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We depend upon third-party pipelines and other facilities that provide delivery options to and from our pipelines and facilities for the benefit of our customers. Because we do not own these third-party pipelines or other facilities, their continuing operation is not within our control. If these pipelines or facilities were to become temporarily or permanently unavailable for any reason, or if throughput were reduced because of testing, line repair, damage to pipelines or facilities, reduced operating pressures, lack of capacity, increased credit requirements or rates charged by such pipelines or facilities or other causes, we and our customers would have reduced capacity to transport, store or deliver natural gas or NGL products to end use markets or to receive deliveries of mixed NGLs, thereby reducing our revenues. Any temporary or permanent interruption at any key pipeline interconnect or in operations on third-party pipelines or facilities that would cause a material reduction in volumes transported on our pipelines or our gathering systems or processed, fractionated, treated, or stored at our facilities could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for certain components of our business might fluctuate on a seasonal basis.</w:t>
      </w:r>
    </w:p>
    <w:p>
      <w:pPr>
        <w:spacing w:after="0" w:line="225"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Revenues from certain components of our business can have seasonal characteristics. In many parts of the country, demand for natural gas and other fuels peaks during the winter. As a result, our overall operating results in the future might fluctuate substantially on a seasonal basis. Demand for natural gas and other fuels could vary significantly from our expectations depending on the nature and location of our facilities and pipeline systems and the terms of our natural gas transportation arrangements relative to demand created by unusual weather patterns.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own all of the land on which our pipelines and facilities are located, which could disrupt our operations.</w:t>
      </w:r>
    </w:p>
    <w:p>
      <w:pPr>
        <w:spacing w:after="0" w:line="22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We do not own all of the land on which our pipelines and facilities have been constructed. As such, we are subject to the possibility of increased costs to retain necessary land use. In those instances in which we do not own the land on which our facilities are located, we obtain the rights to construct and operate our pipelines and gathering systems on land owned by third parties and governmental agencies for a specific period of time. In addition, some of our facilities cross Native American lands pursuant to rights-of-way of limited terms. We may not have the right of eminent domain over land owned by Native American tribes. Our loss of these rights, through our inability to renew right-of-way contracts or otherwise, could have a material adverse effect on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stockholder activism.</w:t>
      </w:r>
    </w:p>
    <w:p>
      <w:pPr>
        <w:spacing w:after="0" w:line="225"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In recent years, stockholder activism, including threatened or actual proxy contests, has been directed against numerous public companies, including ours.</w:t>
      </w:r>
    </w:p>
    <w:p>
      <w:pPr>
        <w:spacing w:after="0" w:line="17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were the target of a proxy contest from a stockholder activist, which resulted in our incurring significant costs. If stockholder activists were to again take or threaten to take actions against the Company or seek to involve themselves in the governance, strategic direction or operations of the Company, we could incur significant costs as well as the distraction of management, which could have an adverse effect on our business or financial results. In addition, 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7"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of activist stockholders may cause significant fluctuations in our stock price based on temporary or speculative market perceptions or other factors that do not necessarily reflect the underlying fundamentals and prospects of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costs and funding obligations for our defined benefit pension plans and costs for our other postretirement benefit plans are affected by factors beyond our control.</w:t>
      </w:r>
    </w:p>
    <w:p>
      <w:pPr>
        <w:spacing w:after="0" w:line="17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have defined benefit pension plans and other postretirement benefit plans. The timing and amount of our funding requirements under the defined benefit pension plans depend upon a number of factors that we control, including changes to pension plan benefits, as well as factors outside of our control, such as asset returns, interest rates, and changes in pension laws. Changes to these and other factors that can significantly increase our funding requirements could have a significant adverse effect on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an appropriately qualified workforce could negatively impact our results of operations.</w:t>
      </w:r>
    </w:p>
    <w:p>
      <w:pPr>
        <w:spacing w:after="0" w:line="225"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Events such as an aging workforce without appropriate replacements, mismatch of skill sets to future needs, the challenges of attracting new, qualified workers to the midstream energy industry, or unavailability of contract labor may lead to operating challenges such as lack of resources, loss of knowledge, and a lengthy time period associated with skill development, including with the workforce needs associated with projects and ongoing operations. Failure to hire and adequately obtain replacement employees, including the ability to transfer significant internal historical knowledge and expertise to the new employees, or the future availability and cost of contract labor may adversely affect our ability to manage and operate the businesses. If we are unable to successfully attract and retain an appropriately qualified workforce, results of operations could be negatively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common stock may not receive dividends in the amount expected or any dividends.</w:t>
      </w:r>
    </w:p>
    <w:p>
      <w:pPr>
        <w:spacing w:after="0" w:line="225"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We may not have sufficient cash each quarter to pay dividends or maintain current or expected levels of dividends. The actual amount of cash we dividend may fluctuate from quarter to quarter and will depend on various factors, some of which are beyond our control, including:</w:t>
      </w:r>
    </w:p>
    <w:p>
      <w:pPr>
        <w:spacing w:after="0" w:line="17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amount of cash that our subsidiaries distribute to us;</w:t>
      </w:r>
    </w:p>
    <w:p>
      <w:pPr>
        <w:spacing w:after="0" w:line="231"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1"/>
          <w:szCs w:val="21"/>
          <w:color w:val="auto"/>
        </w:rPr>
      </w:pPr>
      <w:r>
        <w:rPr>
          <w:rFonts w:ascii="Arial" w:cs="Arial" w:eastAsia="Arial" w:hAnsi="Arial"/>
          <w:sz w:val="17"/>
          <w:szCs w:val="17"/>
          <w:color w:val="auto"/>
        </w:rPr>
        <w:t>The amount of cash we generate from our operations, our working capital needs, our level of capital expenditures, and our ability to borrow;</w:t>
      </w:r>
    </w:p>
    <w:p>
      <w:pPr>
        <w:spacing w:after="0" w:line="219" w:lineRule="exact"/>
        <w:rPr>
          <w:rFonts w:ascii="Arial" w:cs="Arial" w:eastAsia="Arial" w:hAnsi="Arial"/>
          <w:sz w:val="21"/>
          <w:szCs w:val="21"/>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restrictions contained in our indentures and credit facility and our debt service requirements;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cost of acquisitions, if any.</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failure either to pay dividends or to pay dividends at expected levels could result in a loss of investor confidence, reputational damage, and a decrease in the value of our stock price.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there is a determination that the spin-off of WPX Energy, Inc. (WPX) stock to our stockholders is taxable for U.S. federal income tax purposes because the facts, representations or undertakings underlying a U.S. Internal Revenue Service private letter ruling or a tax opinion are incorrect or for any other reason, then we and our stockholders could incur significant income tax liabilities.</w:t>
      </w:r>
    </w:p>
    <w:p>
      <w:pPr>
        <w:spacing w:after="0" w:line="18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In connection with our original separation plan that called for an initial public offering (IPO) of stock of WPX and a subsequent spin-off of our remaining shares of WPX to our stockholders, we obtained a private letter ruling from the IRS and an opinion of our outside tax advisor, to the effect that the distribution by us of WPX shares to our stockholders, and any related restructuring transaction undertaken by us, would not result in recognition for U.S. federal income tax purposes, of income, gain or loss to us or our stockholders under section 355 and section 368(a)(1)(D) of the U.S. Internal Revenue Code of 1986, as amended (Code), except for cash payments made to our stockholders in lieu of fractional shares of WPX common stock. In addition, we received an opinion from our outside tax advisor to the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7" w:right="2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color w:val="auto"/>
        </w:rPr>
        <w:t>that the spin-off pursuant to our revised separation plan which was ultimately consummated on December 31, 2011, which did not involve an IPO of WPX shares, would not result in the recognition, for federal income tax purposes, of income, gain, or loss to us or our stockholders under section 355 and section 368(a)(1)(D) of the Code, except for cash payments made to our stockholders in lieu of fractional shares of WPX. The private letter ruling and opinion have relied on or will rely on certain facts, representations, and undertakings from us and WPX regarding the past and future conduct of the companies’ respective businesses and other matters. If any of these facts, representations, or undertakings are, or become, incorrect or are not otherwise satisfied, including as a result of certain significant changes in the stock ownership of us or WPX after the spin-off, or if the IRS disagrees with any such facts and representations upon audit, we and our stockholders may not be able to rely on the private letter ruling or the opinion of our tax advisor and could be subject to significant income tax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Financing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Downgrades of our credit ratings, which are determined outside of our control by independent third parties, impact our liquidity, access to capital, and our costs of doing business.</w:t>
      </w:r>
    </w:p>
    <w:p>
      <w:pPr>
        <w:spacing w:after="0" w:line="170" w:lineRule="exact"/>
        <w:rPr>
          <w:sz w:val="20"/>
          <w:szCs w:val="20"/>
          <w:color w:val="auto"/>
        </w:rPr>
      </w:pPr>
    </w:p>
    <w:p>
      <w:pPr>
        <w:jc w:val="both"/>
        <w:ind w:firstLine="338"/>
        <w:spacing w:after="0" w:line="308" w:lineRule="auto"/>
        <w:rPr>
          <w:sz w:val="20"/>
          <w:szCs w:val="20"/>
          <w:color w:val="auto"/>
        </w:rPr>
      </w:pPr>
      <w:r>
        <w:rPr>
          <w:rFonts w:ascii="Arial" w:cs="Arial" w:eastAsia="Arial" w:hAnsi="Arial"/>
          <w:sz w:val="17"/>
          <w:szCs w:val="17"/>
          <w:color w:val="auto"/>
        </w:rPr>
        <w:t>Downgrades of our credit ratings increase our cost of borrowing and could require us to provide collateral to our counterparties, negatively impacting our available liquidity. In addition, our ability to access capital markets could continue to be limited by the downgrading of our credit ratings.</w:t>
      </w:r>
    </w:p>
    <w:p>
      <w:pPr>
        <w:spacing w:after="0" w:line="147" w:lineRule="exact"/>
        <w:rPr>
          <w:sz w:val="20"/>
          <w:szCs w:val="20"/>
          <w:color w:val="auto"/>
        </w:rPr>
      </w:pPr>
    </w:p>
    <w:p>
      <w:pPr>
        <w:jc w:val="both"/>
        <w:ind w:firstLine="338"/>
        <w:spacing w:after="0" w:line="302" w:lineRule="auto"/>
        <w:rPr>
          <w:sz w:val="20"/>
          <w:szCs w:val="20"/>
          <w:color w:val="auto"/>
        </w:rPr>
      </w:pPr>
      <w:r>
        <w:rPr>
          <w:rFonts w:ascii="Arial" w:cs="Arial" w:eastAsia="Arial" w:hAnsi="Arial"/>
          <w:sz w:val="16"/>
          <w:szCs w:val="16"/>
          <w:color w:val="auto"/>
        </w:rPr>
        <w:t>Credit rating agencies perform independent analysis when assigning credit ratings. This analysis includes a number of criteria such as, business composition, market, and operational risks, as well as various financial tests. Credit rating agencies continue to review the criteria for industry sectors and various debt ratings and may make changes to those criteria from time to time. Credit ratings are subject to revision or withdrawal at any time by the ratings agencies. As of the date of the filing of this report, we have been assigned an investment-grade credit rating by each of the three credit ratings agencies.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Difficult conditions in the global financial markets and the economy in general could negatively affect our business and results of operations.</w:t>
      </w:r>
    </w:p>
    <w:p>
      <w:pPr>
        <w:spacing w:after="0" w:line="248"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Our businesses may be negatively impacted by adverse economic conditions or future disruptions in global financial markets. Included among these potential negative impacts are industrial or economic contraction leading to reduced energy demand and lower prices for our products and services and increased difficulty in collecting amounts owed to us by our customers. If financing is not available when needed, or is available only on unfavorable terms, we may be unable to implement our business plans or otherwise take advantage of business opportunities or respond to competitive pressures. In addition, financial markets have periodically been affected by concerns over U.S. fiscal and monetary policies. These concerns, as well as actions taken by the U.S. federal government in response to these concerns, could significantly and adversely impact the global and U.S. economies and financial markets, which could negatively impact us in the manner described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in our debt agreements and the amount of our indebtedness may affect our future financial and operating flexibility.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total outstanding long-term debt (including current portion) as of December 31, 2019, was $22.3 billion.</w:t>
      </w:r>
    </w:p>
    <w:p>
      <w:pPr>
        <w:spacing w:after="0" w:line="225"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The agreements governing our indebtedness contain covenants that restrict our and our material subsidiaries’ ability to incur certain liens to support indebtedness and our ability to merge or consolidate or sell all or substantially all of our assets in certain circumstances. In addition, certain of our debt agreements contain various covenants that restrict or limit, among other things, our ability to make certain distributions during the continuation of an event of default, the ability of our subsidiaries to incur additional debt, and our, and our material subsidiaries’, ability to enter into certain affiliate transactions and certain restrictive agreements. Certain of our debt agreements also contain, and those we enter into in the future may contain, financial covenants, and other limitations with which we will need to comply.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7"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Our debt service obligations and the covenants described above could have important consequences. For example, they could:</w:t>
      </w:r>
    </w:p>
    <w:p>
      <w:pPr>
        <w:spacing w:after="0" w:line="212" w:lineRule="exact"/>
        <w:rPr>
          <w:sz w:val="20"/>
          <w:szCs w:val="20"/>
          <w:color w:val="auto"/>
        </w:rPr>
      </w:pPr>
    </w:p>
    <w:p>
      <w:pPr>
        <w:ind w:left="660" w:right="20" w:hanging="328"/>
        <w:spacing w:after="0" w:line="271"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Make it more difficult for us to satisfy our obligations with respect to our indebtedness, which could in turn result in an event of default on such indebtedness;</w:t>
      </w:r>
    </w:p>
    <w:p>
      <w:pPr>
        <w:spacing w:after="0" w:line="20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Impair our ability to obtain additional financing in the future for working capital, capital expenditures, acquisitions, general corporate purposes, or other purposes;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Diminish our ability to withstand a continued or future downturn in our business or the economy generally;</w:t>
      </w:r>
    </w:p>
    <w:p>
      <w:pPr>
        <w:spacing w:after="0" w:line="242" w:lineRule="exact"/>
        <w:rPr>
          <w:rFonts w:ascii="Arial" w:cs="Arial" w:eastAsia="Arial" w:hAnsi="Arial"/>
          <w:sz w:val="22"/>
          <w:szCs w:val="22"/>
          <w:color w:val="auto"/>
        </w:rPr>
      </w:pPr>
    </w:p>
    <w:p>
      <w:pPr>
        <w:ind w:left="660" w:hanging="328"/>
        <w:spacing w:after="0" w:line="301" w:lineRule="auto"/>
        <w:tabs>
          <w:tab w:leader="none" w:pos="660" w:val="left"/>
        </w:tabs>
        <w:numPr>
          <w:ilvl w:val="0"/>
          <w:numId w:val="27"/>
        </w:numPr>
        <w:rPr>
          <w:rFonts w:ascii="Arial" w:cs="Arial" w:eastAsia="Arial" w:hAnsi="Arial"/>
          <w:sz w:val="21"/>
          <w:szCs w:val="21"/>
          <w:color w:val="auto"/>
        </w:rPr>
      </w:pPr>
      <w:r>
        <w:rPr>
          <w:rFonts w:ascii="Arial" w:cs="Arial" w:eastAsia="Arial" w:hAnsi="Arial"/>
          <w:sz w:val="17"/>
          <w:szCs w:val="17"/>
          <w:color w:val="auto"/>
        </w:rPr>
        <w:t>Require us to dedicate a substantial portion of our cash flow from operations to debt service payments, thereby reducing the availability of cash for working capital, capital expenditures, acquisitions, the payments of dividends, general corporate purposes, or other purposes;</w:t>
      </w:r>
    </w:p>
    <w:p>
      <w:pPr>
        <w:spacing w:after="0" w:line="181" w:lineRule="exact"/>
        <w:rPr>
          <w:rFonts w:ascii="Arial" w:cs="Arial" w:eastAsia="Arial" w:hAnsi="Arial"/>
          <w:sz w:val="21"/>
          <w:szCs w:val="21"/>
          <w:color w:val="auto"/>
        </w:rPr>
      </w:pPr>
    </w:p>
    <w:p>
      <w:pPr>
        <w:ind w:left="660" w:right="20" w:hanging="328"/>
        <w:spacing w:after="0" w:line="350"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6"/>
          <w:szCs w:val="16"/>
          <w:color w:val="auto"/>
        </w:rPr>
        <w:t>Limit our flexibility in planning for, or reacting to, changes in our business and the industry in which we operate, including limiting our ability to expand or pursue our business activities and preventing us from engaging in certain transactions that might otherwise be considered beneficial to us.</w:t>
      </w:r>
    </w:p>
    <w:p>
      <w:pPr>
        <w:spacing w:after="0" w:line="115"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Our ability to comply with our debt covenants, to repay, extend, or refinance our existing debt obligations and to obtain future credit will depend primarily on our operating performance. Our ability to refinance existing debt obligations or obtain future credit will also depend upon the current conditions in the credit markets and the availability of credit generally. If we are unable to comply with these covenants, meet our debt service obligations, or obtain future credit on favorable terms, or at all, we could be forced to restructure or refinance our indebtedness, seek additional equity capital or sell assets. We may be unable to obtain financing or sell assets on satisfactory terms, or at all.</w:t>
      </w:r>
    </w:p>
    <w:p>
      <w:pPr>
        <w:spacing w:after="0" w:line="188"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Our failure to comply with the covenants in the documents governing our indebtedness could result in events of default, which could render such indebtedness due and payable. We may not have sufficient liquidity to repay our indebtedness in such circumstances. In addition, cross-default or cross-acceleration provisions in our debt agreements could cause a default or acceleration to have a wider impact on our liquidity than might otherwise arise from a default or acceleration of a single debt instrument. For more information regarding our debt agreements, please read Note 15 – Debt and Banking Arrangements of Notes to Consolidated Financial Statements.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interest rates or increases in interest rates could adversely impact our access to credit, share price, our ability to issue securities or incur debt for acquisitions or other purposes, and our ability to make cash dividends at our intended levels.</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Interest rates may increase in the future. As a result, interest rates on future credit facilities and debt offerings could be higher than current levels, causing our financing costs to increase accordingly. As with other yield-oriented securities, our share price will be impacted by the level of our dividends and implied dividend yield. The dividend yield is often used by investors to compare and rank yield-oriented securities for investment decision-making purposes. Therefore, changes in interest rates, either positive or negative, may affect the yield requirements of investors who invest in our shares, and a rising interest rate environment could have an adverse impact on our share price and our ability to issue equity or incur debt for acquisitions or other purposes and to pay cash dividends at our intended levels.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activities might not be effective and could increase the volatility of our results.</w:t>
      </w:r>
    </w:p>
    <w:p>
      <w:pPr>
        <w:spacing w:after="0" w:line="225"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In an effort to manage our financial exposure related to commodity price and market fluctuations, we have entered, and may in the future enter into contracts to hedge certain risks associated with our assets and operations. In these hedging activities, we have used, and may in the future use, fixed-price, forward, physical purchase, and sales contracts, futures, financial swaps, and option contracts traded in the over-the-counter markets or on exchanges. Nevertheless, no single hedging arrangement can adequately address all risks present in a given contract. For example, a forward contract that would be effective in hedging commodity price volatility risks would not hedge the contract’s counterparty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7"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credit or performance risk. Therefore, unhedged risks will always continue to exist. While we attempt to manage counterparty credit risk within guidelines established by our credit policy, we may not be able to successfully manage all credit risk and as such, future cash flows and results of operations could be impacted by counterparty default.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operation of our businesses might be adversely affected by regulatory proceedings, changes in government regulations or in their interpretation or implementation, or the introduction of new laws or regulations applicable to our businesses or our customers.</w:t>
      </w:r>
    </w:p>
    <w:p>
      <w:pPr>
        <w:spacing w:after="0" w:line="116" w:lineRule="exact"/>
        <w:rPr>
          <w:sz w:val="20"/>
          <w:szCs w:val="20"/>
          <w:color w:val="auto"/>
        </w:rPr>
      </w:pPr>
    </w:p>
    <w:p>
      <w:pPr>
        <w:jc w:val="both"/>
        <w:ind w:right="20" w:firstLine="338"/>
        <w:spacing w:after="0" w:line="312" w:lineRule="auto"/>
        <w:rPr>
          <w:sz w:val="20"/>
          <w:szCs w:val="20"/>
          <w:color w:val="auto"/>
        </w:rPr>
      </w:pPr>
      <w:r>
        <w:rPr>
          <w:rFonts w:ascii="Arial" w:cs="Arial" w:eastAsia="Arial" w:hAnsi="Arial"/>
          <w:sz w:val="16"/>
          <w:szCs w:val="16"/>
          <w:color w:val="auto"/>
        </w:rPr>
        <w:t>Public and regulatory scrutiny of the energy industry has resulted in the proposal and/or implementation of increased regulations. Such scrutiny has also resulted in various inquiries, investigations, and court proceedings, including litigation of energy industry matters. Both the shippers on our pipelines and regulators have rights to challenge the rates we charge under certain circumstances. Any successful challenge could materially affect our results of operations.</w:t>
      </w:r>
    </w:p>
    <w:p>
      <w:pPr>
        <w:spacing w:after="0" w:line="1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inquiries, investigations, and court proceedings are ongoing. Adverse effects may continue as a result of the uncertainty of ongoing inquiries, investigations, and court proceedings, or additional inquiries and proceedings by federal or state regulatory agencies or private plaintiffs. In addition, we cannot predict the outcome of any of these inquiries or whether these inquiries will lead to additional legal proceedings against us, civil or criminal fines and/or penalties, or other regulatory action, including legislation, which might be materially adverse to the operation of our business and our results of operations or increase our operating costs in other ways. Current legal proceedings or other matters, including environmental matters, suits, regulatory appeals, and similar matters might result in adverse decisions against us which, among other outcomes, could result in the imposition of substantial penalties and fines and could damage our reputation. The result of such adverse decisions, either individually or in the aggregate, could be material and may not be covered fully or at all by insurance.</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existing regulations, including those pertaining to financial assurances to be provided by our businesses in respect of potential asset decommissioning and abandonment activities, might be revised, reinterpreted, or otherwise enforced in a manner which differs from prior regulatory action. New laws and regulations, including those pertaining to oil and gas hedging and cash collateral requirements, might also be adopted or become applicable to us, our customers, or our business activities. If new laws or regulations are imposed relating to oil and gas extraction, or if additional or revised levels of reporting, regulation, or permitting moratoria are required or imposed, including those related to hydraulic fracturing, the volumes of natural gas and other products that we transport, gather, process, and treat could decline, our compliance costs could increase, and our results of operations could be adversely affected.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natural gas sales, transportation, and storage operations of our gas pipelines are subject to regulation by the FERC, which could have an adverse impact on their ability to establish transportation and storage rates that would allow them to recover the full cost of operating their respective pipelines, including a reasonable rate of return.</w:t>
      </w:r>
    </w:p>
    <w:p>
      <w:pPr>
        <w:spacing w:after="0" w:line="12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In addition to regulation by other federal, state, and local regulatory authorities, interstate pipeline transportation and storage service is subject to regulation by the FERC. Federal regulation extends to such matters as:</w:t>
      </w:r>
    </w:p>
    <w:p>
      <w:pPr>
        <w:spacing w:after="0" w:line="12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Transportation and sale for resale of natural gas in interstate commerce;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Rates, operating terms, types of services, and conditions of service;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Certification and construction of new interstate pipelines and storage facilities;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Acquisition, extension, disposition, or abandonment of existing interstate pipelines and storage facilities;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Accounts and records;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Depreciation and amortization policies;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57" w:right="239" w:bottom="1440" w:gutter="0" w:footer="0" w:header="0"/>
        </w:sectPr>
      </w:pPr>
    </w:p>
    <w:bookmarkStart w:id="36" w:name="page37"/>
    <w:bookmarkEnd w:id="36"/>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Relationships with affiliated companies who are involved in marketing functions of the natural gas business;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Market manipulation in connection with interstate sales, purchases, or transportation of natural gas.</w:t>
      </w:r>
    </w:p>
    <w:p>
      <w:pPr>
        <w:spacing w:after="0" w:line="215"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Regulatory or administrative actions in these areas, including successful complaints or protests against the rates of the gas pipelines, can affect our business in many ways, including decreasing tariff rates and revenues, decreasing volumes in our pipelines, increasing our costs, and otherwise altering the profitability of our pipeline business.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operations are subject to environmental laws and regulations, including laws and regulations relating to climate change and greenhouse gas emissions, which may expose us to significant costs, liabilities, and expenditures that could exceed our expectations.</w:t>
      </w:r>
    </w:p>
    <w:p>
      <w:pPr>
        <w:spacing w:after="0" w:line="93"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Our operations are subject to extensive federal, state, tribal, and local laws and regulations governing environmental protection, endangered and threatened species, the discharge of materials into the environment, and the security of industrial facilities. Substantial costs, liabilities, delays, and other significant issues related to environmental laws and regulations are inherent in the gathering, transportation, storage, processing, and treating of natural gas, fractionation, transportation, and storage of NGLs, and crude oil transportation and production handling as well as waste disposal practices and construction activities. Failure to comply with these laws, regulations, and permits may result in the assessment of administrative, civil and/or criminal penalties, the imposition of remedial obligations, the imposition of stricter conditions on or revocation of permits, the issuance of injunctions limiting or preventing some or all of our operations, and delays or denials in granting permits.</w:t>
      </w:r>
    </w:p>
    <w:p>
      <w:pPr>
        <w:spacing w:after="0" w:line="178"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Joint and several, strict liability may be incurred without regard to fault under certain environmental laws and regulations, for the remediation of contaminated areas and in connection with spills or releases of materials associated with natural gas, oil, and wastes on, under or from our properties and facilities. Private parties, including the owners of properties through which our pipeline and gathering systems pass and facilities where our wastes are taken for reclamation or disposal, may have the right to pursue legal actions to enforce compliance as well as to seek damages for noncompliance with environmental laws and regulations or for personal injury or property damage arising from our operations. Some sites at which we operate are located near current or former third-party hydrocarbon storage and processing or oil and natural gas operations or facilities, and there is a risk that contamination has migrated from those sites to ours.</w:t>
      </w:r>
    </w:p>
    <w:p>
      <w:pPr>
        <w:spacing w:after="0" w:line="189" w:lineRule="exact"/>
        <w:rPr>
          <w:sz w:val="20"/>
          <w:szCs w:val="20"/>
          <w:color w:val="auto"/>
        </w:rPr>
      </w:pPr>
    </w:p>
    <w:p>
      <w:pPr>
        <w:jc w:val="both"/>
        <w:ind w:firstLine="338"/>
        <w:spacing w:after="0" w:line="276" w:lineRule="auto"/>
        <w:rPr>
          <w:sz w:val="20"/>
          <w:szCs w:val="20"/>
          <w:color w:val="auto"/>
        </w:rPr>
      </w:pPr>
      <w:r>
        <w:rPr>
          <w:rFonts w:ascii="Arial" w:cs="Arial" w:eastAsia="Arial" w:hAnsi="Arial"/>
          <w:sz w:val="17"/>
          <w:szCs w:val="17"/>
          <w:color w:val="auto"/>
        </w:rPr>
        <w:t>We are generally responsible for all liabilities associated with the environmental condition of our facilities and assets, whether acquired or developed, regardless of when the liabilities arose and whether they are known or unknown. In connection with certain acquisitions and divestitures, we could acquire, or be required to provide indemnification against, environmental liabilities that could expose us to material losses, which may not be covered by insurance. In addition, the steps we could be required to take to bring certain facilities into compliance could be prohibitively expensive, and we might be required to shut down, divest or alter the operation of those facilities, which might cause us to incur losses.</w:t>
      </w:r>
    </w:p>
    <w:p>
      <w:pPr>
        <w:spacing w:after="0" w:line="173"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In addition, climate change regulations and the costs associated with the regulation of emissions of greenhouse gases have the potential to affect our business. Regulatory actions by the Environmental Protection Agency or the passage of new climate change laws or regulations could result in increased costs to operate and maintain our facilities, install new emission controls on our facilities, or administer and manage our GHG compliance program. We believe it is possible that future governmental legislation and/or regulation may require us either to limit GHG emissions associated with our operations or to purchase allowances for such emissions. However, we cannot predict precisely what form these future regulations might take, the stringency of any such regulations or when they might become effective. Several legislative bills have been introduced in the United States Congress that would require carbon dioxide emission reductions. Previously considered proposals have included, among other things, limitations on the amount of GHGs that can be emitted (so called “caps”) together with systems of permitted emissions allowances. These proposals could require us to reduce emissions or to purchase allowances for such emissions.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62" w:right="239" w:bottom="1440" w:gutter="0" w:footer="0" w:header="0"/>
        </w:sectPr>
      </w:pPr>
    </w:p>
    <w:bookmarkStart w:id="37" w:name="page38"/>
    <w:bookmarkEnd w:id="37"/>
    <w:p>
      <w:pPr>
        <w:jc w:val="both"/>
        <w:ind w:firstLine="338"/>
        <w:spacing w:after="0" w:line="297" w:lineRule="auto"/>
        <w:rPr>
          <w:sz w:val="20"/>
          <w:szCs w:val="20"/>
          <w:color w:val="auto"/>
        </w:rPr>
      </w:pPr>
      <w:r>
        <w:rPr>
          <w:rFonts w:ascii="Arial" w:cs="Arial" w:eastAsia="Arial" w:hAnsi="Arial"/>
          <w:sz w:val="16"/>
          <w:szCs w:val="16"/>
          <w:color w:val="auto"/>
        </w:rPr>
        <w:t>In addition to activities on the federal level, state and regional initiatives could also lead to the regulation of GHG emissions sooner than and/or independent of federal regulation. These regulations could be more stringent than any federal legislation that may be adopted. Future legislation and/or regulation designed to reduce GHG emissions could make some of our activities uneconomic to maintain or operate. We continue to monitor legislative and regulatory developments in this area and otherwise take efforts to limit and reduce GHG emissions from our facilities. Although the regulation of GHG emissions may have a material impact on our operations and rates, we believe it is premature to attempt to quantify the potential costs of the impacts.</w:t>
      </w:r>
    </w:p>
    <w:p>
      <w:pPr>
        <w:spacing w:after="0" w:line="104"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If we are unable to recover or pass through a significant level of our costs related to complying with climate change regulatory requirements imposed on us, it could have a material adverse effect on our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Please read “Business” for a description of the location and general character of our principal physical properties. We generally own our facilities, although a substantial portion of our pipeline and gathering facilities is constructed and maintained pursuant to rights-of-way, easements, permits, licenses, or consents on and across properties owned by others.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reportable legal proceedings involving governmental authorities under federal, state, and local laws regulating the discharge of materials into the environment are described below. While it is not possible for us to predict the final outcome of the proceedings which are still pending, we do not anticipate a material effect on our consolidated financial position if we receive an unfavorable outcome in any one or more of such proceedings.</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13, 2013, an explosion and fire occurred at our formerly owned Geismar olefins plant and rendered the facility temporarily inoperable (Geismar Incident). On October 21, 2013, the EPA, Region 6, issued an Inspection Report pursuant to the Clean Air Act’s Risk Management Program following its inspection of the facility on June 24 through June 28, 2013. The report notes the EPA’s preliminary determinations about the facility’s documentation regarding process safety, process hazard analysis, as well as operating procedures, employee training, and other matters. On June 16, 2014, we received a request for information related to the Geismar Incident from the EPA under Section 114 of the Clean Air Act to which we responded on August 13, 2014. We have worked with the agency to resolve these matters and in the second half of 2019, entered into a Stipulation of Settlement, which includes a penalty of $750,000 that will be due within thirty days of the Court’s entry of the settlement. The Court set a fairness hearing on the settlement for December 11, 2019. Prior to the scheduled hearing, the Court continued the hearing without setting a new date.</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5, 2017, we entered into a Consent Order with the Georgia Department of Natural Resources, Environmental Protection Division (GADNR) pertaining to alleged violations of the Georgia Water Quality Control Act and associated rules arising from a permit issued by GADNR for construction of Transco’s Dalton expansion project. Pursuant to the Consent Order, we paid a fine of $168,750 and agreed to a Corrective Action Plan.</w:t>
      </w:r>
    </w:p>
    <w:p>
      <w:pPr>
        <w:spacing w:after="0" w:line="1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January 19, 2016, we received a Notice of Noncompliance with certain Leak Detection and Repair (LDAR) regulations under the Clean Air Act at our Moundsville Fractionator Facility from the EPA, Region 3. Subsequently, the EPA alleged similar violations of certain LDAR regulations at our Oak Grove Gas Plant. On March 19, 2018, we received a Notice of Violation of certain LDAR regulations at our former Ignacio Gas Plant from the EPA, Region 8, following an on-site inspection of the facility. On March 20, 2018, we also received a Notice of Violation of certain LDAR regulations at our Parachute Creek Gas Plant from the EPA, Region 8. All Notices were subsequently referred to a common attorney at the Department of Justice (DOJ). We are exploring global resolution of the claims at these facilities, as well as alleged violations at certain other facilities, with the DOJ. Global resolution would include both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7"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payment of a civil penalty and an injunctive relief component. We continue to work with the DOJ and the other agencies to resolve these claims, whether individually or globally, and negotiations are ongoing.</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environmental matters called for by this Item are described under the caption “</w:t>
      </w:r>
      <w:r>
        <w:rPr>
          <w:rFonts w:ascii="Arial" w:cs="Arial" w:eastAsia="Arial" w:hAnsi="Arial"/>
          <w:sz w:val="18"/>
          <w:szCs w:val="18"/>
          <w:i w:val="1"/>
          <w:iCs w:val="1"/>
          <w:color w:val="auto"/>
        </w:rPr>
        <w:t>Environmental Matters</w:t>
      </w:r>
      <w:r>
        <w:rPr>
          <w:rFonts w:ascii="Arial" w:cs="Arial" w:eastAsia="Arial" w:hAnsi="Arial"/>
          <w:sz w:val="18"/>
          <w:szCs w:val="18"/>
          <w:color w:val="auto"/>
        </w:rPr>
        <w:t>” in Note 19 – Contingent Liabilities and Commitments of Notes to Consolidated Financial Statements included under Part II, Item 8 Financial Statements of this report, which information is incorporated by reference into this Item.</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litigation</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additional information called for by this Item is provided in Note 19 – Contingent Liabilities and Commitments of Notes to Consolidated Financial Statements included under Part II, Item 8 Financial Statements of this report, which information is incorporated by reference into this Item.</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3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name, title, age, period of service, and recent business experience of each of our executive officers as of February 24, 2020, are listed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 and Position</w:t>
            </w:r>
          </w:p>
        </w:tc>
        <w:tc>
          <w:tcPr>
            <w:tcW w:w="640" w:type="dxa"/>
            <w:vAlign w:val="bottom"/>
            <w:tcBorders>
              <w:bottom w:val="single" w:sz="8" w:color="auto"/>
            </w:tcBorders>
          </w:tcPr>
          <w:p>
            <w:pPr>
              <w:jc w:val="center"/>
              <w:ind w:left="20"/>
              <w:spacing w:after="0"/>
              <w:rPr>
                <w:sz w:val="20"/>
                <w:szCs w:val="20"/>
                <w:color w:val="auto"/>
              </w:rPr>
            </w:pPr>
            <w:r>
              <w:rPr>
                <w:rFonts w:ascii="Arial" w:cs="Arial" w:eastAsia="Arial" w:hAnsi="Arial"/>
                <w:sz w:val="15"/>
                <w:szCs w:val="15"/>
                <w:b w:val="1"/>
                <w:bCs w:val="1"/>
                <w:color w:val="auto"/>
                <w:w w:val="91"/>
              </w:rPr>
              <w:t>Age</w:t>
            </w:r>
          </w:p>
        </w:tc>
        <w:tc>
          <w:tcPr>
            <w:tcW w:w="68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Business Experience in Past Five Years</w:t>
            </w: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Alan S. Armstrong</w:t>
            </w:r>
          </w:p>
        </w:tc>
        <w:tc>
          <w:tcPr>
            <w:tcW w:w="6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rPr>
              <w:t>57</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2011 to present</w:t>
            </w:r>
          </w:p>
        </w:tc>
        <w:tc>
          <w:tcPr>
            <w:tcW w:w="5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Director, Chief Executive Officer, and President, The Williams</w:t>
            </w:r>
          </w:p>
        </w:tc>
      </w:tr>
      <w:tr>
        <w:trPr>
          <w:trHeight w:val="219"/>
        </w:trPr>
        <w:tc>
          <w:tcPr>
            <w:tcW w:w="3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Companies, Inc.</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Director, Chief Executive Officer, and President</w:t>
            </w: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2015 to 2018</w:t>
            </w:r>
          </w:p>
        </w:tc>
        <w:tc>
          <w:tcPr>
            <w:tcW w:w="5280" w:type="dxa"/>
            <w:vAlign w:val="bottom"/>
          </w:tcPr>
          <w:p>
            <w:pPr>
              <w:ind w:left="400"/>
              <w:spacing w:after="0"/>
              <w:rPr>
                <w:sz w:val="20"/>
                <w:szCs w:val="20"/>
                <w:color w:val="auto"/>
              </w:rPr>
            </w:pPr>
            <w:r>
              <w:rPr>
                <w:rFonts w:ascii="Arial" w:cs="Arial" w:eastAsia="Arial" w:hAnsi="Arial"/>
                <w:sz w:val="16"/>
                <w:szCs w:val="16"/>
                <w:color w:val="auto"/>
              </w:rPr>
              <w:t>Chairman of the Board, WPZ</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37"/>
        </w:trPr>
        <w:tc>
          <w:tcPr>
            <w:tcW w:w="3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2014 to 2018</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Chief Executive Officer, WPZ</w:t>
            </w:r>
          </w:p>
        </w:tc>
      </w:tr>
      <w:tr>
        <w:trPr>
          <w:trHeight w:val="224"/>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2012 to 2018</w:t>
            </w:r>
          </w:p>
        </w:tc>
        <w:tc>
          <w:tcPr>
            <w:tcW w:w="5280" w:type="dxa"/>
            <w:vAlign w:val="bottom"/>
          </w:tcPr>
          <w:p>
            <w:pPr>
              <w:ind w:left="400"/>
              <w:spacing w:after="0"/>
              <w:rPr>
                <w:sz w:val="20"/>
                <w:szCs w:val="20"/>
                <w:color w:val="auto"/>
              </w:rPr>
            </w:pPr>
            <w:r>
              <w:rPr>
                <w:rFonts w:ascii="Arial" w:cs="Arial" w:eastAsia="Arial" w:hAnsi="Arial"/>
                <w:sz w:val="16"/>
                <w:szCs w:val="16"/>
                <w:color w:val="auto"/>
              </w:rPr>
              <w:t>Director of the general partner, WPZ</w:t>
            </w:r>
          </w:p>
        </w:tc>
      </w:tr>
      <w:tr>
        <w:trPr>
          <w:trHeight w:val="54"/>
        </w:trPr>
        <w:tc>
          <w:tcPr>
            <w:tcW w:w="3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Walter J. Bennett</w:t>
            </w:r>
          </w:p>
        </w:tc>
        <w:tc>
          <w:tcPr>
            <w:tcW w:w="6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rPr>
              <w:t>50</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 to present</w:t>
            </w:r>
          </w:p>
        </w:tc>
        <w:tc>
          <w:tcPr>
            <w:tcW w:w="52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3"/>
              </w:rPr>
              <w:t>Senior Vice President Gathering &amp; Processing, The Williams Companies,</w:t>
            </w:r>
          </w:p>
        </w:tc>
      </w:tr>
      <w:tr>
        <w:trPr>
          <w:trHeight w:val="219"/>
        </w:trPr>
        <w:tc>
          <w:tcPr>
            <w:tcW w:w="3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Inc.</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Senior Vice President Gathering &amp; Processing</w:t>
            </w: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2015 to 2019</w:t>
            </w:r>
          </w:p>
        </w:tc>
        <w:tc>
          <w:tcPr>
            <w:tcW w:w="5280" w:type="dxa"/>
            <w:vAlign w:val="bottom"/>
          </w:tcPr>
          <w:p>
            <w:pPr>
              <w:ind w:left="400"/>
              <w:spacing w:after="0"/>
              <w:rPr>
                <w:sz w:val="20"/>
                <w:szCs w:val="20"/>
                <w:color w:val="auto"/>
              </w:rPr>
            </w:pPr>
            <w:r>
              <w:rPr>
                <w:rFonts w:ascii="Arial" w:cs="Arial" w:eastAsia="Arial" w:hAnsi="Arial"/>
                <w:sz w:val="16"/>
                <w:szCs w:val="16"/>
                <w:color w:val="auto"/>
              </w:rPr>
              <w:t>Senior Vice President – West, The Williams Companies, Inc.</w:t>
            </w:r>
          </w:p>
        </w:tc>
      </w:tr>
      <w:tr>
        <w:trPr>
          <w:trHeight w:val="47"/>
        </w:trPr>
        <w:tc>
          <w:tcPr>
            <w:tcW w:w="3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2013 to 2018</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Senior Vice President – West of the general partner, WPZ</w:t>
            </w:r>
          </w:p>
        </w:tc>
      </w:tr>
      <w:tr>
        <w:trPr>
          <w:trHeight w:val="224"/>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2017</w:t>
            </w:r>
          </w:p>
        </w:tc>
        <w:tc>
          <w:tcPr>
            <w:tcW w:w="5280" w:type="dxa"/>
            <w:vAlign w:val="bottom"/>
          </w:tcPr>
          <w:p>
            <w:pPr>
              <w:ind w:left="400"/>
              <w:spacing w:after="0"/>
              <w:rPr>
                <w:sz w:val="20"/>
                <w:szCs w:val="20"/>
                <w:color w:val="auto"/>
              </w:rPr>
            </w:pPr>
            <w:r>
              <w:rPr>
                <w:rFonts w:ascii="Arial" w:cs="Arial" w:eastAsia="Arial" w:hAnsi="Arial"/>
                <w:sz w:val="16"/>
                <w:szCs w:val="16"/>
                <w:color w:val="auto"/>
              </w:rPr>
              <w:t>Director of the general partner, WPZ</w:t>
            </w:r>
          </w:p>
        </w:tc>
      </w:tr>
      <w:tr>
        <w:trPr>
          <w:trHeight w:val="54"/>
        </w:trPr>
        <w:tc>
          <w:tcPr>
            <w:tcW w:w="3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John D. Chandler</w:t>
            </w:r>
          </w:p>
        </w:tc>
        <w:tc>
          <w:tcPr>
            <w:tcW w:w="640" w:type="dxa"/>
            <w:vAlign w:val="bottom"/>
            <w:shd w:val="clear" w:color="auto" w:fill="CCEEFF"/>
          </w:tcPr>
          <w:p>
            <w:pPr>
              <w:jc w:val="center"/>
              <w:ind w:left="20"/>
              <w:spacing w:after="0"/>
              <w:rPr>
                <w:sz w:val="20"/>
                <w:szCs w:val="20"/>
                <w:color w:val="auto"/>
              </w:rPr>
            </w:pPr>
            <w:r>
              <w:rPr>
                <w:rFonts w:ascii="Arial" w:cs="Arial" w:eastAsia="Arial" w:hAnsi="Arial"/>
                <w:sz w:val="16"/>
                <w:szCs w:val="16"/>
                <w:color w:val="auto"/>
              </w:rPr>
              <w:t>50</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2017 to present</w:t>
            </w:r>
          </w:p>
        </w:tc>
        <w:tc>
          <w:tcPr>
            <w:tcW w:w="5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Senior Vice President and Chief Financial Officer, The Williams</w:t>
            </w:r>
          </w:p>
        </w:tc>
      </w:tr>
      <w:tr>
        <w:trPr>
          <w:trHeight w:val="219"/>
        </w:trPr>
        <w:tc>
          <w:tcPr>
            <w:tcW w:w="39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Companies, Inc.</w:t>
            </w:r>
          </w:p>
        </w:tc>
      </w:tr>
      <w:tr>
        <w:trPr>
          <w:trHeight w:val="224"/>
        </w:trPr>
        <w:tc>
          <w:tcPr>
            <w:tcW w:w="3940" w:type="dxa"/>
            <w:vAlign w:val="bottom"/>
          </w:tcPr>
          <w:p>
            <w:pPr>
              <w:ind w:left="40"/>
              <w:spacing w:after="0"/>
              <w:rPr>
                <w:sz w:val="20"/>
                <w:szCs w:val="20"/>
                <w:color w:val="auto"/>
              </w:rPr>
            </w:pPr>
            <w:r>
              <w:rPr>
                <w:rFonts w:ascii="Arial" w:cs="Arial" w:eastAsia="Arial" w:hAnsi="Arial"/>
                <w:sz w:val="16"/>
                <w:szCs w:val="16"/>
                <w:color w:val="auto"/>
              </w:rPr>
              <w:t>Senior Vice President and Chief Financial Officer</w:t>
            </w: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2017 to 2018</w:t>
            </w:r>
          </w:p>
        </w:tc>
        <w:tc>
          <w:tcPr>
            <w:tcW w:w="5280" w:type="dxa"/>
            <w:vAlign w:val="bottom"/>
          </w:tcPr>
          <w:p>
            <w:pPr>
              <w:ind w:left="400"/>
              <w:spacing w:after="0"/>
              <w:rPr>
                <w:sz w:val="20"/>
                <w:szCs w:val="20"/>
                <w:color w:val="auto"/>
              </w:rPr>
            </w:pPr>
            <w:r>
              <w:rPr>
                <w:rFonts w:ascii="Arial" w:cs="Arial" w:eastAsia="Arial" w:hAnsi="Arial"/>
                <w:sz w:val="16"/>
                <w:szCs w:val="16"/>
                <w:color w:val="auto"/>
              </w:rPr>
              <w:t>Director of the general partner, WPZ</w:t>
            </w:r>
          </w:p>
        </w:tc>
      </w:tr>
      <w:tr>
        <w:trPr>
          <w:trHeight w:val="47"/>
        </w:trPr>
        <w:tc>
          <w:tcPr>
            <w:tcW w:w="3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82"/>
        </w:trPr>
        <w:tc>
          <w:tcPr>
            <w:tcW w:w="39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2009 to 2014</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9"/>
              </w:rPr>
              <w:t>Senior Vice President and Chief Financial Officer, Magellan GP, LLC</w:t>
            </w:r>
          </w:p>
        </w:tc>
      </w:tr>
      <w:tr>
        <w:trPr>
          <w:trHeight w:val="220"/>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Debbie Cowan</w:t>
            </w:r>
          </w:p>
        </w:tc>
        <w:tc>
          <w:tcPr>
            <w:tcW w:w="64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color w:val="auto"/>
              </w:rPr>
              <w:t>42</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2018 to present</w:t>
            </w:r>
          </w:p>
        </w:tc>
        <w:tc>
          <w:tcPr>
            <w:tcW w:w="52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w w:val="97"/>
              </w:rPr>
              <w:t>Senior Vice President – Chief Human Resources Officer, The Williams</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Companies, Inc.</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2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Senior Vice President – Chief Human Resources Officer</w:t>
            </w:r>
          </w:p>
        </w:tc>
        <w:tc>
          <w:tcPr>
            <w:tcW w:w="640" w:type="dxa"/>
            <w:vAlign w:val="bottom"/>
            <w:shd w:val="clear" w:color="auto" w:fill="CCEEFF"/>
          </w:tcPr>
          <w:p>
            <w:pPr>
              <w:spacing w:after="0"/>
              <w:rPr>
                <w:sz w:val="19"/>
                <w:szCs w:val="19"/>
                <w:color w:val="auto"/>
              </w:rPr>
            </w:pP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2013 to 2018</w:t>
            </w:r>
          </w:p>
        </w:tc>
        <w:tc>
          <w:tcPr>
            <w:tcW w:w="52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4"/>
              </w:rPr>
              <w:t>Global Vice President of Human Resources, Koch Chemical Technology</w:t>
            </w:r>
          </w:p>
        </w:tc>
      </w:tr>
      <w:tr>
        <w:trPr>
          <w:trHeight w:val="251"/>
        </w:trPr>
        <w:tc>
          <w:tcPr>
            <w:tcW w:w="3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Group, LLC</w:t>
            </w:r>
          </w:p>
        </w:tc>
      </w:tr>
      <w:tr>
        <w:trPr>
          <w:trHeight w:val="220"/>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Micheal G. Dunn</w:t>
            </w:r>
          </w:p>
        </w:tc>
        <w:tc>
          <w:tcPr>
            <w:tcW w:w="64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color w:val="auto"/>
              </w:rPr>
              <w:t>54</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2017 to present</w:t>
            </w:r>
          </w:p>
        </w:tc>
        <w:tc>
          <w:tcPr>
            <w:tcW w:w="52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Executive Vice President and Chief Operating Officer, The Williams</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Companies, Inc.</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Executive Vice President and Chief Operating Officer</w:t>
            </w: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2017 to 2018</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Director of the general partner, WPZ</w:t>
            </w:r>
          </w:p>
        </w:tc>
      </w:tr>
      <w:tr>
        <w:trPr>
          <w:trHeight w:val="220"/>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2015 to 2016</w:t>
            </w:r>
          </w:p>
        </w:tc>
        <w:tc>
          <w:tcPr>
            <w:tcW w:w="5280" w:type="dxa"/>
            <w:vAlign w:val="bottom"/>
          </w:tcPr>
          <w:p>
            <w:pPr>
              <w:ind w:left="400"/>
              <w:spacing w:after="0"/>
              <w:rPr>
                <w:sz w:val="20"/>
                <w:szCs w:val="20"/>
                <w:color w:val="auto"/>
              </w:rPr>
            </w:pPr>
            <w:r>
              <w:rPr>
                <w:rFonts w:ascii="Arial" w:cs="Arial" w:eastAsia="Arial" w:hAnsi="Arial"/>
                <w:sz w:val="16"/>
                <w:szCs w:val="16"/>
                <w:color w:val="auto"/>
              </w:rPr>
              <w:t>President / Executive Vice President, Questar Pipeline / Questar</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Corporation</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82"/>
        </w:trPr>
        <w:tc>
          <w:tcPr>
            <w:tcW w:w="39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2010 to 2015</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President and Chief Executive Officer, PacifiCorp Energy</w:t>
            </w:r>
          </w:p>
        </w:tc>
      </w:tr>
      <w:tr>
        <w:trPr>
          <w:trHeight w:val="220"/>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Scott A. Hallam</w:t>
            </w:r>
          </w:p>
        </w:tc>
        <w:tc>
          <w:tcPr>
            <w:tcW w:w="640" w:type="dxa"/>
            <w:vAlign w:val="bottom"/>
            <w:tcBorders>
              <w:top w:val="single" w:sz="8" w:color="auto"/>
            </w:tcBorders>
          </w:tcPr>
          <w:p>
            <w:pPr>
              <w:jc w:val="center"/>
              <w:ind w:left="20"/>
              <w:spacing w:after="0"/>
              <w:rPr>
                <w:sz w:val="20"/>
                <w:szCs w:val="20"/>
                <w:color w:val="auto"/>
              </w:rPr>
            </w:pPr>
            <w:r>
              <w:rPr>
                <w:rFonts w:ascii="Arial" w:cs="Arial" w:eastAsia="Arial" w:hAnsi="Arial"/>
                <w:sz w:val="16"/>
                <w:szCs w:val="16"/>
                <w:color w:val="auto"/>
              </w:rPr>
              <w:t>43</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2020 to present</w:t>
            </w:r>
          </w:p>
        </w:tc>
        <w:tc>
          <w:tcPr>
            <w:tcW w:w="52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Senior Vice President Transmission &amp; Gulf of Mexico, The Williams</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Companies, Inc.</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Vice President Transmission &amp; Gulf of Mexico</w:t>
            </w: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Senior Vice President – Atlantic-Gulf, The Williams Companies, Inc.</w:t>
            </w:r>
          </w:p>
        </w:tc>
      </w:tr>
      <w:tr>
        <w:trPr>
          <w:trHeight w:val="224"/>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2017 to 2019</w:t>
            </w:r>
          </w:p>
        </w:tc>
        <w:tc>
          <w:tcPr>
            <w:tcW w:w="5280" w:type="dxa"/>
            <w:vAlign w:val="bottom"/>
          </w:tcPr>
          <w:p>
            <w:pPr>
              <w:ind w:left="400"/>
              <w:spacing w:after="0"/>
              <w:rPr>
                <w:sz w:val="20"/>
                <w:szCs w:val="20"/>
                <w:color w:val="auto"/>
              </w:rPr>
            </w:pPr>
            <w:r>
              <w:rPr>
                <w:rFonts w:ascii="Arial" w:cs="Arial" w:eastAsia="Arial" w:hAnsi="Arial"/>
                <w:sz w:val="16"/>
                <w:szCs w:val="16"/>
                <w:color w:val="auto"/>
              </w:rPr>
              <w:t>Vice President GM Atlantic-Gulf, The Williams Companies, Inc.</w:t>
            </w:r>
          </w:p>
        </w:tc>
      </w:tr>
      <w:tr>
        <w:trPr>
          <w:trHeight w:val="47"/>
        </w:trPr>
        <w:tc>
          <w:tcPr>
            <w:tcW w:w="3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528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2015 to 2017</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Vice President Northeast OA, The Williams Companies, Inc.</w:t>
            </w:r>
          </w:p>
        </w:tc>
      </w:tr>
      <w:tr>
        <w:trPr>
          <w:trHeight w:val="224"/>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2013 to 2015</w:t>
            </w:r>
          </w:p>
        </w:tc>
        <w:tc>
          <w:tcPr>
            <w:tcW w:w="5280" w:type="dxa"/>
            <w:vAlign w:val="bottom"/>
          </w:tcPr>
          <w:p>
            <w:pPr>
              <w:ind w:left="400"/>
              <w:spacing w:after="0"/>
              <w:rPr>
                <w:sz w:val="20"/>
                <w:szCs w:val="20"/>
                <w:color w:val="auto"/>
              </w:rPr>
            </w:pPr>
            <w:r>
              <w:rPr>
                <w:rFonts w:ascii="Arial" w:cs="Arial" w:eastAsia="Arial" w:hAnsi="Arial"/>
                <w:sz w:val="16"/>
                <w:szCs w:val="16"/>
                <w:color w:val="auto"/>
              </w:rPr>
              <w:t>General Manager – Utica, ACMP</w:t>
            </w:r>
          </w:p>
        </w:tc>
      </w:tr>
      <w:tr>
        <w:trPr>
          <w:trHeight w:val="54"/>
        </w:trPr>
        <w:tc>
          <w:tcPr>
            <w:tcW w:w="3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r>
        <w:trPr>
          <w:trHeight w:val="23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John E. Poarch</w:t>
            </w:r>
          </w:p>
        </w:tc>
        <w:tc>
          <w:tcPr>
            <w:tcW w:w="640" w:type="dxa"/>
            <w:vAlign w:val="bottom"/>
            <w:tcBorders>
              <w:bottom w:val="single" w:sz="8" w:color="CCEEFF"/>
            </w:tcBorders>
            <w:shd w:val="clear" w:color="auto" w:fill="CCEEFF"/>
          </w:tcPr>
          <w:p>
            <w:pPr>
              <w:jc w:val="center"/>
              <w:ind w:left="20"/>
              <w:spacing w:after="0"/>
              <w:rPr>
                <w:sz w:val="20"/>
                <w:szCs w:val="20"/>
                <w:color w:val="auto"/>
              </w:rPr>
            </w:pPr>
            <w:r>
              <w:rPr>
                <w:rFonts w:ascii="Arial" w:cs="Arial" w:eastAsia="Arial" w:hAnsi="Arial"/>
                <w:sz w:val="16"/>
                <w:szCs w:val="16"/>
                <w:color w:val="auto"/>
              </w:rPr>
              <w:t>54</w:t>
            </w: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2020 to present</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6"/>
              </w:rPr>
              <w:t>Senior Vice President Project Execution, The Williams Companies, Inc.</w:t>
            </w:r>
          </w:p>
        </w:tc>
      </w:tr>
      <w:tr>
        <w:trPr>
          <w:trHeight w:val="220"/>
        </w:trPr>
        <w:tc>
          <w:tcPr>
            <w:tcW w:w="3940" w:type="dxa"/>
            <w:vAlign w:val="bottom"/>
          </w:tcPr>
          <w:p>
            <w:pPr>
              <w:ind w:left="40"/>
              <w:spacing w:after="0"/>
              <w:rPr>
                <w:sz w:val="20"/>
                <w:szCs w:val="20"/>
                <w:color w:val="auto"/>
              </w:rPr>
            </w:pPr>
            <w:r>
              <w:rPr>
                <w:rFonts w:ascii="Arial" w:cs="Arial" w:eastAsia="Arial" w:hAnsi="Arial"/>
                <w:sz w:val="16"/>
                <w:szCs w:val="16"/>
                <w:color w:val="auto"/>
              </w:rPr>
              <w:t>Senior Vice President Project Execution</w:t>
            </w: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2017 to 2019</w:t>
            </w:r>
          </w:p>
        </w:tc>
        <w:tc>
          <w:tcPr>
            <w:tcW w:w="5280" w:type="dxa"/>
            <w:vAlign w:val="bottom"/>
          </w:tcPr>
          <w:p>
            <w:pPr>
              <w:ind w:left="400"/>
              <w:spacing w:after="0"/>
              <w:rPr>
                <w:sz w:val="20"/>
                <w:szCs w:val="20"/>
                <w:color w:val="auto"/>
              </w:rPr>
            </w:pPr>
            <w:r>
              <w:rPr>
                <w:rFonts w:ascii="Arial" w:cs="Arial" w:eastAsia="Arial" w:hAnsi="Arial"/>
                <w:sz w:val="16"/>
                <w:szCs w:val="16"/>
                <w:color w:val="auto"/>
                <w:w w:val="94"/>
              </w:rPr>
              <w:t>Senior Vice President – Engineering Services, The Williams Companies,</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Inc.</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2017</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Vice President – Commercial - West, The Williams Companies, Inc.</w:t>
            </w:r>
          </w:p>
        </w:tc>
      </w:tr>
      <w:tr>
        <w:trPr>
          <w:trHeight w:val="220"/>
        </w:trPr>
        <w:tc>
          <w:tcPr>
            <w:tcW w:w="3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2015 to 2017</w:t>
            </w:r>
          </w:p>
        </w:tc>
        <w:tc>
          <w:tcPr>
            <w:tcW w:w="5280" w:type="dxa"/>
            <w:vAlign w:val="bottom"/>
          </w:tcPr>
          <w:p>
            <w:pPr>
              <w:ind w:left="400"/>
              <w:spacing w:after="0"/>
              <w:rPr>
                <w:sz w:val="20"/>
                <w:szCs w:val="20"/>
                <w:color w:val="auto"/>
              </w:rPr>
            </w:pPr>
            <w:r>
              <w:rPr>
                <w:rFonts w:ascii="Arial" w:cs="Arial" w:eastAsia="Arial" w:hAnsi="Arial"/>
                <w:sz w:val="16"/>
                <w:szCs w:val="16"/>
                <w:color w:val="auto"/>
                <w:w w:val="99"/>
              </w:rPr>
              <w:t>Vice President – Commercial &amp; Business Development, The Williams</w:t>
            </w:r>
          </w:p>
        </w:tc>
      </w:tr>
      <w:tr>
        <w:trPr>
          <w:trHeight w:val="206"/>
        </w:trPr>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Companies, Inc.</w:t>
            </w:r>
          </w:p>
        </w:tc>
      </w:tr>
      <w:tr>
        <w:trPr>
          <w:trHeight w:val="33"/>
        </w:trPr>
        <w:tc>
          <w:tcPr>
            <w:tcW w:w="3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2011 to 2015</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General Manager – Eagle Ford, ACMP</w:t>
            </w:r>
          </w:p>
        </w:tc>
      </w:tr>
      <w:tr>
        <w:trPr>
          <w:trHeight w:val="27"/>
        </w:trPr>
        <w:tc>
          <w:tcPr>
            <w:tcW w:w="39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52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69"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3"/>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 and Position</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Age</w:t>
            </w:r>
          </w:p>
        </w:tc>
        <w:tc>
          <w:tcPr>
            <w:tcW w:w="684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Business Experience in Past Five Years</w:t>
            </w:r>
          </w:p>
        </w:tc>
      </w:tr>
      <w:tr>
        <w:trPr>
          <w:trHeight w:val="22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John D. Porter</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50</w:t>
            </w:r>
          </w:p>
        </w:tc>
        <w:tc>
          <w:tcPr>
            <w:tcW w:w="1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 to present</w:t>
            </w:r>
          </w:p>
        </w:tc>
        <w:tc>
          <w:tcPr>
            <w:tcW w:w="52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8"/>
              </w:rPr>
              <w:t>Vice President, Controller, and Chief Accounting Officer, The Williams</w:t>
            </w:r>
          </w:p>
        </w:tc>
      </w:tr>
      <w:tr>
        <w:trPr>
          <w:trHeight w:val="219"/>
        </w:trPr>
        <w:tc>
          <w:tcPr>
            <w:tcW w:w="3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Companies, Inc.</w:t>
            </w:r>
          </w:p>
        </w:tc>
      </w:tr>
      <w:tr>
        <w:trPr>
          <w:trHeight w:val="220"/>
        </w:trPr>
        <w:tc>
          <w:tcPr>
            <w:tcW w:w="3980" w:type="dxa"/>
            <w:vAlign w:val="bottom"/>
          </w:tcPr>
          <w:p>
            <w:pPr>
              <w:ind w:left="40"/>
              <w:spacing w:after="0"/>
              <w:rPr>
                <w:sz w:val="20"/>
                <w:szCs w:val="20"/>
                <w:color w:val="auto"/>
              </w:rPr>
            </w:pPr>
            <w:r>
              <w:rPr>
                <w:rFonts w:ascii="Arial" w:cs="Arial" w:eastAsia="Arial" w:hAnsi="Arial"/>
                <w:sz w:val="16"/>
                <w:szCs w:val="16"/>
                <w:color w:val="auto"/>
                <w:w w:val="99"/>
              </w:rPr>
              <w:t>Vice President, Controller, and Chief Accounting Officer</w:t>
            </w:r>
          </w:p>
        </w:tc>
        <w:tc>
          <w:tcPr>
            <w:tcW w:w="60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2017 to 2019</w:t>
            </w:r>
          </w:p>
        </w:tc>
        <w:tc>
          <w:tcPr>
            <w:tcW w:w="5280" w:type="dxa"/>
            <w:vAlign w:val="bottom"/>
          </w:tcPr>
          <w:p>
            <w:pPr>
              <w:ind w:left="420"/>
              <w:spacing w:after="0"/>
              <w:rPr>
                <w:sz w:val="20"/>
                <w:szCs w:val="20"/>
                <w:color w:val="auto"/>
              </w:rPr>
            </w:pPr>
            <w:r>
              <w:rPr>
                <w:rFonts w:ascii="Arial" w:cs="Arial" w:eastAsia="Arial" w:hAnsi="Arial"/>
                <w:sz w:val="16"/>
                <w:szCs w:val="16"/>
                <w:color w:val="auto"/>
                <w:w w:val="99"/>
              </w:rPr>
              <w:t>Vice President Enterprise Financial Planning &amp; Analysis and Investor</w:t>
            </w:r>
          </w:p>
        </w:tc>
      </w:tr>
      <w:tr>
        <w:trPr>
          <w:trHeight w:val="206"/>
        </w:trPr>
        <w:tc>
          <w:tcPr>
            <w:tcW w:w="3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20"/>
              <w:spacing w:after="0"/>
              <w:rPr>
                <w:sz w:val="20"/>
                <w:szCs w:val="20"/>
                <w:color w:val="auto"/>
              </w:rPr>
            </w:pPr>
            <w:r>
              <w:rPr>
                <w:rFonts w:ascii="Arial" w:cs="Arial" w:eastAsia="Arial" w:hAnsi="Arial"/>
                <w:sz w:val="16"/>
                <w:szCs w:val="16"/>
                <w:color w:val="auto"/>
              </w:rPr>
              <w:t>Relations, The Williams Companies</w:t>
            </w:r>
          </w:p>
        </w:tc>
      </w:tr>
      <w:tr>
        <w:trPr>
          <w:trHeight w:val="33"/>
        </w:trPr>
        <w:tc>
          <w:tcPr>
            <w:tcW w:w="3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82"/>
        </w:trPr>
        <w:tc>
          <w:tcPr>
            <w:tcW w:w="39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2013 to 2017</w:t>
            </w:r>
          </w:p>
        </w:tc>
        <w:tc>
          <w:tcPr>
            <w:tcW w:w="52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Director of Investor Relations &amp; Enterprise Planning</w:t>
            </w:r>
          </w:p>
        </w:tc>
      </w:tr>
      <w:tr>
        <w:trPr>
          <w:trHeight w:val="220"/>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 Lane Wilson</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53</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2017 to present</w:t>
            </w:r>
          </w:p>
        </w:tc>
        <w:tc>
          <w:tcPr>
            <w:tcW w:w="52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w w:val="97"/>
              </w:rPr>
              <w:t>Senior Vice President and General Counsel, The Williams Companies,</w:t>
            </w:r>
          </w:p>
        </w:tc>
      </w:tr>
      <w:tr>
        <w:trPr>
          <w:trHeight w:val="206"/>
        </w:trPr>
        <w:tc>
          <w:tcPr>
            <w:tcW w:w="3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Inc.</w:t>
            </w:r>
          </w:p>
        </w:tc>
      </w:tr>
      <w:tr>
        <w:trPr>
          <w:trHeight w:val="33"/>
        </w:trPr>
        <w:tc>
          <w:tcPr>
            <w:tcW w:w="3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82"/>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Vice President, General Counsel</w:t>
            </w:r>
          </w:p>
        </w:tc>
        <w:tc>
          <w:tcPr>
            <w:tcW w:w="6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2009 to 2017</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w w:val="99"/>
              </w:rPr>
              <w:t>United States Magistrate Judge for the Northern District of Oklahoma</w:t>
            </w:r>
          </w:p>
        </w:tc>
      </w:tr>
      <w:tr>
        <w:trPr>
          <w:trHeight w:val="220"/>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Chad J. Zamarin</w:t>
            </w: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56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2017 to present</w:t>
            </w:r>
          </w:p>
        </w:tc>
        <w:tc>
          <w:tcPr>
            <w:tcW w:w="52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w w:val="95"/>
              </w:rPr>
              <w:t>Senior Vice President – Corporate Strategic Development, The Williams</w:t>
            </w:r>
          </w:p>
        </w:tc>
      </w:tr>
      <w:tr>
        <w:trPr>
          <w:trHeight w:val="206"/>
        </w:trPr>
        <w:tc>
          <w:tcPr>
            <w:tcW w:w="3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280" w:type="dxa"/>
            <w:vAlign w:val="bottom"/>
          </w:tcPr>
          <w:p>
            <w:pPr>
              <w:ind w:left="400"/>
              <w:spacing w:after="0"/>
              <w:rPr>
                <w:sz w:val="20"/>
                <w:szCs w:val="20"/>
                <w:color w:val="auto"/>
              </w:rPr>
            </w:pPr>
            <w:r>
              <w:rPr>
                <w:rFonts w:ascii="Arial" w:cs="Arial" w:eastAsia="Arial" w:hAnsi="Arial"/>
                <w:sz w:val="16"/>
                <w:szCs w:val="16"/>
                <w:color w:val="auto"/>
              </w:rPr>
              <w:t>Companies, Inc.</w:t>
            </w:r>
          </w:p>
        </w:tc>
      </w:tr>
      <w:tr>
        <w:trPr>
          <w:trHeight w:val="33"/>
        </w:trPr>
        <w:tc>
          <w:tcPr>
            <w:tcW w:w="3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Senior Vice President – Corporate Strategic Development</w:t>
            </w:r>
          </w:p>
        </w:tc>
        <w:tc>
          <w:tcPr>
            <w:tcW w:w="6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2017 to 2018</w:t>
            </w:r>
          </w:p>
        </w:tc>
        <w:tc>
          <w:tcPr>
            <w:tcW w:w="52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Director of the general partner, WPZ</w:t>
            </w:r>
          </w:p>
        </w:tc>
      </w:tr>
      <w:tr>
        <w:trPr>
          <w:trHeight w:val="224"/>
        </w:trPr>
        <w:tc>
          <w:tcPr>
            <w:tcW w:w="3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6"/>
                <w:szCs w:val="16"/>
                <w:color w:val="auto"/>
              </w:rPr>
              <w:t>2014 to 2017</w:t>
            </w:r>
          </w:p>
        </w:tc>
        <w:tc>
          <w:tcPr>
            <w:tcW w:w="5280" w:type="dxa"/>
            <w:vAlign w:val="bottom"/>
          </w:tcPr>
          <w:p>
            <w:pPr>
              <w:ind w:left="400"/>
              <w:spacing w:after="0"/>
              <w:rPr>
                <w:sz w:val="20"/>
                <w:szCs w:val="20"/>
                <w:color w:val="auto"/>
              </w:rPr>
            </w:pPr>
            <w:r>
              <w:rPr>
                <w:rFonts w:ascii="Arial" w:cs="Arial" w:eastAsia="Arial" w:hAnsi="Arial"/>
                <w:sz w:val="16"/>
                <w:szCs w:val="16"/>
                <w:color w:val="auto"/>
              </w:rPr>
              <w:t>President – Pipeline and Midstream, Cheniere Energy</w:t>
            </w:r>
          </w:p>
        </w:tc>
      </w:tr>
      <w:tr>
        <w:trPr>
          <w:trHeight w:val="54"/>
        </w:trPr>
        <w:tc>
          <w:tcPr>
            <w:tcW w:w="39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1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common stock is listed on the New York Stock Exchange under the symbol “WMB.” At the close of business on February 19, 2020, we had 6,512 holders of record of our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Set forth below is a line graph comparing our cumulative total stockholder return on our common stock (assuming reinvestment of dividends) with the cumulative total return of the S&amp;P 500 Stock Index, the Bloomberg Americas Pipelines Index, and the Arca Natural Gas Index for the period of five fiscal years commencing January 1, 2015. The Bloomberg Americas Pipelines Index is composed of Enbridge Inc., Kinder Morgan, Inc., TC Energy Corporation, ONEOK, Inc., Pembina Pipeline Corporation, Cheniere Energy, Inc., Targa Resources Corp., Inter Pipeline Ltd., and Williams. The Arca Natural Gas Index is comprised of over 20 highly capitalized companies in the natural gas industry involved primarily in natural gas exploration and production and natural gas pipeline transportation and transmission. The graph below assumes an investment of $100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156845</wp:posOffset>
            </wp:positionV>
            <wp:extent cx="4879340" cy="3413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7934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Williams Companies, Inc.</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113.5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138.3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132.2</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173.8</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Bloomberg Americas Pipelines Index</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93.4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Arca Natural Gas Index</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61.0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89.7</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76.3</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52.1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51.5</w:t>
            </w:r>
          </w:p>
        </w:tc>
      </w:tr>
      <w:tr>
        <w:trPr>
          <w:trHeight w:val="675"/>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financial data at December 31, 2019 and 2018, and for each of the three preceding years in the period ended December 31, 2019, should be read in conjunction with the other financial information included in Part II,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and Part II, Item 8,</w:t>
      </w:r>
      <w:r>
        <w:rPr>
          <w:rFonts w:ascii="Arial" w:cs="Arial" w:eastAsia="Arial" w:hAnsi="Arial"/>
          <w:sz w:val="18"/>
          <w:szCs w:val="18"/>
          <w:i w:val="1"/>
          <w:iCs w:val="1"/>
          <w:color w:val="auto"/>
        </w:rPr>
        <w:t xml:space="preserve"> Financial Statements and Supplementary Data </w:t>
      </w:r>
      <w:r>
        <w:rPr>
          <w:rFonts w:ascii="Arial" w:cs="Arial" w:eastAsia="Arial" w:hAnsi="Arial"/>
          <w:sz w:val="18"/>
          <w:szCs w:val="18"/>
          <w:color w:val="auto"/>
        </w:rPr>
        <w:t>of this Form 10-K. All other financial data has been prepared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accounting records.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196"/>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00" w:type="dxa"/>
            <w:vAlign w:val="bottom"/>
            <w:gridSpan w:val="5"/>
          </w:tcPr>
          <w:p>
            <w:pPr>
              <w:jc w:val="right"/>
              <w:ind w:right="532"/>
              <w:spacing w:after="0"/>
              <w:rPr>
                <w:sz w:val="20"/>
                <w:szCs w:val="20"/>
                <w:color w:val="auto"/>
              </w:rPr>
            </w:pPr>
            <w:r>
              <w:rPr>
                <w:rFonts w:ascii="Arial" w:cs="Arial" w:eastAsia="Arial" w:hAnsi="Arial"/>
                <w:sz w:val="14"/>
                <w:szCs w:val="14"/>
                <w:b w:val="1"/>
                <w:bCs w:val="1"/>
                <w:color w:val="auto"/>
              </w:rPr>
              <w:t>(Millions, except per-share amounts)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8,201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8,686</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8,031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7,499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Income (loss) from continuing operations (1)</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2,509</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Amounts attributable to The Williams Companies, Inc. available to common</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 (2)</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862</w:t>
            </w:r>
          </w:p>
        </w:tc>
        <w:tc>
          <w:tcPr>
            <w:tcW w:w="3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2,174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income (loss) from continuing operations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7"/>
                <w:szCs w:val="17"/>
                <w:color w:val="auto"/>
              </w:rPr>
              <w:t>.71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7"/>
                <w:szCs w:val="17"/>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Total assets at December 31</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46,040</w:t>
            </w:r>
          </w:p>
        </w:tc>
        <w:tc>
          <w:tcPr>
            <w:tcW w:w="3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45,302</w:t>
            </w: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46,352</w:t>
            </w:r>
          </w:p>
        </w:tc>
        <w:tc>
          <w:tcPr>
            <w:tcW w:w="32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46,835</w:t>
            </w: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49,020</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Commercial paper, lease liabilities, and long-term debt (including 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portions) at December 31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22,497</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22,414</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20,935</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23,502</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24,487</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Stockholders’ equity at December 31 (3)</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13,363</w:t>
            </w:r>
          </w:p>
        </w:tc>
        <w:tc>
          <w:tcPr>
            <w:tcW w:w="3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14,660</w:t>
            </w: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9,656</w:t>
            </w:r>
          </w:p>
        </w:tc>
        <w:tc>
          <w:tcPr>
            <w:tcW w:w="32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4,643</w:t>
            </w: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6,148</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1.68</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 (thousands)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1,214,011</w:t>
            </w:r>
          </w:p>
        </w:tc>
        <w:tc>
          <w:tcPr>
            <w:tcW w:w="32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973,626</w:t>
            </w:r>
          </w:p>
        </w:tc>
        <w:tc>
          <w:tcPr>
            <w:tcW w:w="2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828,518</w:t>
            </w:r>
          </w:p>
        </w:tc>
        <w:tc>
          <w:tcPr>
            <w:tcW w:w="32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750,673</w:t>
            </w:r>
          </w:p>
        </w:tc>
        <w:tc>
          <w:tcPr>
            <w:tcW w:w="3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749,271</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_________</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(loss) from continuing operations:</w:t>
      </w:r>
    </w:p>
    <w:p>
      <w:pPr>
        <w:spacing w:after="0" w:line="9" w:lineRule="exact"/>
        <w:rPr>
          <w:rFonts w:ascii="Arial" w:cs="Arial" w:eastAsia="Arial" w:hAnsi="Arial"/>
          <w:sz w:val="18"/>
          <w:szCs w:val="18"/>
          <w:color w:val="auto"/>
        </w:rPr>
      </w:pPr>
    </w:p>
    <w:p>
      <w:pPr>
        <w:jc w:val="both"/>
        <w:ind w:left="660" w:hanging="247"/>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2019 includes $464 million of impairments of certain assets, including a $354 million impairment of Constitution’s capitalized project costs, and $186 million impairments of certain equity-method investments, partially offset by a $122 million gain on the sale of our Jackalope equity-method investment;</w:t>
      </w:r>
    </w:p>
    <w:p>
      <w:pPr>
        <w:spacing w:after="0" w:line="1" w:lineRule="exact"/>
        <w:rPr>
          <w:rFonts w:ascii="Arial" w:cs="Arial" w:eastAsia="Arial" w:hAnsi="Arial"/>
          <w:sz w:val="18"/>
          <w:szCs w:val="18"/>
          <w:color w:val="auto"/>
        </w:rPr>
      </w:pPr>
    </w:p>
    <w:p>
      <w:pPr>
        <w:jc w:val="both"/>
        <w:ind w:left="660" w:hanging="247"/>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2018 includes a $1.849 billion impairment of certain assets located in the Barnett Shale region, partially offset by a $591 million gain on the sale of our Four Corners area assets, a $141 million gain on the deconsolidation of certain Permian assets, and a $101 million gain from the sale of our Gulf Coast pipeline system assets;</w:t>
      </w:r>
    </w:p>
    <w:p>
      <w:pPr>
        <w:spacing w:after="0" w:line="1" w:lineRule="exact"/>
        <w:rPr>
          <w:rFonts w:ascii="Arial" w:cs="Arial" w:eastAsia="Arial" w:hAnsi="Arial"/>
          <w:sz w:val="18"/>
          <w:szCs w:val="18"/>
          <w:color w:val="auto"/>
        </w:rPr>
      </w:pPr>
    </w:p>
    <w:p>
      <w:pPr>
        <w:jc w:val="both"/>
        <w:ind w:left="660" w:hanging="247"/>
        <w:spacing w:after="0" w:line="250"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2017 includes a $1.923 billion benefit for income taxes resulting from Tax Reform rate change and a $1.095 billion pre-tax gain on the sale of our Geismar Interest, partially offset by $1.248 billion of pre-tax impairments of certain assets and $776 million of pre-tax regulatory charges resulting from Tax Reform;</w:t>
      </w:r>
    </w:p>
    <w:p>
      <w:pPr>
        <w:spacing w:after="0" w:line="1" w:lineRule="exact"/>
        <w:rPr>
          <w:rFonts w:ascii="Arial" w:cs="Arial" w:eastAsia="Arial" w:hAnsi="Arial"/>
          <w:sz w:val="18"/>
          <w:szCs w:val="18"/>
          <w:color w:val="auto"/>
        </w:rPr>
      </w:pPr>
    </w:p>
    <w:p>
      <w:pPr>
        <w:ind w:left="660" w:hanging="247"/>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2016 includes an $873 million impairment of certain assets and a $430 million impairment of certain equity-method investments;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2015 includes a $1.4 billion impairment of certain equity-method investments and a $1.1 billion impairment of goodwill.</w:t>
      </w:r>
    </w:p>
    <w:p>
      <w:pPr>
        <w:spacing w:after="0" w:line="210" w:lineRule="exact"/>
        <w:rPr>
          <w:rFonts w:ascii="Arial" w:cs="Arial" w:eastAsia="Arial" w:hAnsi="Arial"/>
          <w:sz w:val="18"/>
          <w:szCs w:val="18"/>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Income (loss) from continuing operations attributable to the Williams Companies, Inc. available to common stockholders: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2019 includes benefit of $209 million reflecting the noncontrolling interests’ share of the impairment of Constitution’s capitalized project costs.</w:t>
      </w: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420" w:hanging="412"/>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equity at December 31:</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2019 includes a decrease related to a sale of a partial interest in our Northeast JV business;</w:t>
      </w:r>
    </w:p>
    <w:p>
      <w:pPr>
        <w:spacing w:after="0" w:line="9" w:lineRule="exact"/>
        <w:rPr>
          <w:rFonts w:ascii="Arial" w:cs="Arial" w:eastAsia="Arial" w:hAnsi="Arial"/>
          <w:sz w:val="18"/>
          <w:szCs w:val="18"/>
          <w:color w:val="auto"/>
        </w:rPr>
      </w:pPr>
    </w:p>
    <w:p>
      <w:pPr>
        <w:ind w:left="660" w:hanging="247"/>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2018 includes an increase reflecting our issuance of common stock associated with our merger with WPZ in August 2018;</w:t>
      </w:r>
    </w:p>
    <w:p>
      <w:pPr>
        <w:spacing w:after="0" w:line="9" w:lineRule="exact"/>
        <w:rPr>
          <w:rFonts w:ascii="Arial" w:cs="Arial" w:eastAsia="Arial" w:hAnsi="Arial"/>
          <w:sz w:val="18"/>
          <w:szCs w:val="18"/>
          <w:color w:val="auto"/>
        </w:rPr>
      </w:pPr>
    </w:p>
    <w:p>
      <w:pPr>
        <w:ind w:left="660" w:hanging="247"/>
        <w:spacing w:after="0" w:line="261"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For 2017 includes increases reflecting our issuance of common stock as part of our Financial Repositioning and a significant increase in our ownership of WPZ.</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61" w:right="239" w:bottom="1440" w:gutter="0" w:footer="0" w:header="0"/>
        </w:sectPr>
      </w:pPr>
    </w:p>
    <w:bookmarkStart w:id="43" w:name="page44"/>
    <w:bookmarkEnd w:id="43"/>
    <w:p>
      <w:pPr>
        <w:ind w:right="4140"/>
        <w:spacing w:after="0" w:line="4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General</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an energy infrastructure company focused on connecting North America’s significant hydrocarbon resource plays to growing markets for natural gas and NGLs through our gas pipeline and midstream business. Our operations are located in the United States.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interstate natural gas pipeline strategy is to create value by maximizing the utilization of our pipeline capacity by providing high quality, low cost transportation of natural gas to large and growing markets. Our gas pipeline businesses’ interstate transmission and storage activities are subject to regulation by the FERC and as such, our rates and charges for the transportation of natural gas in interstate commerce, and the extension, expansion or abandonment of jurisdictional facilities and accounting, among other things, are subject to regulation. The rates are established through the FERC’s ratemaking process. Changes in commodity prices and volumes transported have limited near-term impact on these revenues because the majority of cost of service is recovered through firm capacity reservation charges in transportation rates.</w:t>
      </w:r>
    </w:p>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ongoing strategy of our midstream operations is to safely and reliably operate large-scale midstream infrastructure where our assets can be fully utilized and drive low per-unit costs. We focus on consistently attracting new business by providing highly reliable service to our customers. These services include natural gas gathering, processing, treating, and compression, NGL fractionation and transportation, crude oil production handling and transportation, marketing services for NGL, crude oil and natural gas, as well as storage facilities.</w:t>
      </w:r>
    </w:p>
    <w:p>
      <w:pPr>
        <w:spacing w:after="0" w:line="13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December 31, 2019, our operations are presented within the following reportable segments: Atlantic-Gulf, Northeast G&amp;P, and West, consistent with the manner in which our chief operating decision maker evaluates performance and allocates resources. All remaining business activities as well as corporate activities are included in Other. Our reportable segments are comprised of the following businesses:</w:t>
      </w:r>
    </w:p>
    <w:p>
      <w:pPr>
        <w:spacing w:after="0" w:line="114" w:lineRule="exact"/>
        <w:rPr>
          <w:sz w:val="20"/>
          <w:szCs w:val="20"/>
          <w:color w:val="auto"/>
        </w:rPr>
      </w:pPr>
    </w:p>
    <w:p>
      <w:pPr>
        <w:jc w:val="both"/>
        <w:ind w:left="660" w:hanging="328"/>
        <w:spacing w:after="0" w:line="305" w:lineRule="auto"/>
        <w:tabs>
          <w:tab w:leader="none" w:pos="660" w:val="left"/>
        </w:tabs>
        <w:numPr>
          <w:ilvl w:val="0"/>
          <w:numId w:val="31"/>
        </w:numPr>
        <w:rPr>
          <w:rFonts w:ascii="Arial" w:cs="Arial" w:eastAsia="Arial" w:hAnsi="Arial"/>
          <w:sz w:val="21"/>
          <w:szCs w:val="21"/>
          <w:color w:val="auto"/>
        </w:rPr>
      </w:pPr>
      <w:r>
        <w:rPr>
          <w:rFonts w:ascii="Arial" w:cs="Arial" w:eastAsia="Arial" w:hAnsi="Arial"/>
          <w:sz w:val="17"/>
          <w:szCs w:val="17"/>
          <w:color w:val="auto"/>
        </w:rPr>
        <w:t>Atlantic-Gulf is comprised of our interstate natural gas pipeline, Transco, and natural gas gathering and processing and crude oil production handling and transportation assets in the Gulf Coast region, including a 51 percent interest in Gulfstar One (a consolidated variable interest entity), which is a proprietary floating production system, as well as a 50 percent equity-method investment in Gulfstream, a 60 percent equity-method investment in Discovery, and a 41 percent equity-method investment in Constitution as of December 31, 2019.</w:t>
      </w:r>
    </w:p>
    <w:p>
      <w:pPr>
        <w:spacing w:after="0" w:line="95" w:lineRule="exact"/>
        <w:rPr>
          <w:rFonts w:ascii="Arial" w:cs="Arial" w:eastAsia="Arial" w:hAnsi="Arial"/>
          <w:sz w:val="21"/>
          <w:szCs w:val="21"/>
          <w:color w:val="auto"/>
        </w:rPr>
      </w:pPr>
    </w:p>
    <w:p>
      <w:pPr>
        <w:jc w:val="both"/>
        <w:ind w:left="660" w:hanging="328"/>
        <w:spacing w:after="0" w:line="309" w:lineRule="auto"/>
        <w:tabs>
          <w:tab w:leader="none" w:pos="660" w:val="left"/>
        </w:tabs>
        <w:numPr>
          <w:ilvl w:val="0"/>
          <w:numId w:val="31"/>
        </w:numPr>
        <w:rPr>
          <w:rFonts w:ascii="Arial" w:cs="Arial" w:eastAsia="Arial" w:hAnsi="Arial"/>
          <w:sz w:val="21"/>
          <w:szCs w:val="21"/>
          <w:color w:val="auto"/>
        </w:rPr>
      </w:pPr>
      <w:r>
        <w:rPr>
          <w:rFonts w:ascii="Arial" w:cs="Arial" w:eastAsia="Arial" w:hAnsi="Arial"/>
          <w:sz w:val="17"/>
          <w:szCs w:val="17"/>
          <w:color w:val="auto"/>
        </w:rPr>
        <w:t>Northeast G&amp;P is comprised of our midstream gathering, processing, and fractionation businesses in the Marcellus Shale region primarily in Pennsylvania, New York, and the Utica Shale region of eastern Ohio, as well as a 65 percent interest in our Northeast JV (a consolidated variable interest entity) which operates in West Virginia, Ohio, and Pennsylvania, a 66 percent interest in Cardinal (a consolidated variable interest entity) which operates in Ohio, a 69 percent equity-method investment in Laurel Mountain, a 58 percent equity-method investment in Caiman II, and Appalachia Midstream Services, LLC, which owns equity-method investments with an approximate average 66 percent interest in multiple gas gathering systems in the Marcellus Shale (Appalachia Midstream Investments).</w:t>
      </w:r>
    </w:p>
    <w:p>
      <w:pPr>
        <w:spacing w:after="0" w:line="132" w:lineRule="exact"/>
        <w:rPr>
          <w:rFonts w:ascii="Arial" w:cs="Arial" w:eastAsia="Arial" w:hAnsi="Arial"/>
          <w:sz w:val="21"/>
          <w:szCs w:val="21"/>
          <w:color w:val="auto"/>
        </w:rPr>
      </w:pPr>
    </w:p>
    <w:p>
      <w:pPr>
        <w:jc w:val="both"/>
        <w:ind w:left="660" w:hanging="328"/>
        <w:spacing w:after="0" w:line="311" w:lineRule="auto"/>
        <w:tabs>
          <w:tab w:leader="none" w:pos="660" w:val="left"/>
        </w:tabs>
        <w:numPr>
          <w:ilvl w:val="0"/>
          <w:numId w:val="31"/>
        </w:numPr>
        <w:rPr>
          <w:rFonts w:ascii="Arial" w:cs="Arial" w:eastAsia="Arial" w:hAnsi="Arial"/>
          <w:sz w:val="21"/>
          <w:szCs w:val="21"/>
          <w:color w:val="auto"/>
        </w:rPr>
      </w:pPr>
      <w:r>
        <w:rPr>
          <w:rFonts w:ascii="Arial" w:cs="Arial" w:eastAsia="Arial" w:hAnsi="Arial"/>
          <w:sz w:val="17"/>
          <w:szCs w:val="17"/>
          <w:color w:val="auto"/>
        </w:rPr>
        <w:t>West is comprised of our interstate natural gas pipeline, Northwest Pipeline, and our gas gathering, processing, and treating operations in the Rocky Mountain region of Colorado and Wyoming, the Barnett Shale region of north-central Texas, the Eagle Ford Shale region of south Texas, the Haynesville Shale region of northwest Louisiana, and the Mid-Continent region which includes the Anadarko, Arkoma, Delaware, and Permian basins. This segment also includes our NGL and natural gas marketing business, storage facilities, an undivided 50 percent interest in an NGL fractionator near Conway, Kansas, a 50 percent equity-method investment in OPPL, a 50 percent equity-method investment in RMM, and a 15 percent equity-method investment in Brazos Permian II. West also included our former natural gas gathering and processing assets in the Four Corners area of New Mexico and Colorado, which were sold during the fourth quarter of 2018 (see Note 3 – Acquisitions and Divestitures of Notes to Consolidated Financial Statements), and our former 50 percent interest in Jackalope (an equity-method investment following deconsolidation as of June 30, 2018), which was sold in April 2019,</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3" w:right="239" w:bottom="1440" w:gutter="0" w:footer="0" w:header="0"/>
        </w:sectPr>
      </w:pPr>
    </w:p>
    <w:bookmarkStart w:id="44" w:name="page45"/>
    <w:bookmarkEnd w:id="44"/>
    <w:p>
      <w:pPr>
        <w:ind w:left="660"/>
        <w:spacing w:after="0" w:line="277" w:lineRule="auto"/>
        <w:rPr>
          <w:sz w:val="20"/>
          <w:szCs w:val="20"/>
          <w:color w:val="auto"/>
        </w:rPr>
      </w:pPr>
      <w:r>
        <w:rPr>
          <w:rFonts w:ascii="Arial" w:cs="Arial" w:eastAsia="Arial" w:hAnsi="Arial"/>
          <w:sz w:val="18"/>
          <w:szCs w:val="18"/>
          <w:color w:val="auto"/>
        </w:rPr>
        <w:t>and our previously owned 50 percent equity-method investment in the Delaware basin gas gathering system (DBJV) (see Note 6 – Investing Activities of Notes to Consolidated Financial Statements).</w:t>
      </w:r>
    </w:p>
    <w:p>
      <w:pPr>
        <w:spacing w:after="0" w:line="157" w:lineRule="exact"/>
        <w:rPr>
          <w:sz w:val="20"/>
          <w:szCs w:val="20"/>
          <w:color w:val="auto"/>
        </w:rPr>
      </w:pPr>
    </w:p>
    <w:p>
      <w:pPr>
        <w:jc w:val="both"/>
        <w:ind w:left="660" w:hanging="328"/>
        <w:spacing w:after="0" w:line="285" w:lineRule="auto"/>
        <w:tabs>
          <w:tab w:leader="none" w:pos="6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Other includes minor business activities that are not operating segments, as well as corporate operations. Other also includes our previously owned operations, including an 88.5 percent undivided interest in an olefins production facility in Geismar, Louisiana, which was sold in July 2017 (see Note 3 – Acquisitions and Divestitures of Notes to Consolidated Financial Statements), and a refinery grade propylene splitter in the Gulf region, which was sold in June 2017.</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Unless indicated otherwise, the following discussion and analysis of results of operations and financial condition and liquidity relates to our current continuing operations and should be read in conjunction with the consolidated financial statements and notes thereto included in Part II, Item 8 of this report. Effective January 1, 2020, the composition of our reportable segments changed (see Part I, Item I Business Segments for further discussion).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2019, we paid a regular quarterly dividend of $0.38 per share. On January 28, 2020, our board of directors approved a regular quarterly dividend of $0.40 per share payable on March 30,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(loss) attributable to The Williams Companies, Inc.</w:t>
      </w:r>
      <w:r>
        <w:rPr>
          <w:rFonts w:ascii="Arial" w:cs="Arial" w:eastAsia="Arial" w:hAnsi="Arial"/>
          <w:sz w:val="18"/>
          <w:szCs w:val="18"/>
          <w:color w:val="auto"/>
        </w:rPr>
        <w:t>, for the year ended December 31, 2019, increased $1.005 billion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reflecting:</w:t>
      </w:r>
    </w:p>
    <w:p>
      <w:pPr>
        <w:spacing w:after="0" w:line="12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 xml:space="preserve">A $1.451 billion decrease in </w:t>
      </w:r>
      <w:r>
        <w:rPr>
          <w:rFonts w:ascii="Arial" w:cs="Arial" w:eastAsia="Arial" w:hAnsi="Arial"/>
          <w:sz w:val="18"/>
          <w:szCs w:val="18"/>
          <w:i w:val="1"/>
          <w:iCs w:val="1"/>
          <w:color w:val="auto"/>
        </w:rPr>
        <w:t>Impairment of certain assets;</w:t>
      </w:r>
    </w:p>
    <w:p>
      <w:pPr>
        <w:spacing w:after="0" w:line="188" w:lineRule="exact"/>
        <w:rPr>
          <w:rFonts w:ascii="Arial" w:cs="Arial" w:eastAsia="Arial" w:hAnsi="Arial"/>
          <w:sz w:val="22"/>
          <w:szCs w:val="22"/>
          <w:color w:val="auto"/>
        </w:rPr>
      </w:pPr>
    </w:p>
    <w:p>
      <w:pPr>
        <w:jc w:val="both"/>
        <w:ind w:left="660" w:hanging="328"/>
        <w:spacing w:after="0" w:line="285" w:lineRule="auto"/>
        <w:tabs>
          <w:tab w:leader="none" w:pos="660" w:val="left"/>
        </w:tabs>
        <w:numPr>
          <w:ilvl w:val="0"/>
          <w:numId w:val="33"/>
        </w:numPr>
        <w:rPr>
          <w:rFonts w:ascii="Arial" w:cs="Arial" w:eastAsia="Arial" w:hAnsi="Arial"/>
          <w:sz w:val="22"/>
          <w:szCs w:val="22"/>
          <w:i w:val="1"/>
          <w:iCs w:val="1"/>
          <w:color w:val="auto"/>
        </w:rPr>
      </w:pPr>
      <w:r>
        <w:rPr>
          <w:rFonts w:ascii="Arial" w:cs="Arial" w:eastAsia="Arial" w:hAnsi="Arial"/>
          <w:sz w:val="18"/>
          <w:szCs w:val="18"/>
          <w:color w:val="auto"/>
        </w:rPr>
        <w:t xml:space="preserve">A $431 million increase in </w:t>
      </w:r>
      <w:r>
        <w:rPr>
          <w:rFonts w:ascii="Arial" w:cs="Arial" w:eastAsia="Arial" w:hAnsi="Arial"/>
          <w:sz w:val="18"/>
          <w:szCs w:val="18"/>
          <w:i w:val="1"/>
          <w:iCs w:val="1"/>
          <w:color w:val="auto"/>
        </w:rPr>
        <w:t>Service revenues</w:t>
      </w:r>
      <w:r>
        <w:rPr>
          <w:rFonts w:ascii="Arial" w:cs="Arial" w:eastAsia="Arial" w:hAnsi="Arial"/>
          <w:sz w:val="18"/>
          <w:szCs w:val="18"/>
          <w:color w:val="auto"/>
        </w:rPr>
        <w:t xml:space="preserve"> primarily associated with Transco expansion projects, the consolidation of UEOM beginning March 2019, and growth in Northeast G&amp;P volumes, partially offset by lower revenues from our Barnett Shale operations primarily associated with the reduced recognition of deferred revenue and the end of a contractual MVC period, as well as the absence of revenues from operations sold or deconsolidated during 2018;</w:t>
      </w:r>
    </w:p>
    <w:p>
      <w:pPr>
        <w:spacing w:after="0" w:line="150" w:lineRule="exact"/>
        <w:rPr>
          <w:rFonts w:ascii="Arial" w:cs="Arial" w:eastAsia="Arial" w:hAnsi="Arial"/>
          <w:sz w:val="22"/>
          <w:szCs w:val="22"/>
          <w:i w:val="1"/>
          <w:iCs w:val="1"/>
          <w:color w:val="auto"/>
        </w:rPr>
      </w:pPr>
    </w:p>
    <w:p>
      <w:pPr>
        <w:ind w:left="660" w:right="20" w:hanging="328"/>
        <w:spacing w:after="0" w:line="271" w:lineRule="auto"/>
        <w:tabs>
          <w:tab w:leader="none" w:pos="660" w:val="left"/>
        </w:tabs>
        <w:numPr>
          <w:ilvl w:val="0"/>
          <w:numId w:val="33"/>
        </w:numPr>
        <w:rPr>
          <w:rFonts w:ascii="Arial" w:cs="Arial" w:eastAsia="Arial" w:hAnsi="Arial"/>
          <w:sz w:val="22"/>
          <w:szCs w:val="22"/>
          <w:i w:val="1"/>
          <w:iCs w:val="1"/>
          <w:color w:val="auto"/>
        </w:rPr>
      </w:pPr>
      <w:r>
        <w:rPr>
          <w:rFonts w:ascii="Arial" w:cs="Arial" w:eastAsia="Arial" w:hAnsi="Arial"/>
          <w:sz w:val="18"/>
          <w:szCs w:val="18"/>
          <w:color w:val="auto"/>
        </w:rPr>
        <w:t xml:space="preserve">A $484 million decrease to </w:t>
      </w:r>
      <w:r>
        <w:rPr>
          <w:rFonts w:ascii="Arial" w:cs="Arial" w:eastAsia="Arial" w:hAnsi="Arial"/>
          <w:sz w:val="18"/>
          <w:szCs w:val="18"/>
          <w:i w:val="1"/>
          <w:iCs w:val="1"/>
          <w:color w:val="auto"/>
        </w:rPr>
        <w:t>Net income (loss) attributable to noncontrolling interests</w:t>
      </w:r>
      <w:r>
        <w:rPr>
          <w:rFonts w:ascii="Arial" w:cs="Arial" w:eastAsia="Arial" w:hAnsi="Arial"/>
          <w:sz w:val="18"/>
          <w:szCs w:val="18"/>
          <w:color w:val="auto"/>
        </w:rPr>
        <w:t xml:space="preserve"> primarily due to the WPZ Merger in the third quarter of 2018, as well as the noncontrolling interests’ share of the 2019 Constitution impairment.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favorable changes were partially offset by:</w:t>
      </w:r>
    </w:p>
    <w:p>
      <w:pPr>
        <w:spacing w:after="0" w:line="198" w:lineRule="exact"/>
        <w:rPr>
          <w:sz w:val="20"/>
          <w:szCs w:val="20"/>
          <w:color w:val="auto"/>
        </w:rPr>
      </w:pPr>
    </w:p>
    <w:p>
      <w:pPr>
        <w:ind w:left="660" w:hanging="328"/>
        <w:spacing w:after="0" w:line="271" w:lineRule="auto"/>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 xml:space="preserve">A $694 million decrease in the </w:t>
      </w:r>
      <w:r>
        <w:rPr>
          <w:rFonts w:ascii="Arial" w:cs="Arial" w:eastAsia="Arial" w:hAnsi="Arial"/>
          <w:sz w:val="18"/>
          <w:szCs w:val="18"/>
          <w:i w:val="1"/>
          <w:iCs w:val="1"/>
          <w:color w:val="auto"/>
        </w:rPr>
        <w:t>Gain on sale of certain assets and businesses</w:t>
      </w:r>
      <w:r>
        <w:rPr>
          <w:rFonts w:ascii="Arial" w:cs="Arial" w:eastAsia="Arial" w:hAnsi="Arial"/>
          <w:sz w:val="18"/>
          <w:szCs w:val="18"/>
          <w:color w:val="auto"/>
        </w:rPr>
        <w:t xml:space="preserve"> primarily related to the sale of the Four Corners area business in the fourth quarter of 2018;</w:t>
      </w:r>
    </w:p>
    <w:p>
      <w:pPr>
        <w:spacing w:after="0" w:line="155" w:lineRule="exact"/>
        <w:rPr>
          <w:rFonts w:ascii="Arial" w:cs="Arial" w:eastAsia="Arial" w:hAnsi="Arial"/>
          <w:sz w:val="22"/>
          <w:szCs w:val="22"/>
          <w:i w:val="1"/>
          <w:iCs w:val="1"/>
          <w:color w:val="auto"/>
        </w:rPr>
      </w:pPr>
    </w:p>
    <w:p>
      <w:pPr>
        <w:ind w:left="660" w:hanging="328"/>
        <w:spacing w:after="0" w:line="271" w:lineRule="auto"/>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 xml:space="preserve">A $266 million decrease in </w:t>
      </w:r>
      <w:r>
        <w:rPr>
          <w:rFonts w:ascii="Arial" w:cs="Arial" w:eastAsia="Arial" w:hAnsi="Arial"/>
          <w:sz w:val="18"/>
          <w:szCs w:val="18"/>
          <w:i w:val="1"/>
          <w:iCs w:val="1"/>
          <w:color w:val="auto"/>
        </w:rPr>
        <w:t>Other investing income (loss) – net</w:t>
      </w:r>
      <w:r>
        <w:rPr>
          <w:rFonts w:ascii="Arial" w:cs="Arial" w:eastAsia="Arial" w:hAnsi="Arial"/>
          <w:sz w:val="18"/>
          <w:szCs w:val="18"/>
          <w:color w:val="auto"/>
        </w:rPr>
        <w:t xml:space="preserve"> primarily due to the absence of 2018 gains on deconsolidations and 2019 impairments of equity-method investments, partially offset by a 2019 gain on the sale of our interest in Jackalope;</w:t>
      </w:r>
    </w:p>
    <w:p>
      <w:pPr>
        <w:spacing w:after="0" w:line="133" w:lineRule="exact"/>
        <w:rPr>
          <w:rFonts w:ascii="Arial" w:cs="Arial" w:eastAsia="Arial" w:hAnsi="Arial"/>
          <w:sz w:val="22"/>
          <w:szCs w:val="22"/>
          <w:i w:val="1"/>
          <w:iCs w:val="1"/>
          <w:color w:val="auto"/>
        </w:rPr>
      </w:pPr>
    </w:p>
    <w:p>
      <w:pPr>
        <w:ind w:left="660" w:hanging="328"/>
        <w:spacing w:after="0"/>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$138 million of lower commodity margins;</w:t>
      </w:r>
    </w:p>
    <w:p>
      <w:pPr>
        <w:spacing w:after="0" w:line="165" w:lineRule="exact"/>
        <w:rPr>
          <w:rFonts w:ascii="Arial" w:cs="Arial" w:eastAsia="Arial" w:hAnsi="Arial"/>
          <w:sz w:val="22"/>
          <w:szCs w:val="22"/>
          <w:i w:val="1"/>
          <w:iCs w:val="1"/>
          <w:color w:val="auto"/>
        </w:rPr>
      </w:pPr>
    </w:p>
    <w:p>
      <w:pPr>
        <w:ind w:left="660" w:hanging="328"/>
        <w:spacing w:after="0"/>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$74 million of higher net interest expense;</w:t>
      </w:r>
    </w:p>
    <w:p>
      <w:pPr>
        <w:spacing w:after="0" w:line="165" w:lineRule="exact"/>
        <w:rPr>
          <w:rFonts w:ascii="Arial" w:cs="Arial" w:eastAsia="Arial" w:hAnsi="Arial"/>
          <w:sz w:val="22"/>
          <w:szCs w:val="22"/>
          <w:i w:val="1"/>
          <w:iCs w:val="1"/>
          <w:color w:val="auto"/>
        </w:rPr>
      </w:pPr>
    </w:p>
    <w:p>
      <w:pPr>
        <w:ind w:left="660" w:hanging="328"/>
        <w:spacing w:after="0"/>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$58 million lower allowance for equity funds used during construction (AFUDC);</w:t>
      </w:r>
    </w:p>
    <w:p>
      <w:pPr>
        <w:spacing w:after="0" w:line="188" w:lineRule="exact"/>
        <w:rPr>
          <w:rFonts w:ascii="Arial" w:cs="Arial" w:eastAsia="Arial" w:hAnsi="Arial"/>
          <w:sz w:val="22"/>
          <w:szCs w:val="22"/>
          <w:i w:val="1"/>
          <w:iCs w:val="1"/>
          <w:color w:val="auto"/>
        </w:rPr>
      </w:pPr>
    </w:p>
    <w:p>
      <w:pPr>
        <w:ind w:left="660" w:hanging="328"/>
        <w:spacing w:after="0" w:line="271" w:lineRule="auto"/>
        <w:tabs>
          <w:tab w:leader="none" w:pos="660" w:val="left"/>
        </w:tabs>
        <w:numPr>
          <w:ilvl w:val="0"/>
          <w:numId w:val="34"/>
        </w:numPr>
        <w:rPr>
          <w:rFonts w:ascii="Arial" w:cs="Arial" w:eastAsia="Arial" w:hAnsi="Arial"/>
          <w:sz w:val="22"/>
          <w:szCs w:val="22"/>
          <w:i w:val="1"/>
          <w:iCs w:val="1"/>
          <w:color w:val="auto"/>
        </w:rPr>
      </w:pPr>
      <w:r>
        <w:rPr>
          <w:rFonts w:ascii="Arial" w:cs="Arial" w:eastAsia="Arial" w:hAnsi="Arial"/>
          <w:sz w:val="18"/>
          <w:szCs w:val="18"/>
          <w:color w:val="auto"/>
        </w:rPr>
        <w:t>A $197 million increase in provision for income taxes driven by higher pre-tax income, partially offset by the absence of a 2018 charge to establish a valuation allowance on deferred tax assets that may not be realized following the WPZ merger.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19" w:right="239"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b w:val="1"/>
          <w:bCs w:val="1"/>
          <w:i w:val="1"/>
          <w:iCs w:val="1"/>
          <w:color w:val="auto"/>
        </w:rPr>
        <w:t>Acquisition of UEOM</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2018, we owned a 62 percent interest in UEOM which we accounted for as an equity-method investment. On March 18, 2019, we signed and closed the acquisition of the remaining 38 percent interest in UEOM. Total consideration paid, including post-closing adjustments, was $741 million in cash funded through credit facility borrowings and cash on hand. As a result of acquiring this additional interest, we obtained control of and now consolidate UEOM. (See Note 3 – Acquisitions and Divestitures of 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 JV</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 with the UEOM acquisition, we executed an agreement whereby we contributed our consolidated interests in UEOM and our Ohio Valley midstream business to a newly formed partnership. In June 2019, our partner invested approximately $1.33 billion for a 35 percent ownership interest, and we retained 65 percent ownership of, as well as operate and consolidate, the Northeast JV business. (See Note 3 – Acquisitions and Divestitures of Notes to Consolidated Financial Statements.)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 of Jackalope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2019, we sold our 50 percent equity-method interest in Jackalope for $485 million in cash, resulting in a gain on the disposition of $122 million. (See Note 6 – Investing Activities of Notes to Consolidated Financial Statements.)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Constitution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Constitution received a certificate of public convenience and necessity from the FERC to construct and operate the proposed pipeline and obtained, among other approvals, a waiver of the water quality certification under Section 401 of the Clean Water Act for the New York portion of the project, the members of Constitution, following extensive evaluation and discussion, recently determined that the underlying risk-adjusted return for this greenfield pipeline project has diminished in such a way that further development is no longer supported. (See Note 4 – Variable Interest Entities of Notes to Consolidated Financial Statements for further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Project Updates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Significant expansion project updates for the period, including projects placed into service are described below. Ongoing major expansion projects are discussed later in Company Outlook.</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Northeast G&amp;P</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Ohio River Supply Hub Expansion</w:t>
      </w:r>
    </w:p>
    <w:p>
      <w:pPr>
        <w:spacing w:after="0" w:line="171"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agreed to expand our services for certain customers to provide additional rich gas processing capacity in the Marcellus and Upper Devonian Shale in West Virginia and Pennsylvania. Associated with these agreements, we have expanded the inlet processing capacity of our Oak Grove facility to 400 MMcf/d. We have also constructed a new NGL pipeline from Moundsville to the Harrison Hub fractionation facility to provide an additional outlet for NGLs. These expansions are supported by long-term, fee-based agreements and volumetric commitments.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Susquehanna Supply Hub Expansion</w:t>
      </w:r>
    </w:p>
    <w:p>
      <w:pPr>
        <w:spacing w:after="0" w:line="171"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In November 2019, we completed a 500 MMcf/d expansion of the gathering systems in the Susquehanna Supply Hub to bring the capacity to approximately 4.3 Bcf/d.</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Atlantic-Gulf</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Rivervale South to Market</w:t>
      </w:r>
    </w:p>
    <w:p>
      <w:pPr>
        <w:spacing w:after="0" w:line="17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August 2018, we received approval from the FERC to expand Transco’s existing natural gas transmission system to provide incremental firm transportation capacity from the existing Rivervale interconnection with Tennessee Gas Pipeline on Transco’s North New Jersey Extension to other existing Transco locations within New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19" w:right="239" w:bottom="1440" w:gutter="0" w:footer="0" w:header="0"/>
        </w:sectPr>
      </w:pPr>
    </w:p>
    <w:bookmarkStart w:id="46" w:name="page47"/>
    <w:bookmarkEnd w:id="46"/>
    <w:p>
      <w:pPr>
        <w:jc w:val="both"/>
        <w:ind w:left="340"/>
        <w:spacing w:after="0" w:line="277" w:lineRule="auto"/>
        <w:rPr>
          <w:sz w:val="20"/>
          <w:szCs w:val="20"/>
          <w:color w:val="auto"/>
        </w:rPr>
      </w:pPr>
      <w:r>
        <w:rPr>
          <w:rFonts w:ascii="Arial" w:cs="Arial" w:eastAsia="Arial" w:hAnsi="Arial"/>
          <w:sz w:val="18"/>
          <w:szCs w:val="18"/>
          <w:color w:val="auto"/>
        </w:rPr>
        <w:t>Jersey. The project was placed into partial service in July 2019. The remaining portion of the project was placed into service in September 2019. The full project increased capacity by 190 Mdth/d.</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Norphlet Project</w:t>
      </w:r>
    </w:p>
    <w:p>
      <w:pPr>
        <w:spacing w:after="0" w:line="171"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In March 2016, we announced that we reached an agreement to provide deepwater gas gathering services to the Appomattox development in the Gulf of Mexico. We completed modifications to install an alternate delivery route to our Main Pass 261 Platform, as well as modifications to our onshore Mobile Bay processing facility. The project went in service early in July 2019, at which time we also purchased a 54-mile-long, 16-inch-diameter pipeline (the Norphlet Pipeline) for $200 million. This pipeline transports gas from the Appomattox development to our Main Pass 261 Platform.</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Gateway</w:t>
      </w:r>
    </w:p>
    <w:p>
      <w:pPr>
        <w:spacing w:after="0" w:line="171"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In December 2018, we received approval from the FERC to expand Transco’s existing natural gas transmission system to provide incremental firm transportation capacity from PennEast Pipeline Company’s proposed interconnection with Transco’s mainline south of Station 205 in New Jersey to other existing Transco meter stations within New Jersey. The project was placed into service in December 2019 and increased capacity by 65 Mdth/d.</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Gulf Connector</w:t>
      </w:r>
    </w:p>
    <w:p>
      <w:pPr>
        <w:spacing w:after="0" w:line="17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January 2019, the Gulf Connector project was placed into service. This project expanded Transco’s existing natural gas transmission system to provide incremental firm transportation capacity from Station 65 in Louisiana to delivery points in Wharton and San Patricio Counties, Texas. The project increased capacity by 475 Mdth/d.</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West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North Seattle Lateral Upgrade</w:t>
      </w:r>
    </w:p>
    <w:p>
      <w:pPr>
        <w:spacing w:after="0" w:line="17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In July 2018, we received approval from the FERC to expand delivery capabilities on Northwest Pipeline’s North Seattle Lateral. The project consists of the removal and replacement of approximately 5.9 miles of 8-inch diameter pipeline with new 20-inch diameter pipeline. The project was placed into service in November 2019. The project increased delivery capacity by approximately 159 Mdth/d.</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Wamsutter Expansion</w:t>
      </w:r>
    </w:p>
    <w:p>
      <w:pPr>
        <w:spacing w:after="0" w:line="171" w:lineRule="exact"/>
        <w:rPr>
          <w:sz w:val="20"/>
          <w:szCs w:val="20"/>
          <w:color w:val="auto"/>
        </w:rPr>
      </w:pPr>
    </w:p>
    <w:p>
      <w:pPr>
        <w:jc w:val="both"/>
        <w:ind w:left="340" w:firstLine="324"/>
        <w:spacing w:after="0" w:line="312" w:lineRule="auto"/>
        <w:rPr>
          <w:sz w:val="20"/>
          <w:szCs w:val="20"/>
          <w:color w:val="auto"/>
        </w:rPr>
      </w:pPr>
      <w:r>
        <w:rPr>
          <w:rFonts w:ascii="Arial" w:cs="Arial" w:eastAsia="Arial" w:hAnsi="Arial"/>
          <w:sz w:val="16"/>
          <w:szCs w:val="16"/>
          <w:color w:val="auto"/>
        </w:rPr>
        <w:t>We have expanded our gathering and processing infrastructure in the Wamsutter region of Wyoming in order to meet our customers’ production plans. We have completed construction of new compressor stations and modifications to our processing facilities, which were placed into service throughout 2019. The expansion added approximately 20 miles of gathering pipelines and approximately 15,000 horsepower of compression.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of Rate Case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31, 2018, Transco filed a general rate case with the FERC for an overall increase in rates. In September 2018, with the exception of certain rates that reflected a rate decrease, the FERC accepted and suspended our general rate filing to be effective March 1, 2019, subject to refund and the outcome of a hearing. The specific rates that reflected a rate decrease were accepted, without suspension, to be effective October 1, 2018, as requested by Transco, and were not subject to refund. In March 2019, the FERC accepted our motion to place the rates that were suspended by the September 2018 order into effect on March 1, 2019, subject to refund. In October 2019, we reached an agreement on the terms of a settlement with the participants that would resolve all issues in the rate case without the need for a hearing, and on December 31, 2019, we filed a formal stipulation and agreement with the FERC setting forth such terms of settlement. We anticipate FERC approval of the stipulation and agreement in the second quarter of 2020. As of December 31, 2019, we have provided a $189 million reserve for rate refunds related to increased rates collected since March 2019, which we believe is adequate for any refunds that may be required.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NGL per-unit margins were approximately 44 percent lower in 2019 compared to 2018 primarily due to a 31 percent and a 44 percent decrease in per-unit non-ethane and ethane sales prices, respectively, slightly offset by an approximate 10 percent decrease in per-unit natural gas feedstock prices.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NGL margins are defined as NGL revenues less any applicable Btu replacement cost, plant fuel, and third-party transportation and fractionation. Per-unit NGL margins are calculated based on sales of our own equity volumes at the processing plants. Our equity volumes include NGLs where we own the rights to the value from NGLs recovered at our plants under both “keep-whole” processing agreements, where we have the obligation to replace the lost heating value with natural gas, and “percent-of-liquids” agreements whereby we receive a portion of the extracted liquids with no obligation to replace the lost heating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potential impact of commodity prices on our business is further discussed in the following Company Outlook.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strategy is to provide large-scale energy infrastructure designed to maximize the opportunities created by the vast supply of natural gas and natural gas products that exists in the United States. We accomplish this by connecting the growing demand for cleaner fuels and feedstocks with our major positions in the premier natural gas and natural gas products supply basins. We continue to maintain a strong commitment to safety, environmental stewardship, operational excellence, and customer satisfaction. We believe that accomplishing these goals will position us to deliver safe and reliable service to our customers and an attractive return to our shareholders.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plan for 2020 includes a continued focus on earnings and cash flow growth, while continuing to improve leverage metrics and control operating costs. Many of our producer customers are being impacted by extremely low natural gas and NGL prices, which are driving decreased drilling. We are responding by reducing the pace of our capital growth spending in our gathering and processing business and remaining committed to operating cost discipline.</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2020, our operating results are expected to include increases from Transco’s recent expansion projects placed in-service and general rate settlement as previously discussed. We also expect an increase from a full year contribution from the Norphlet project, partially offset by lower deferred revenue amortization from Gulfstar, both in the Eastern Gulf region. Northeast results are expected to increase from higher gathering and processing volumes.We expect decreases in the West primarily due to lower deferred revenue amortization in the Barnett Shale and lower revenues from our Haynesville operations, partially offset by increased results from our DJ Basin and Eagle Ford operations. Additionally, we expect our recently implemented organizational realignment will benefit our expenses.</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growth capital and investment expenditures in 2020 are expected to be in a range from $1.1 billion to $1.3 billion. Growth capital spending in 2020 primarily includes Transco expansions, all of which are fully contracted with firm transportation agreements, and our Bluestem NGL pipeline project in the Mid-Continent region. In addition to growth capital and investment expenditures, we also remain committed to projects that maintain our assets for safe and reliable operations, as well as projects that meet legal, regulatory, and/or contractual commitments.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risks and obstacles that could impact the execution of our plan include:</w:t>
      </w:r>
    </w:p>
    <w:p>
      <w:pPr>
        <w:spacing w:after="0" w:line="198" w:lineRule="exact"/>
        <w:rPr>
          <w:sz w:val="20"/>
          <w:szCs w:val="20"/>
          <w:color w:val="auto"/>
        </w:rPr>
      </w:pPr>
    </w:p>
    <w:p>
      <w:pPr>
        <w:ind w:left="660" w:hanging="328"/>
        <w:spacing w:after="0" w:line="271" w:lineRule="auto"/>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Opposition to, and legal regulations affecting, our infrastructure projects, including the risk of delay or denial in permits and approvals needed for our projects;</w:t>
      </w:r>
    </w:p>
    <w:p>
      <w:pPr>
        <w:spacing w:after="0" w:line="146"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Counterparty credit and performance risk;</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Unexpected significant increases in capital expenditures or delays in capital project execution;</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5"/>
        </w:numPr>
        <w:rPr>
          <w:rFonts w:ascii="Arial" w:cs="Arial" w:eastAsia="Arial" w:hAnsi="Arial"/>
          <w:sz w:val="22"/>
          <w:szCs w:val="22"/>
          <w:color w:val="auto"/>
        </w:rPr>
      </w:pPr>
      <w:r>
        <w:rPr>
          <w:rFonts w:ascii="Arial" w:cs="Arial" w:eastAsia="Arial" w:hAnsi="Arial"/>
          <w:sz w:val="18"/>
          <w:szCs w:val="18"/>
          <w:color w:val="auto"/>
        </w:rPr>
        <w:t>Unexpected changes in customer drilling and production activities, which could negatively impact gathering and processing volumes;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74" w:right="239" w:bottom="1440" w:gutter="0" w:footer="0" w:header="0"/>
        </w:sectPr>
      </w:pPr>
    </w:p>
    <w:bookmarkStart w:id="48" w:name="page49"/>
    <w:bookmarkEnd w:id="48"/>
    <w:p>
      <w:pPr>
        <w:ind w:left="660" w:hanging="328"/>
        <w:spacing w:after="0" w:line="271" w:lineRule="auto"/>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Lower than anticipated demand for natural gas and natural gas products which could result in lower than expected volumes, energy commodity prices, and margins;</w:t>
      </w:r>
    </w:p>
    <w:p>
      <w:pPr>
        <w:spacing w:after="0" w:line="146"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General economic, financial markets, or further industry downturns, including increased interest rates;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Physical damages to facilities, including damage to offshore facilities by named windstorms;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18"/>
          <w:szCs w:val="18"/>
          <w:color w:val="auto"/>
        </w:rPr>
        <w:t>Other risks set forth under Part I, Item 1A. Risk Factors in this report.</w:t>
      </w:r>
    </w:p>
    <w:p>
      <w:pPr>
        <w:spacing w:after="0" w:line="16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seek to maintain a strong financial position and liquidity, as well as manage a diversified portfolio of energy infrastructure assets which continue to serve key growth markets and supply basins in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Projects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ongoing major expansion projects include the following:</w:t>
      </w:r>
    </w:p>
    <w:p>
      <w:pPr>
        <w:spacing w:after="0" w:line="171" w:lineRule="exact"/>
        <w:rPr>
          <w:sz w:val="20"/>
          <w:szCs w:val="20"/>
          <w:color w:val="auto"/>
        </w:rPr>
      </w:pPr>
    </w:p>
    <w:p>
      <w:pPr>
        <w:jc w:val="center"/>
        <w:ind w:right="10020"/>
        <w:spacing w:after="0"/>
        <w:rPr>
          <w:sz w:val="20"/>
          <w:szCs w:val="20"/>
          <w:color w:val="auto"/>
        </w:rPr>
      </w:pPr>
      <w:r>
        <w:rPr>
          <w:rFonts w:ascii="Arial" w:cs="Arial" w:eastAsia="Arial" w:hAnsi="Arial"/>
          <w:sz w:val="18"/>
          <w:szCs w:val="18"/>
          <w:i w:val="1"/>
          <w:iCs w:val="1"/>
          <w:color w:val="auto"/>
        </w:rPr>
        <w:t>Atlantic-Gulf</w:t>
      </w:r>
    </w:p>
    <w:p>
      <w:pPr>
        <w:spacing w:after="0" w:line="171" w:lineRule="exact"/>
        <w:rPr>
          <w:sz w:val="20"/>
          <w:szCs w:val="20"/>
          <w:color w:val="auto"/>
        </w:rPr>
      </w:pPr>
    </w:p>
    <w:p>
      <w:pPr>
        <w:jc w:val="center"/>
        <w:ind w:right="10040"/>
        <w:spacing w:after="0"/>
        <w:rPr>
          <w:sz w:val="20"/>
          <w:szCs w:val="20"/>
          <w:color w:val="auto"/>
        </w:rPr>
      </w:pPr>
      <w:r>
        <w:rPr>
          <w:rFonts w:ascii="Arial" w:cs="Arial" w:eastAsia="Arial" w:hAnsi="Arial"/>
          <w:sz w:val="18"/>
          <w:szCs w:val="18"/>
          <w:u w:val="single" w:color="auto"/>
          <w:color w:val="auto"/>
        </w:rPr>
        <w:t>Hillabee</w:t>
      </w:r>
    </w:p>
    <w:p>
      <w:pPr>
        <w:spacing w:after="0" w:line="171"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In February 2016, the FERC issued a certificate order for the initial phases of Transco’s Hillabee Expansion Project. The project involves an expansion of Transco’s existing natural gas transmission system from Station 85 in west central Alabama to a new interconnection with the Sabal Trail pipeline in Alabama. The project is being constructed in phases, and all of the project expansion capacity is dedicated to Sabal Trail pursuant to a capacity lease agreement. Phase I was completed in 2017 and it increased capacity by 818 Mdth/d. The in-service date of Phase II is planned for the second quarter of 2020, and together Phases I and II are expected to increase capacity by 1,025 Mdth/d.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Northeast Supply Enhancement</w:t>
      </w:r>
    </w:p>
    <w:p>
      <w:pPr>
        <w:spacing w:after="0" w:line="171"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In May 2019, we received approval from the FERC to expand Transco’s existing natural gas transmission system to provide incremental firm transportation capacity from Station 195 in Pennsylvania to the Rockaway Delivery Lateral transfer point in New York. Approvals required for the project from the New York State Department of Environmental Conservation and the New Jersey Department of Environmental Protection remain pending, with each such agency having denied, without prejudice, Transco’s applications for such approvals. We have refiled our applications for those approvals and have addressed the technical issues identified by the agencies. We plan to place the project into service in the fall of 2021, assuming timely receipt of these remaining approvals. The project is expected to increase capacity by 400 Mdth/d.</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Southeastern Trail</w:t>
      </w:r>
    </w:p>
    <w:p>
      <w:pPr>
        <w:spacing w:after="0" w:line="171"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In October 2019, we received approval from the FERC to expand Transco’s existing natural gas transmission system to provide incremental firm transportation capacity from the Pleasant Valley interconnect with Dominion’s Cove Point Pipeline in Virginia to the Station 65 pooling point in Louisiana. We plan to place the project into service in late 2020. The project is expected to increase capacity by 296 Mdth/d.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Leidy South</w:t>
      </w:r>
    </w:p>
    <w:p>
      <w:pPr>
        <w:spacing w:after="0" w:line="171"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 July 2019, we filed an application with the FERC for approval of the project to expand Transco’s existing natural gas transmission system and also extend its system through a capacity lease with National Fuel Gas Supply Corporation that will enable us to provide incremental firm transportation from Clermont, Pennsylvania and from the Zick interconnection on Transco’s Leidy Line to the River Road regulating station in Lancaster County, Pennsylvania. We plan to place the project into service as early as the fourth quarter of 2021, assuming timely receipt of all necessary regulatory approvals. The project is expected to increase capacity by 582 Mdth/d.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60" w:right="23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i w:val="1"/>
          <w:iCs w:val="1"/>
          <w:color w:val="auto"/>
        </w:rPr>
        <w:t>West</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Project Bluestem</w:t>
      </w:r>
    </w:p>
    <w:p>
      <w:pPr>
        <w:spacing w:after="0" w:line="171"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We are expanding our presence in the Mid-Continent region through building a 188-mile NGL pipeline from our fractionator near Conway, Kansas to an interconnect with a third-party NGL pipeline system in Oklahoma, providing us with firm access to Mt. Belvieu pricing. As part of the project, the third-party intends to construct a 110-mile pipeline extension of their existing NGL pipeline system that will have an initial capacity of 120 Mbbls/d. Further, during the first quarter of 2019, we exercised an option to purchase a 20 percent equity interest in a Mt. Belvieu fractionation train developed by the third party. The pipeline and extension projects are expected to be placed into service during the first quarter of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We believe that the nature of these estimates and assumptions is material due to the subjectivity and judgment necessary, or the susceptibility of such matters to change, and the impact of these on our financial condition or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Postretirement Obligations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employee benefit plans that include pension and other postretirement benefits. Net periodic benefit cost and obligations for these plans are impacted by various estimates and assumptions. These estimates and assumptions include the expected long-term rates of return on plan assets, discount rates, cash balance interest crediting rate, and employee demographics, including retirement age and mortality. These assumptions are reviewed annually and adjustments are made as needed. The assumptions utilized to compute cost and the benefit obligations are shown in Note 10 – Employee Benefit Plans of Notes to Consolidated Financial Statements.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estimated increase (decrease) in net periodic benefit cost and obligations resulting from a one-percentage-point change in the specific assumption.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961"/>
              <w:spacing w:after="0"/>
              <w:rPr>
                <w:sz w:val="20"/>
                <w:szCs w:val="20"/>
                <w:color w:val="auto"/>
              </w:rPr>
            </w:pPr>
            <w:r>
              <w:rPr>
                <w:rFonts w:ascii="Arial" w:cs="Arial" w:eastAsia="Arial" w:hAnsi="Arial"/>
                <w:sz w:val="14"/>
                <w:szCs w:val="14"/>
                <w:b w:val="1"/>
                <w:bCs w:val="1"/>
                <w:color w:val="auto"/>
              </w:rPr>
              <w:t>Benefit Cost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rPr>
              <w:t>Benefit Obligation</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3"/>
              </w:rPr>
              <w:t>One-</w:t>
            </w:r>
          </w:p>
        </w:tc>
        <w:tc>
          <w:tcPr>
            <w:tcW w:w="28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One-</w:t>
            </w:r>
          </w:p>
        </w:tc>
        <w:tc>
          <w:tcPr>
            <w:tcW w:w="280" w:type="dxa"/>
            <w:vAlign w:val="bottom"/>
          </w:tcPr>
          <w:p>
            <w:pPr>
              <w:spacing w:after="0"/>
              <w:rPr>
                <w:sz w:val="13"/>
                <w:szCs w:val="13"/>
                <w:color w:val="auto"/>
              </w:rPr>
            </w:pPr>
          </w:p>
        </w:tc>
        <w:tc>
          <w:tcPr>
            <w:tcW w:w="1120" w:type="dxa"/>
            <w:vAlign w:val="bottom"/>
          </w:tcPr>
          <w:p>
            <w:pPr>
              <w:jc w:val="center"/>
              <w:ind w:right="221"/>
              <w:spacing w:after="0" w:line="153" w:lineRule="exact"/>
              <w:rPr>
                <w:sz w:val="20"/>
                <w:szCs w:val="20"/>
                <w:color w:val="auto"/>
              </w:rPr>
            </w:pPr>
            <w:r>
              <w:rPr>
                <w:rFonts w:ascii="Arial" w:cs="Arial" w:eastAsia="Arial" w:hAnsi="Arial"/>
                <w:sz w:val="14"/>
                <w:szCs w:val="14"/>
                <w:b w:val="1"/>
                <w:bCs w:val="1"/>
                <w:color w:val="auto"/>
                <w:w w:val="93"/>
              </w:rPr>
              <w:t>One-</w:t>
            </w:r>
          </w:p>
        </w:tc>
        <w:tc>
          <w:tcPr>
            <w:tcW w:w="300" w:type="dxa"/>
            <w:vAlign w:val="bottom"/>
          </w:tcPr>
          <w:p>
            <w:pPr>
              <w:spacing w:after="0"/>
              <w:rPr>
                <w:sz w:val="13"/>
                <w:szCs w:val="13"/>
                <w:color w:val="auto"/>
              </w:rPr>
            </w:pPr>
          </w:p>
        </w:tc>
        <w:tc>
          <w:tcPr>
            <w:tcW w:w="1140" w:type="dxa"/>
            <w:vAlign w:val="bottom"/>
          </w:tcPr>
          <w:p>
            <w:pPr>
              <w:jc w:val="center"/>
              <w:ind w:right="161"/>
              <w:spacing w:after="0" w:line="153" w:lineRule="exact"/>
              <w:rPr>
                <w:sz w:val="20"/>
                <w:szCs w:val="20"/>
                <w:color w:val="auto"/>
              </w:rPr>
            </w:pPr>
            <w:r>
              <w:rPr>
                <w:rFonts w:ascii="Arial" w:cs="Arial" w:eastAsia="Arial" w:hAnsi="Arial"/>
                <w:sz w:val="14"/>
                <w:szCs w:val="14"/>
                <w:b w:val="1"/>
                <w:bCs w:val="1"/>
                <w:color w:val="auto"/>
                <w:w w:val="93"/>
              </w:rPr>
              <w:t>One-</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Percentage-</w:t>
            </w:r>
          </w:p>
        </w:tc>
        <w:tc>
          <w:tcPr>
            <w:tcW w:w="2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Percentage-</w:t>
            </w:r>
          </w:p>
        </w:tc>
        <w:tc>
          <w:tcPr>
            <w:tcW w:w="280" w:type="dxa"/>
            <w:vAlign w:val="bottom"/>
          </w:tcPr>
          <w:p>
            <w:pPr>
              <w:spacing w:after="0"/>
              <w:rPr>
                <w:sz w:val="12"/>
                <w:szCs w:val="12"/>
                <w:color w:val="auto"/>
              </w:rPr>
            </w:pPr>
          </w:p>
        </w:tc>
        <w:tc>
          <w:tcPr>
            <w:tcW w:w="11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9"/>
              </w:rPr>
              <w:t>Percentage-</w:t>
            </w:r>
          </w:p>
        </w:tc>
        <w:tc>
          <w:tcPr>
            <w:tcW w:w="30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Percentage-</w:t>
            </w: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7"/>
              </w:rPr>
              <w:t>Point</w:t>
            </w:r>
          </w:p>
        </w:tc>
        <w:tc>
          <w:tcPr>
            <w:tcW w:w="2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Point</w:t>
            </w:r>
          </w:p>
        </w:tc>
        <w:tc>
          <w:tcPr>
            <w:tcW w:w="280" w:type="dxa"/>
            <w:vAlign w:val="bottom"/>
          </w:tcPr>
          <w:p>
            <w:pPr>
              <w:spacing w:after="0"/>
              <w:rPr>
                <w:sz w:val="12"/>
                <w:szCs w:val="12"/>
                <w:color w:val="auto"/>
              </w:rPr>
            </w:pPr>
          </w:p>
        </w:tc>
        <w:tc>
          <w:tcPr>
            <w:tcW w:w="11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91"/>
              </w:rPr>
              <w:t>Point</w:t>
            </w:r>
          </w:p>
        </w:tc>
        <w:tc>
          <w:tcPr>
            <w:tcW w:w="300" w:type="dxa"/>
            <w:vAlign w:val="bottom"/>
          </w:tcPr>
          <w:p>
            <w:pPr>
              <w:spacing w:after="0"/>
              <w:rPr>
                <w:sz w:val="12"/>
                <w:szCs w:val="12"/>
                <w:color w:val="auto"/>
              </w:rPr>
            </w:pPr>
          </w:p>
        </w:tc>
        <w:tc>
          <w:tcPr>
            <w:tcW w:w="11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Point</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1"/>
              </w:rPr>
              <w:t>Increase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1"/>
              </w:rPr>
              <w:t>Increase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Decrease</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Pension benefits: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39"/>
        </w:trPr>
        <w:tc>
          <w:tcPr>
            <w:tcW w:w="5620" w:type="dxa"/>
            <w:vAlign w:val="bottom"/>
          </w:tcPr>
          <w:p>
            <w:pPr>
              <w:ind w:left="540"/>
              <w:spacing w:after="0"/>
              <w:rPr>
                <w:sz w:val="20"/>
                <w:szCs w:val="20"/>
                <w:color w:val="auto"/>
              </w:rPr>
            </w:pPr>
            <w:r>
              <w:rPr>
                <w:rFonts w:ascii="Arial" w:cs="Arial" w:eastAsia="Arial" w:hAnsi="Arial"/>
                <w:sz w:val="17"/>
                <w:szCs w:val="17"/>
                <w:color w:val="auto"/>
              </w:rPr>
              <w:t>Discount rate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(102)</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120</w:t>
            </w: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Expected long-term rate of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239"/>
        </w:trPr>
        <w:tc>
          <w:tcPr>
            <w:tcW w:w="5620" w:type="dxa"/>
            <w:vAlign w:val="bottom"/>
          </w:tcPr>
          <w:p>
            <w:pPr>
              <w:ind w:left="540"/>
              <w:spacing w:after="0"/>
              <w:rPr>
                <w:sz w:val="20"/>
                <w:szCs w:val="20"/>
                <w:color w:val="auto"/>
              </w:rPr>
            </w:pPr>
            <w:r>
              <w:rPr>
                <w:rFonts w:ascii="Arial" w:cs="Arial" w:eastAsia="Arial" w:hAnsi="Arial"/>
                <w:sz w:val="17"/>
                <w:szCs w:val="17"/>
                <w:color w:val="auto"/>
              </w:rPr>
              <w:t>Cash balance interest crediting rate</w:t>
            </w:r>
          </w:p>
        </w:tc>
        <w:tc>
          <w:tcPr>
            <w:tcW w:w="22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7"/>
                <w:szCs w:val="17"/>
                <w:color w:val="auto"/>
              </w:rPr>
              <w:t>71</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9"/>
        </w:trPr>
        <w:tc>
          <w:tcPr>
            <w:tcW w:w="5620" w:type="dxa"/>
            <w:vAlign w:val="bottom"/>
          </w:tcPr>
          <w:p>
            <w:pPr>
              <w:ind w:left="540"/>
              <w:spacing w:after="0"/>
              <w:rPr>
                <w:sz w:val="20"/>
                <w:szCs w:val="20"/>
                <w:color w:val="auto"/>
              </w:rPr>
            </w:pPr>
            <w:r>
              <w:rPr>
                <w:rFonts w:ascii="Arial" w:cs="Arial" w:eastAsia="Arial" w:hAnsi="Arial"/>
                <w:sz w:val="17"/>
                <w:szCs w:val="17"/>
                <w:color w:val="auto"/>
              </w:rPr>
              <w:t>Discount rate</w:t>
            </w:r>
          </w:p>
        </w:tc>
        <w:tc>
          <w:tcPr>
            <w:tcW w:w="22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7"/>
                <w:szCs w:val="17"/>
                <w:color w:val="auto"/>
              </w:rPr>
              <w:t>(23)</w:t>
            </w:r>
          </w:p>
        </w:tc>
        <w:tc>
          <w:tcPr>
            <w:tcW w:w="30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28</w:t>
            </w:r>
          </w:p>
        </w:tc>
      </w:tr>
      <w:tr>
        <w:trPr>
          <w:trHeight w:val="31"/>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56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Expected long-term rate of return on plan 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w:t>
            </w:r>
          </w:p>
        </w:tc>
      </w:tr>
      <w:tr>
        <w:trPr>
          <w:trHeight w:val="31"/>
        </w:trPr>
        <w:tc>
          <w:tcPr>
            <w:tcW w:w="5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expected long-term rates of return on plan assets, as determined at the beginning of each fiscal year, are based on the average rate of return expected on the funds invested in the plans. We determine our long-term expected rates of return on plan assets using our expectations of capital market results, which include an analysis of historical results as well as forward-looking projections. These capital market expectations are based on a period of at least 10 years and take into account our investment strategy and mix of assets. We develop our expectations using input from our third-party independent investment consultant. The forward-looking capital market projections start with current conditions of interest rates, equity pricing, economic growth, and inflation and those are overlaid with forward looking projections of normal inflation, growth, and interest rates to determine expected returns. The capital market return projections for specific asset classes in the investment portfolio are then applied to the relative weightings of the asset classes in the investment portfolio. The resulting rates are an estimate of future results and, thus, likely to be different than actual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19" w:right="239" w:bottom="1440" w:gutter="0" w:footer="0" w:header="0"/>
        </w:sectPr>
      </w:pPr>
    </w:p>
    <w:bookmarkStart w:id="50" w:name="page51"/>
    <w:bookmarkEnd w:id="50"/>
    <w:p>
      <w:pPr>
        <w:jc w:val="both"/>
        <w:ind w:firstLine="324"/>
        <w:spacing w:after="0" w:line="259" w:lineRule="auto"/>
        <w:rPr>
          <w:sz w:val="20"/>
          <w:szCs w:val="20"/>
          <w:color w:val="auto"/>
        </w:rPr>
      </w:pPr>
      <w:r>
        <w:rPr>
          <w:rFonts w:ascii="Arial" w:cs="Arial" w:eastAsia="Arial" w:hAnsi="Arial"/>
          <w:sz w:val="18"/>
          <w:szCs w:val="18"/>
          <w:color w:val="auto"/>
        </w:rPr>
        <w:t>Our expected long-term rate of return on plan assets used for our pension plans was 5.26 percent in 2019. The 2019 actual return on plan assets for our pension plans was approximately 19.0 percent. The 10-year average rate of return on pension plan assets through December 2019 was approximately 8.1 percent. The expected rates of return on plan assets are long-term in nature and are not significantly impacted by short-term market performance. Changes to our asset allocation also impact the expected rates of return.</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discount rates are used to measure the benefit obligations of our pension and other postretirement benefit plans. The objective of the discount rates is to determine the amount, if invested at the December 31 measurement date in a portfolio of high-quality debt securities, that will provide the necessary cash flows when benefit payments are due. Increases in the discount rates decrease the obligation and, generally, decrease the related cost. The discount rates for our pension and other postretirement benefit plans are determined separately based on an approach specific to our plans and their respective expected benefit cash flows as described in Note 1 – General, Description of Business, Basis of Presentation, and Summary of Significant Accounting Policies and Note 10 – Employee Benefit Plans of Notes to Consolidated Financial Statements. Our discount rate assumptions are impacted by changes in general economic and market conditions that affect interest rates on long-term, high-quality debt securities as well as by the duration of our plans’ liabilities.</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cash balance interest crediting rate assumption represents the average long-term rate by which the pension plans’ cash balance accounts are expected to grow. Interest on the cash balance accounts is based on the 30-year U.S. Treasury securities rate and is credited to the accounts quarterly. An increase in this rate causes the pension obligation and cost to increase.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Equity-Method Investments</w:t>
      </w:r>
    </w:p>
    <w:p>
      <w:pPr>
        <w:spacing w:after="0" w:line="30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continue to monitor our equity-method investments for any indications that the carrying value may have experienced an other-than-temporary decline in value. When evidence of a loss in value has occurred, we compare our estimate of the fair value of the investment to the carrying value of the investment to determine whether an impairment has occurred. We generally estimate the fair value of our investments using an income approach where significant judgments and assumptions include expected future cash flows and the appropriate discount rate. We also utilize a form of market approach to estimate the fair value of our investments. During 2019, we recognized impairments totaling $186 million related to our equity-method investments. (See Note 18 – Fair Value Measurements, Guarantees, and Concentration of Credit Risk of Notes to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1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Overview</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and discussion is a summary of our consolidated results of operations for the three years ended December 31, 2019. The results of operations by segment are discussed in further detail following this consolidated overview discussion.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left="21"/>
              <w:spacing w:after="0"/>
              <w:rPr>
                <w:sz w:val="20"/>
                <w:szCs w:val="20"/>
                <w:color w:val="auto"/>
              </w:rPr>
            </w:pPr>
            <w:r>
              <w:rPr>
                <w:rFonts w:ascii="Arial" w:cs="Arial" w:eastAsia="Arial" w:hAnsi="Arial"/>
                <w:sz w:val="14"/>
                <w:szCs w:val="14"/>
                <w:b w:val="1"/>
                <w:bCs w:val="1"/>
                <w:color w:val="auto"/>
                <w:w w:val="93"/>
              </w:rPr>
              <w:t>Year Ended December 31,</w:t>
            </w: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 Change</w:t>
            </w:r>
          </w:p>
        </w:tc>
        <w:tc>
          <w:tcPr>
            <w:tcW w:w="1340" w:type="dxa"/>
            <w:vAlign w:val="bottom"/>
            <w:gridSpan w:val="2"/>
          </w:tcPr>
          <w:p>
            <w:pPr>
              <w:jc w:val="center"/>
              <w:ind w:right="179"/>
              <w:spacing w:after="0" w:line="153" w:lineRule="exact"/>
              <w:rPr>
                <w:sz w:val="20"/>
                <w:szCs w:val="20"/>
                <w:color w:val="auto"/>
              </w:rPr>
            </w:pPr>
            <w:r>
              <w:rPr>
                <w:rFonts w:ascii="Arial" w:cs="Arial" w:eastAsia="Arial" w:hAnsi="Arial"/>
                <w:sz w:val="14"/>
                <w:szCs w:val="14"/>
                <w:b w:val="1"/>
                <w:bCs w:val="1"/>
                <w:color w:val="auto"/>
                <w:w w:val="94"/>
              </w:rPr>
              <w:t>% Change</w:t>
            </w:r>
          </w:p>
        </w:tc>
        <w:tc>
          <w:tcPr>
            <w:tcW w:w="76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 Change</w:t>
            </w:r>
          </w:p>
        </w:tc>
        <w:tc>
          <w:tcPr>
            <w:tcW w:w="1420" w:type="dxa"/>
            <w:vAlign w:val="bottom"/>
            <w:gridSpan w:val="2"/>
          </w:tcPr>
          <w:p>
            <w:pPr>
              <w:jc w:val="center"/>
              <w:ind w:right="239"/>
              <w:spacing w:after="0" w:line="153" w:lineRule="exact"/>
              <w:rPr>
                <w:sz w:val="20"/>
                <w:szCs w:val="20"/>
                <w:color w:val="auto"/>
              </w:rPr>
            </w:pPr>
            <w:r>
              <w:rPr>
                <w:rFonts w:ascii="Arial" w:cs="Arial" w:eastAsia="Arial" w:hAnsi="Arial"/>
                <w:sz w:val="14"/>
                <w:szCs w:val="14"/>
                <w:b w:val="1"/>
                <w:bCs w:val="1"/>
                <w:color w:val="auto"/>
                <w:w w:val="97"/>
              </w:rPr>
              <w:t>% Change</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3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6"/>
              </w:rPr>
              <w:t>from</w:t>
            </w:r>
          </w:p>
        </w:tc>
        <w:tc>
          <w:tcPr>
            <w:tcW w:w="7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6"/>
              </w:rPr>
              <w:t>2018</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1420" w:type="dxa"/>
            <w:vAlign w:val="bottom"/>
            <w:gridSpan w:val="2"/>
          </w:tcPr>
          <w:p>
            <w:pPr>
              <w:jc w:val="center"/>
              <w:ind w:right="239"/>
              <w:spacing w:after="0" w:line="149" w:lineRule="exact"/>
              <w:rPr>
                <w:sz w:val="20"/>
                <w:szCs w:val="20"/>
                <w:color w:val="auto"/>
              </w:rPr>
            </w:pPr>
            <w:r>
              <w:rPr>
                <w:rFonts w:ascii="Arial" w:cs="Arial" w:eastAsia="Arial" w:hAnsi="Arial"/>
                <w:sz w:val="14"/>
                <w:szCs w:val="14"/>
                <w:b w:val="1"/>
                <w:bCs w:val="1"/>
                <w:color w:val="auto"/>
                <w:w w:val="96"/>
              </w:rPr>
              <w:t>from</w:t>
            </w:r>
          </w:p>
        </w:tc>
        <w:tc>
          <w:tcPr>
            <w:tcW w:w="6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2018*</w:t>
            </w:r>
          </w:p>
        </w:tc>
        <w:tc>
          <w:tcPr>
            <w:tcW w:w="12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8"/>
              </w:rPr>
              <w:t>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2017*</w:t>
            </w:r>
          </w:p>
        </w:tc>
        <w:tc>
          <w:tcPr>
            <w:tcW w:w="12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2017*</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7"/>
              </w:rPr>
              <w:t>(Millions)</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540"/>
              <w:spacing w:after="0"/>
              <w:rPr>
                <w:sz w:val="20"/>
                <w:szCs w:val="20"/>
                <w:color w:val="auto"/>
              </w:rPr>
            </w:pPr>
            <w:r>
              <w:rPr>
                <w:rFonts w:ascii="Arial" w:cs="Arial" w:eastAsia="Arial" w:hAnsi="Arial"/>
                <w:sz w:val="16"/>
                <w:szCs w:val="16"/>
                <w:color w:val="auto"/>
              </w:rPr>
              <w:t>Service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5,933</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+431</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+8 %  $</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5,502</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+190</w:t>
            </w:r>
          </w:p>
        </w:tc>
        <w:tc>
          <w:tcPr>
            <w:tcW w:w="1420" w:type="dxa"/>
            <w:vAlign w:val="bottom"/>
            <w:gridSpan w:val="2"/>
          </w:tcPr>
          <w:p>
            <w:pPr>
              <w:jc w:val="right"/>
              <w:ind w:right="19"/>
              <w:spacing w:after="0"/>
              <w:rPr>
                <w:sz w:val="20"/>
                <w:szCs w:val="20"/>
                <w:color w:val="auto"/>
              </w:rPr>
            </w:pPr>
            <w:r>
              <w:rPr>
                <w:rFonts w:ascii="Arial" w:cs="Arial" w:eastAsia="Arial" w:hAnsi="Arial"/>
                <w:sz w:val="16"/>
                <w:szCs w:val="16"/>
                <w:color w:val="auto"/>
              </w:rPr>
              <w:t>+4 %  $</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5,312</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Service revenues – commodity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-197</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-49 %</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w:t>
            </w:r>
          </w:p>
        </w:tc>
        <w:tc>
          <w:tcPr>
            <w:tcW w:w="142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NM</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540"/>
              <w:spacing w:after="0"/>
              <w:rPr>
                <w:sz w:val="20"/>
                <w:szCs w:val="20"/>
                <w:color w:val="auto"/>
              </w:rPr>
            </w:pPr>
            <w:r>
              <w:rPr>
                <w:rFonts w:ascii="Arial" w:cs="Arial" w:eastAsia="Arial" w:hAnsi="Arial"/>
                <w:sz w:val="16"/>
                <w:szCs w:val="16"/>
                <w:color w:val="auto"/>
              </w:rPr>
              <w:t>Product sales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2,065</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-719</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-26 %</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2,784</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+65</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8,201</w:t>
            </w:r>
          </w:p>
        </w:tc>
        <w:tc>
          <w:tcPr>
            <w:tcW w:w="1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8,686</w:t>
            </w:r>
          </w:p>
        </w:tc>
        <w:tc>
          <w:tcPr>
            <w:tcW w:w="1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8,031</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Product costs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1,961</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+746</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+28 %</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2,707</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-407</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-18 %</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237"/>
        </w:trPr>
        <w:tc>
          <w:tcPr>
            <w:tcW w:w="4080" w:type="dxa"/>
            <w:vAlign w:val="bottom"/>
          </w:tcPr>
          <w:p>
            <w:pPr>
              <w:ind w:left="540"/>
              <w:spacing w:after="0"/>
              <w:rPr>
                <w:sz w:val="20"/>
                <w:szCs w:val="20"/>
                <w:color w:val="auto"/>
              </w:rPr>
            </w:pPr>
            <w:r>
              <w:rPr>
                <w:rFonts w:ascii="Arial" w:cs="Arial" w:eastAsia="Arial" w:hAnsi="Arial"/>
                <w:sz w:val="16"/>
                <w:szCs w:val="16"/>
                <w:color w:val="auto"/>
              </w:rPr>
              <w:t>Processing commodity expenses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+23 %</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-137</w:t>
            </w:r>
          </w:p>
        </w:tc>
        <w:tc>
          <w:tcPr>
            <w:tcW w:w="1420" w:type="dxa"/>
            <w:vAlign w:val="bottom"/>
            <w:gridSpan w:val="2"/>
          </w:tcPr>
          <w:p>
            <w:pPr>
              <w:jc w:val="right"/>
              <w:ind w:right="439"/>
              <w:spacing w:after="0"/>
              <w:rPr>
                <w:sz w:val="20"/>
                <w:szCs w:val="20"/>
                <w:color w:val="auto"/>
              </w:rPr>
            </w:pPr>
            <w:r>
              <w:rPr>
                <w:rFonts w:ascii="Arial" w:cs="Arial" w:eastAsia="Arial" w:hAnsi="Arial"/>
                <w:sz w:val="16"/>
                <w:szCs w:val="16"/>
                <w:color w:val="auto"/>
              </w:rPr>
              <w:t>NM</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Operating and maintenance 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+39</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+3 %</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1,507</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37"/>
        </w:trPr>
        <w:tc>
          <w:tcPr>
            <w:tcW w:w="4080" w:type="dxa"/>
            <w:vAlign w:val="bottom"/>
          </w:tcPr>
          <w:p>
            <w:pPr>
              <w:ind w:left="540"/>
              <w:spacing w:after="0"/>
              <w:rPr>
                <w:sz w:val="20"/>
                <w:szCs w:val="20"/>
                <w:color w:val="auto"/>
              </w:rPr>
            </w:pPr>
            <w:r>
              <w:rPr>
                <w:rFonts w:ascii="Arial" w:cs="Arial" w:eastAsia="Arial" w:hAnsi="Arial"/>
                <w:sz w:val="16"/>
                <w:szCs w:val="16"/>
                <w:color w:val="auto"/>
              </w:rPr>
              <w:t>Depreciation and amortization expenses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1,714</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1,725</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+11</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+2 %</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237"/>
        </w:trPr>
        <w:tc>
          <w:tcPr>
            <w:tcW w:w="4080" w:type="dxa"/>
            <w:vAlign w:val="bottom"/>
          </w:tcPr>
          <w:p>
            <w:pPr>
              <w:ind w:left="220"/>
              <w:spacing w:after="0"/>
              <w:rPr>
                <w:sz w:val="20"/>
                <w:szCs w:val="20"/>
                <w:color w:val="auto"/>
              </w:rPr>
            </w:pPr>
            <w:r>
              <w:rPr>
                <w:rFonts w:ascii="Arial" w:cs="Arial" w:eastAsia="Arial" w:hAnsi="Arial"/>
                <w:sz w:val="16"/>
                <w:szCs w:val="16"/>
                <w:color w:val="auto"/>
              </w:rPr>
              <w:t>Impairment of certain assets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+1,451</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+76 %</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1,915</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-667</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-53 %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Gain on sale of certain assets and businesses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-694</w:t>
            </w:r>
          </w:p>
        </w:tc>
        <w:tc>
          <w:tcPr>
            <w:tcW w:w="13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NM</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-403</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0" w:type="dxa"/>
            <w:vAlign w:val="bottom"/>
          </w:tcPr>
          <w:p>
            <w:pPr>
              <w:spacing w:after="0"/>
              <w:rPr>
                <w:sz w:val="1"/>
                <w:szCs w:val="1"/>
                <w:color w:val="auto"/>
              </w:rPr>
            </w:pPr>
          </w:p>
        </w:tc>
      </w:tr>
      <w:tr>
        <w:trPr>
          <w:trHeight w:val="237"/>
        </w:trPr>
        <w:tc>
          <w:tcPr>
            <w:tcW w:w="4080" w:type="dxa"/>
            <w:vAlign w:val="bottom"/>
          </w:tcPr>
          <w:p>
            <w:pPr>
              <w:ind w:left="540"/>
              <w:spacing w:after="0"/>
              <w:rPr>
                <w:sz w:val="20"/>
                <w:szCs w:val="20"/>
                <w:color w:val="auto"/>
              </w:rPr>
            </w:pPr>
            <w:r>
              <w:rPr>
                <w:rFonts w:ascii="Arial" w:cs="Arial" w:eastAsia="Arial" w:hAnsi="Arial"/>
                <w:sz w:val="16"/>
                <w:szCs w:val="16"/>
                <w:color w:val="auto"/>
              </w:rPr>
              <w:t>Regulatory charges resulting from Tax Reform</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-17</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-100 %</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+691</w:t>
            </w:r>
          </w:p>
        </w:tc>
        <w:tc>
          <w:tcPr>
            <w:tcW w:w="1420" w:type="dxa"/>
            <w:vAlign w:val="bottom"/>
            <w:gridSpan w:val="2"/>
          </w:tcPr>
          <w:p>
            <w:pPr>
              <w:jc w:val="right"/>
              <w:ind w:right="439"/>
              <w:spacing w:after="0"/>
              <w:rPr>
                <w:sz w:val="20"/>
                <w:szCs w:val="20"/>
                <w:color w:val="auto"/>
              </w:rPr>
            </w:pPr>
            <w:r>
              <w:rPr>
                <w:rFonts w:ascii="Arial" w:cs="Arial" w:eastAsia="Arial" w:hAnsi="Arial"/>
                <w:sz w:val="16"/>
                <w:szCs w:val="16"/>
                <w:color w:val="auto"/>
              </w:rPr>
              <w:t>NM</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(income) expense – net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+59</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+88 %</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+6 %</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7"/>
        </w:trPr>
        <w:tc>
          <w:tcPr>
            <w:tcW w:w="4080" w:type="dxa"/>
            <w:vAlign w:val="bottom"/>
          </w:tcPr>
          <w:p>
            <w:pPr>
              <w:ind w:left="104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6,280</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7,918</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7,104</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1,921</w:t>
            </w:r>
          </w:p>
        </w:tc>
        <w:tc>
          <w:tcPr>
            <w:tcW w:w="1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768</w:t>
            </w:r>
          </w:p>
        </w:tc>
        <w:tc>
          <w:tcPr>
            <w:tcW w:w="1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Equity earnings (losses)</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-21</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396</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-38</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-9 %</w:t>
            </w:r>
          </w:p>
        </w:tc>
        <w:tc>
          <w:tcPr>
            <w:tcW w:w="2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income (loss) –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-266</w:t>
            </w:r>
          </w:p>
        </w:tc>
        <w:tc>
          <w:tcPr>
            <w:tcW w:w="13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NM</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-95</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-34 %</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(1,186)</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-74</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-3 %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(1,083)</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 net</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-59</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-64 %</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+117</w:t>
            </w:r>
          </w:p>
        </w:tc>
        <w:tc>
          <w:tcPr>
            <w:tcW w:w="142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NM</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40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tcPr>
          <w:p>
            <w:pPr>
              <w:ind w:left="200"/>
              <w:spacing w:after="0"/>
              <w:rPr>
                <w:sz w:val="20"/>
                <w:szCs w:val="20"/>
                <w:color w:val="auto"/>
              </w:rPr>
            </w:pPr>
            <w:r>
              <w:rPr>
                <w:rFonts w:ascii="Arial" w:cs="Arial" w:eastAsia="Arial" w:hAnsi="Arial"/>
                <w:sz w:val="16"/>
                <w:szCs w:val="16"/>
                <w:color w:val="auto"/>
              </w:rPr>
              <w:t>taxes</w:t>
            </w:r>
          </w:p>
        </w:tc>
        <w:tc>
          <w:tcPr>
            <w:tcW w:w="20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1,064</w:t>
            </w: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-197</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-143 %</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-2,112</w:t>
            </w:r>
          </w:p>
        </w:tc>
        <w:tc>
          <w:tcPr>
            <w:tcW w:w="142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6"/>
                <w:szCs w:val="16"/>
                <w:color w:val="auto"/>
              </w:rPr>
              <w:t>NM</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17"/>
        </w:trPr>
        <w:tc>
          <w:tcPr>
            <w:tcW w:w="408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193</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2,509</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w:t>
            </w:r>
          </w:p>
        </w:tc>
        <w:tc>
          <w:tcPr>
            <w:tcW w:w="13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NM</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 %</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80" w:type="dxa"/>
            <w:vAlign w:val="bottom"/>
          </w:tcPr>
          <w:p>
            <w:pPr>
              <w:ind w:left="540"/>
              <w:spacing w:after="0"/>
              <w:rPr>
                <w:sz w:val="20"/>
                <w:szCs w:val="20"/>
                <w:color w:val="auto"/>
              </w:rPr>
            </w:pPr>
            <w:r>
              <w:rPr>
                <w:rFonts w:ascii="Arial" w:cs="Arial" w:eastAsia="Arial" w:hAnsi="Arial"/>
                <w:sz w:val="16"/>
                <w:szCs w:val="16"/>
                <w:color w:val="auto"/>
              </w:rPr>
              <w:t>Net income (loss)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714</w:t>
            </w: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193</w:t>
            </w: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2,509</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Less: Net income (loss) attributable to noncontrolling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1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+484</w:t>
            </w:r>
          </w:p>
        </w:tc>
        <w:tc>
          <w:tcPr>
            <w:tcW w:w="134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NM</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w:t>
            </w:r>
          </w:p>
        </w:tc>
        <w:tc>
          <w:tcPr>
            <w:tcW w:w="11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0"/>
        </w:trPr>
        <w:tc>
          <w:tcPr>
            <w:tcW w:w="4080" w:type="dxa"/>
            <w:vAlign w:val="bottom"/>
          </w:tcPr>
          <w:p>
            <w:pPr>
              <w:ind w:left="540"/>
              <w:spacing w:after="0"/>
              <w:rPr>
                <w:sz w:val="20"/>
                <w:szCs w:val="20"/>
                <w:color w:val="auto"/>
              </w:rPr>
            </w:pPr>
            <w:r>
              <w:rPr>
                <w:rFonts w:ascii="Arial" w:cs="Arial" w:eastAsia="Arial" w:hAnsi="Arial"/>
                <w:sz w:val="16"/>
                <w:szCs w:val="16"/>
                <w:color w:val="auto"/>
              </w:rPr>
              <w:t>Net income (loss) attributable to The Williams</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850</w:t>
            </w:r>
          </w:p>
        </w:tc>
        <w:tc>
          <w:tcPr>
            <w:tcW w:w="1140" w:type="dxa"/>
            <w:vAlign w:val="bottom"/>
          </w:tcPr>
          <w:p>
            <w:pPr>
              <w:spacing w:after="0"/>
              <w:rPr>
                <w:sz w:val="17"/>
                <w:szCs w:val="17"/>
                <w:color w:val="auto"/>
              </w:rPr>
            </w:pPr>
          </w:p>
        </w:tc>
        <w:tc>
          <w:tcPr>
            <w:tcW w:w="1200" w:type="dxa"/>
            <w:vAlign w:val="bottom"/>
            <w:vMerge w:val="restart"/>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(155)</w:t>
            </w:r>
          </w:p>
        </w:tc>
        <w:tc>
          <w:tcPr>
            <w:tcW w:w="1120" w:type="dxa"/>
            <w:vAlign w:val="bottom"/>
          </w:tcPr>
          <w:p>
            <w:pPr>
              <w:spacing w:after="0"/>
              <w:rPr>
                <w:sz w:val="17"/>
                <w:szCs w:val="17"/>
                <w:color w:val="auto"/>
              </w:rPr>
            </w:pPr>
          </w:p>
        </w:tc>
        <w:tc>
          <w:tcPr>
            <w:tcW w:w="120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6"/>
        </w:trPr>
        <w:tc>
          <w:tcPr>
            <w:tcW w:w="4080" w:type="dxa"/>
            <w:vAlign w:val="bottom"/>
          </w:tcPr>
          <w:p>
            <w:pPr>
              <w:ind w:left="540"/>
              <w:spacing w:after="0"/>
              <w:rPr>
                <w:sz w:val="20"/>
                <w:szCs w:val="20"/>
                <w:color w:val="auto"/>
              </w:rPr>
            </w:pPr>
            <w:r>
              <w:rPr>
                <w:rFonts w:ascii="Arial" w:cs="Arial" w:eastAsia="Arial" w:hAnsi="Arial"/>
                <w:sz w:val="16"/>
                <w:szCs w:val="16"/>
                <w:color w:val="auto"/>
              </w:rPr>
              <w:t>Companies, Inc.</w:t>
            </w: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6685915</wp:posOffset>
            </wp:positionH>
            <wp:positionV relativeFrom="paragraph">
              <wp:posOffset>12700</wp:posOffset>
            </wp:positionV>
            <wp:extent cx="565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12700</wp:posOffset>
            </wp:positionV>
            <wp:extent cx="565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12700</wp:posOffset>
            </wp:positionV>
            <wp:extent cx="565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6685915</wp:posOffset>
            </wp:positionH>
            <wp:positionV relativeFrom="paragraph">
              <wp:posOffset>-130175</wp:posOffset>
            </wp:positionV>
            <wp:extent cx="565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-130175</wp:posOffset>
            </wp:positionV>
            <wp:extent cx="565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-130175</wp:posOffset>
            </wp:positionV>
            <wp:extent cx="5657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 w:lineRule="exact"/>
        <w:rPr>
          <w:sz w:val="20"/>
          <w:szCs w:val="20"/>
          <w:color w:val="auto"/>
        </w:rPr>
      </w:pPr>
    </w:p>
    <w:p>
      <w:pPr>
        <w:ind w:left="260" w:hanging="252"/>
        <w:spacing w:after="0" w:line="261" w:lineRule="auto"/>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 Favorable change; - = Unfavorable change; NM = A percentage calculation is not meaningful due to a change in signs, a zero-value denominator, or a percentage change greater than 200.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69" w:right="239" w:bottom="1440" w:gutter="0" w:footer="0" w:header="0"/>
        </w:sectPr>
      </w:pPr>
    </w:p>
    <w:bookmarkStart w:id="52" w:name="page53"/>
    <w:bookmarkEnd w:id="52"/>
    <w:p>
      <w:pPr>
        <w:ind w:left="180"/>
        <w:spacing w:after="0"/>
        <w:rPr>
          <w:sz w:val="20"/>
          <w:szCs w:val="20"/>
          <w:color w:val="auto"/>
        </w:rPr>
      </w:pPr>
      <w:r>
        <w:rPr>
          <w:rFonts w:ascii="Arial" w:cs="Arial" w:eastAsia="Arial" w:hAnsi="Arial"/>
          <w:sz w:val="18"/>
          <w:szCs w:val="18"/>
          <w:i w:val="1"/>
          <w:iCs w:val="1"/>
          <w:color w:val="auto"/>
        </w:rPr>
        <w:t>2019 vs. 2018</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Service revenues </w:t>
      </w:r>
      <w:r>
        <w:rPr>
          <w:rFonts w:ascii="Arial" w:cs="Arial" w:eastAsia="Arial" w:hAnsi="Arial"/>
          <w:sz w:val="17"/>
          <w:szCs w:val="17"/>
          <w:color w:val="auto"/>
        </w:rPr>
        <w:t>increased primarily due to higher transportation fee revenues at Transco associated with expansion projects placed in service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and 2018, as well as the impact of the consolidation of UEOM, higher Northeast volumes at the Susquehanna Supply Hub and Ohio Valley Midstream regions, and higher gathering rates and volumes at the Utica Shale region. These increases are partially offset by the absence of revenues associated with asset divestitures and deconsolidations during 2018, including our former Four Corners area operations, as well as lower revenue in the Barnett Shale associated with the end of a contractual MVC period and lower revenue at Gulfstar primarily associated with producer operational issues.</w:t>
      </w:r>
    </w:p>
    <w:p>
      <w:pPr>
        <w:spacing w:after="0" w:line="11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Service revenues – commodity consideration </w:t>
      </w:r>
      <w:r>
        <w:rPr>
          <w:rFonts w:ascii="Arial" w:cs="Arial" w:eastAsia="Arial" w:hAnsi="Arial"/>
          <w:sz w:val="17"/>
          <w:szCs w:val="17"/>
          <w:color w:val="auto"/>
        </w:rPr>
        <w:t>decreased due to lower NGL prices and lower volumes primarily due to the absence of our former Four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Corners area operations. These revenues represent consideration we receive in the form of commodities as full or partial payment for processing services provided. Most of these NGL volumes are sold within the month processed and therefore are offset in </w:t>
      </w:r>
      <w:r>
        <w:rPr>
          <w:rFonts w:ascii="Arial" w:cs="Arial" w:eastAsia="Arial" w:hAnsi="Arial"/>
          <w:sz w:val="17"/>
          <w:szCs w:val="17"/>
          <w:i w:val="1"/>
          <w:iCs w:val="1"/>
          <w:color w:val="auto"/>
        </w:rPr>
        <w:t>Product costs</w:t>
      </w:r>
      <w:r>
        <w:rPr>
          <w:rFonts w:ascii="Arial" w:cs="Arial" w:eastAsia="Arial" w:hAnsi="Arial"/>
          <w:sz w:val="17"/>
          <w:szCs w:val="17"/>
          <w:color w:val="auto"/>
        </w:rPr>
        <w:t xml:space="preserve"> below.</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decreased primarily due to lower NGL and natural gas prices associated with our marketing and equity NGL sales activities, lower volumes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our equity NGL sales primarily reflecting the absence of our former Four Corners area operations, and lower system management gas sales, partially offset by higher marketing volumes. Marketing sales and system management gas sales are substantially offset in </w:t>
      </w:r>
      <w:r>
        <w:rPr>
          <w:rFonts w:ascii="Arial" w:cs="Arial" w:eastAsia="Arial" w:hAnsi="Arial"/>
          <w:sz w:val="17"/>
          <w:szCs w:val="17"/>
          <w:i w:val="1"/>
          <w:iCs w:val="1"/>
          <w:color w:val="auto"/>
        </w:rPr>
        <w:t>Product costs</w:t>
      </w:r>
      <w:r>
        <w:rPr>
          <w:rFonts w:ascii="Arial" w:cs="Arial" w:eastAsia="Arial" w:hAnsi="Arial"/>
          <w:sz w:val="17"/>
          <w:szCs w:val="17"/>
          <w:color w:val="auto"/>
        </w:rPr>
        <w:t>.</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Product costs </w:t>
      </w:r>
      <w:r>
        <w:rPr>
          <w:rFonts w:ascii="Arial" w:cs="Arial" w:eastAsia="Arial" w:hAnsi="Arial"/>
          <w:sz w:val="17"/>
          <w:szCs w:val="17"/>
          <w:color w:val="auto"/>
        </w:rPr>
        <w:t>decreased primarily due to lower NGL and natural gas prices associated with our marketing and equity NGL production activities.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also includes lower volumes acquired as commodity consideration for NGL processing services reflecting the absence of our former Four Corners area operations and lower system management gas purchases, partially offset by higher volumes for marketing activities.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Processing commodity expenses </w:t>
      </w:r>
      <w:r>
        <w:rPr>
          <w:rFonts w:ascii="Arial" w:cs="Arial" w:eastAsia="Arial" w:hAnsi="Arial"/>
          <w:sz w:val="18"/>
          <w:szCs w:val="18"/>
          <w:color w:val="auto"/>
        </w:rPr>
        <w:t>decreased primarily due to lower production of equity NGLs primarily related to ethane rejection and the absence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former Four Corners area operations, and lower prices for natural gas purchases associated with our NGL production</w:t>
      </w:r>
      <w:r>
        <w:rPr>
          <w:rFonts w:ascii="Arial" w:cs="Arial" w:eastAsia="Arial" w:hAnsi="Arial"/>
          <w:sz w:val="18"/>
          <w:szCs w:val="18"/>
          <w:i w:val="1"/>
          <w:iCs w:val="1"/>
          <w:color w:val="auto"/>
        </w:rPr>
        <w:t>.</w:t>
      </w:r>
    </w:p>
    <w:p>
      <w:pPr>
        <w:spacing w:after="0" w:line="130"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i w:val="1"/>
          <w:iCs w:val="1"/>
          <w:color w:val="auto"/>
        </w:rPr>
        <w:t xml:space="preserve">Operating and maintenance expenses </w:t>
      </w:r>
      <w:r>
        <w:rPr>
          <w:rFonts w:ascii="Arial" w:cs="Arial" w:eastAsia="Arial" w:hAnsi="Arial"/>
          <w:sz w:val="16"/>
          <w:szCs w:val="16"/>
          <w:color w:val="auto"/>
        </w:rPr>
        <w:t>decreased primarily due to the absence of our former Four Corners area operations and lower contracted services at</w:t>
      </w:r>
      <w:r>
        <w:rPr>
          <w:rFonts w:ascii="Arial" w:cs="Arial" w:eastAsia="Arial" w:hAnsi="Arial"/>
          <w:sz w:val="16"/>
          <w:szCs w:val="16"/>
          <w:i w:val="1"/>
          <w:iCs w:val="1"/>
          <w:color w:val="auto"/>
        </w:rPr>
        <w:t xml:space="preserve"> </w:t>
      </w:r>
      <w:r>
        <w:rPr>
          <w:rFonts w:ascii="Arial" w:cs="Arial" w:eastAsia="Arial" w:hAnsi="Arial"/>
          <w:sz w:val="16"/>
          <w:szCs w:val="16"/>
          <w:color w:val="auto"/>
        </w:rPr>
        <w:t>Transco primarily due to the timing of required engine overhauls and integrity testing. These decreases are partially offset by the impact of the consolidation of UEOM and by a $32 million charge for severance and related costs primarily associated with a voluntary separation program (VSP) in 2019.</w:t>
      </w:r>
    </w:p>
    <w:p>
      <w:pPr>
        <w:spacing w:after="0" w:line="1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decreased primarily due to the 2018 impairment of certain assets in the Barnett Shale region and the absence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disposed including our former Four Corners area operations, partially offset by new assets placed in service and by the impact of the consolidation of UEOM.</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decreased primarily due to the absences of a charitable contribution of preferred stock to the Williams</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Inc. (see Note 16 – Stockholders' Equity of Notes to Consolidated Financial Statements) and fees associated with the WPZ Merger, partially offset by a $25 million charge for severance and related costs primarily associated with our 2019 VSP, and transaction expenses associated with the acquisition of UEOM and the formation of the Northeast JV.</w:t>
      </w:r>
    </w:p>
    <w:p>
      <w:pPr>
        <w:spacing w:after="0" w:line="1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Impairment of certain assets </w:t>
      </w:r>
      <w:r>
        <w:rPr>
          <w:rFonts w:ascii="Arial" w:cs="Arial" w:eastAsia="Arial" w:hAnsi="Arial"/>
          <w:sz w:val="16"/>
          <w:szCs w:val="16"/>
          <w:color w:val="auto"/>
        </w:rPr>
        <w:t>includes 2019 impairments of our Constitution development project, certain Eagle Ford Shale gathering assets,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assets that may no longer be in use or are surplus in nature. Asset impairments in 2018 included certain assets in the Barnett Shale region and certain idle pipelines (see Note 18 – Fair Value Measurements, Guarantees, and Concentration of Credit Risk of Notes to Consolidated Financial Statements).</w:t>
      </w:r>
    </w:p>
    <w:p>
      <w:pPr>
        <w:spacing w:after="0" w:line="10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Gain on sale of certain assets and businesses </w:t>
      </w:r>
      <w:r>
        <w:rPr>
          <w:rFonts w:ascii="Arial" w:cs="Arial" w:eastAsia="Arial" w:hAnsi="Arial"/>
          <w:sz w:val="18"/>
          <w:szCs w:val="18"/>
          <w:color w:val="auto"/>
        </w:rPr>
        <w:t>includes gains recognized on the sales of our Four Corners area and our Gulf Coast pipeline systems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(see Note 3 – Acquisitions and Divestitures of Notes to Consolidated Financial Statements).</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favorable change in </w:t>
      </w:r>
      <w:r>
        <w:rPr>
          <w:rFonts w:ascii="Arial" w:cs="Arial" w:eastAsia="Arial" w:hAnsi="Arial"/>
          <w:sz w:val="18"/>
          <w:szCs w:val="18"/>
          <w:i w:val="1"/>
          <w:iCs w:val="1"/>
          <w:color w:val="auto"/>
        </w:rPr>
        <w:t>Other (income) expense – net</w:t>
      </w:r>
      <w:r>
        <w:rPr>
          <w:rFonts w:ascii="Arial" w:cs="Arial" w:eastAsia="Arial" w:hAnsi="Arial"/>
          <w:sz w:val="18"/>
          <w:szCs w:val="18"/>
          <w:color w:val="auto"/>
        </w:rPr>
        <w:t xml:space="preserve"> within </w:t>
      </w:r>
      <w:r>
        <w:rPr>
          <w:rFonts w:ascii="Arial" w:cs="Arial" w:eastAsia="Arial" w:hAnsi="Arial"/>
          <w:sz w:val="18"/>
          <w:szCs w:val="18"/>
          <w:i w:val="1"/>
          <w:iCs w:val="1"/>
          <w:color w:val="auto"/>
        </w:rPr>
        <w:t>Operating income (loss)</w:t>
      </w:r>
      <w:r>
        <w:rPr>
          <w:rFonts w:ascii="Arial" w:cs="Arial" w:eastAsia="Arial" w:hAnsi="Arial"/>
          <w:sz w:val="18"/>
          <w:szCs w:val="18"/>
          <w:color w:val="auto"/>
        </w:rPr>
        <w:t xml:space="preserve"> includes net favorable changes to charges and credits to regulatory assets and liabilities, partially offset by the absence of a 2018 gain on asset retirement (see Note 7 – Other Income and Expenses of Notes to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73" w:right="239" w:bottom="1440" w:gutter="0" w:footer="0" w:header="0"/>
        </w:sectPr>
      </w:pPr>
    </w:p>
    <w:bookmarkStart w:id="53" w:name="page54"/>
    <w:bookmarkEnd w:id="53"/>
    <w:p>
      <w:pPr>
        <w:jc w:val="both"/>
        <w:ind w:firstLine="324"/>
        <w:spacing w:after="0" w:line="272" w:lineRule="auto"/>
        <w:rPr>
          <w:sz w:val="20"/>
          <w:szCs w:val="20"/>
          <w:color w:val="auto"/>
        </w:rPr>
      </w:pPr>
      <w:r>
        <w:rPr>
          <w:rFonts w:ascii="Arial" w:cs="Arial" w:eastAsia="Arial" w:hAnsi="Arial"/>
          <w:sz w:val="17"/>
          <w:szCs w:val="17"/>
          <w:color w:val="auto"/>
        </w:rPr>
        <w:t xml:space="preserve">The favorable change in </w:t>
      </w:r>
      <w:r>
        <w:rPr>
          <w:rFonts w:ascii="Arial" w:cs="Arial" w:eastAsia="Arial" w:hAnsi="Arial"/>
          <w:sz w:val="17"/>
          <w:szCs w:val="17"/>
          <w:i w:val="1"/>
          <w:iCs w:val="1"/>
          <w:color w:val="auto"/>
        </w:rPr>
        <w:t>Operating income (loss)</w:t>
      </w:r>
      <w:r>
        <w:rPr>
          <w:rFonts w:ascii="Arial" w:cs="Arial" w:eastAsia="Arial" w:hAnsi="Arial"/>
          <w:sz w:val="17"/>
          <w:szCs w:val="17"/>
          <w:color w:val="auto"/>
        </w:rPr>
        <w:t xml:space="preserve"> includes lower impairments of assets, an increase in </w:t>
      </w:r>
      <w:r>
        <w:rPr>
          <w:rFonts w:ascii="Arial" w:cs="Arial" w:eastAsia="Arial" w:hAnsi="Arial"/>
          <w:sz w:val="17"/>
          <w:szCs w:val="17"/>
          <w:i w:val="1"/>
          <w:iCs w:val="1"/>
          <w:color w:val="auto"/>
        </w:rPr>
        <w:t>Service revenues</w:t>
      </w:r>
      <w:r>
        <w:rPr>
          <w:rFonts w:ascii="Arial" w:cs="Arial" w:eastAsia="Arial" w:hAnsi="Arial"/>
          <w:sz w:val="17"/>
          <w:szCs w:val="17"/>
          <w:color w:val="auto"/>
        </w:rPr>
        <w:t xml:space="preserve"> primarily associated with Transco projects placed in-service and higher volumes in the Northeast region, the favorable impact of acquiring the additional interest of UEOM, and higher Transco rates and favorable changes in the amortization of regulatory assets and liabilities. The change is also impacted favorably by the absence of a charitable contribution of preferred stock to the Williams Foundation, Inc., and the absence of fees associated with the WPZ Merger. These favorable changes were partially offset by the impact of asset divestitures and deconsolidations during 2018, including the related gains on sales. They were also partially offset by lower margins associated with our equity NGL production primarily associated with lower prices, higher depreciation expense associated with new assets placed in service, and charges for severance and related costs primarily associated with our VSP.</w:t>
      </w:r>
    </w:p>
    <w:p>
      <w:pPr>
        <w:spacing w:after="0" w:line="13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unfavorable change in </w:t>
      </w:r>
      <w:r>
        <w:rPr>
          <w:rFonts w:ascii="Arial" w:cs="Arial" w:eastAsia="Arial" w:hAnsi="Arial"/>
          <w:sz w:val="16"/>
          <w:szCs w:val="16"/>
          <w:i w:val="1"/>
          <w:iCs w:val="1"/>
          <w:color w:val="auto"/>
        </w:rPr>
        <w:t>Equity earnings (losses)</w:t>
      </w:r>
      <w:r>
        <w:rPr>
          <w:rFonts w:ascii="Arial" w:cs="Arial" w:eastAsia="Arial" w:hAnsi="Arial"/>
          <w:sz w:val="16"/>
          <w:szCs w:val="16"/>
          <w:color w:val="auto"/>
        </w:rPr>
        <w:t xml:space="preserve"> is primarily due to 2019 losses from our Brazos Permian II investment acquired in December 2018 of $14 million, the impact of the consolidation of UEOM during the first quarter of 2019 which reduced equity earnings by $9 million, and a $7 million unfavorable impact related to the April 2019 sale of our Jackalope investment. Additionally, equity earnings at Aux Sable decreased $9 million related to lower rates reflecting lower NGL prices. These decreases are partially offset by improved results at our Appalachia Midstream Investments of $20 million.</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unfavorable change in </w:t>
      </w:r>
      <w:r>
        <w:rPr>
          <w:rFonts w:ascii="Arial" w:cs="Arial" w:eastAsia="Arial" w:hAnsi="Arial"/>
          <w:sz w:val="17"/>
          <w:szCs w:val="17"/>
          <w:i w:val="1"/>
          <w:iCs w:val="1"/>
          <w:color w:val="auto"/>
        </w:rPr>
        <w:t>Other investing income (loss) – net</w:t>
      </w:r>
      <w:r>
        <w:rPr>
          <w:rFonts w:ascii="Arial" w:cs="Arial" w:eastAsia="Arial" w:hAnsi="Arial"/>
          <w:sz w:val="17"/>
          <w:szCs w:val="17"/>
          <w:color w:val="auto"/>
        </w:rPr>
        <w:t xml:space="preserve"> includes higher impairments of equity-method investments, the absence of 2018 gains on the deconsolidations of our Delaware basin assets and Jackalope, and a 2019 loss on the deconsolidation of Constitution. These were partially offset by a 2019 gain on the disposition of Jackalope (see Note 6 – Investing Activities of Notes to Consolidated Financial Statements).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increased primarily due to an increase in financing obligations associated with Transco’s Atlantic Sunrise project and lower</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Interest</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 xml:space="preserve">capitalized </w:t>
      </w:r>
      <w:r>
        <w:rPr>
          <w:rFonts w:ascii="Arial" w:cs="Arial" w:eastAsia="Arial" w:hAnsi="Arial"/>
          <w:sz w:val="18"/>
          <w:szCs w:val="18"/>
          <w:color w:val="auto"/>
        </w:rPr>
        <w:t>related to construction projects that have been placed into service. (See Note 15 – Debt and Banking Arrangements of Notes to Consolidated</w:t>
      </w:r>
      <w:r>
        <w:rPr>
          <w:rFonts w:ascii="Arial" w:cs="Arial" w:eastAsia="Arial" w:hAnsi="Arial"/>
          <w:sz w:val="17"/>
          <w:szCs w:val="17"/>
          <w:i w:val="1"/>
          <w:iCs w:val="1"/>
          <w:color w:val="auto"/>
        </w:rPr>
        <w:t xml:space="preserve"> </w:t>
      </w:r>
      <w:r>
        <w:rPr>
          <w:rFonts w:ascii="Arial" w:cs="Arial" w:eastAsia="Arial" w:hAnsi="Arial"/>
          <w:sz w:val="18"/>
          <w:szCs w:val="18"/>
          <w:color w:val="auto"/>
        </w:rPr>
        <w:t>Financial Statements.)</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unfavorable change in </w:t>
      </w:r>
      <w:r>
        <w:rPr>
          <w:rFonts w:ascii="Arial" w:cs="Arial" w:eastAsia="Arial" w:hAnsi="Arial"/>
          <w:sz w:val="18"/>
          <w:szCs w:val="18"/>
          <w:i w:val="1"/>
          <w:iCs w:val="1"/>
          <w:color w:val="auto"/>
        </w:rPr>
        <w:t>Other income (expense) – net</w:t>
      </w:r>
      <w:r>
        <w:rPr>
          <w:rFonts w:ascii="Arial" w:cs="Arial" w:eastAsia="Arial" w:hAnsi="Arial"/>
          <w:sz w:val="18"/>
          <w:szCs w:val="18"/>
          <w:color w:val="auto"/>
        </w:rPr>
        <w:t xml:space="preserve"> below </w:t>
      </w:r>
      <w:r>
        <w:rPr>
          <w:rFonts w:ascii="Arial" w:cs="Arial" w:eastAsia="Arial" w:hAnsi="Arial"/>
          <w:sz w:val="18"/>
          <w:szCs w:val="18"/>
          <w:i w:val="1"/>
          <w:iCs w:val="1"/>
          <w:color w:val="auto"/>
        </w:rPr>
        <w:t>Operating income (loss)</w:t>
      </w:r>
      <w:r>
        <w:rPr>
          <w:rFonts w:ascii="Arial" w:cs="Arial" w:eastAsia="Arial" w:hAnsi="Arial"/>
          <w:sz w:val="18"/>
          <w:szCs w:val="18"/>
          <w:color w:val="auto"/>
        </w:rPr>
        <w:t xml:space="preserve"> is primarily due to a decrease in equity AFUDC associated with reduced capital expenditures on projects, partially offset by the absence of 2018 unfavorable settlement charges from our pension early payout program (see Note 7 – Other Income and Expenses of Notes to Consolidated Financial Statements).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changed unfavorably primarily due to higher pre-tax income attributable to The Williams Companies, Inc,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the absence of a charge to establish a $105 million valuation allowance, recorded in 2018, on certain deferred tax assets that may not be realized following the WPZ merger. See Note 8 – Provision (Benefit) for Income Taxes of Notes to Consolidated Financial Statements for a discussion of the effective tax rate compared to the federal statutory rate for both periods.</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favorable change in </w:t>
      </w:r>
      <w:r>
        <w:rPr>
          <w:rFonts w:ascii="Arial" w:cs="Arial" w:eastAsia="Arial" w:hAnsi="Arial"/>
          <w:sz w:val="18"/>
          <w:szCs w:val="18"/>
          <w:i w:val="1"/>
          <w:iCs w:val="1"/>
          <w:color w:val="auto"/>
        </w:rPr>
        <w:t>Net income (loss) attributable to noncontrolling interests</w:t>
      </w:r>
      <w:r>
        <w:rPr>
          <w:rFonts w:ascii="Arial" w:cs="Arial" w:eastAsia="Arial" w:hAnsi="Arial"/>
          <w:sz w:val="18"/>
          <w:szCs w:val="18"/>
          <w:color w:val="auto"/>
        </w:rPr>
        <w:t xml:space="preserve"> is primarily due to our third- quarter 2018 acquisition of the publicly held interests in WPZ associated with the WPZ Merger, the impairment of Constitution project costs, and lower results at Gulfstar.</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2018 vs. 2017</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Service revenues </w:t>
      </w:r>
      <w:r>
        <w:rPr>
          <w:rFonts w:ascii="Arial" w:cs="Arial" w:eastAsia="Arial" w:hAnsi="Arial"/>
          <w:sz w:val="17"/>
          <w:szCs w:val="17"/>
          <w:color w:val="auto"/>
        </w:rPr>
        <w:t>increased primarily due to higher transportation fee revenues at Transco associated with expansion projects placed in-service in 2017</w:t>
      </w:r>
      <w:r>
        <w:rPr>
          <w:rFonts w:ascii="Arial" w:cs="Arial" w:eastAsia="Arial" w:hAnsi="Arial"/>
          <w:sz w:val="17"/>
          <w:szCs w:val="17"/>
          <w:i w:val="1"/>
          <w:iCs w:val="1"/>
          <w:color w:val="auto"/>
        </w:rPr>
        <w:t xml:space="preserve"> </w:t>
      </w:r>
      <w:r>
        <w:rPr>
          <w:rFonts w:ascii="Arial" w:cs="Arial" w:eastAsia="Arial" w:hAnsi="Arial"/>
          <w:sz w:val="17"/>
          <w:szCs w:val="17"/>
          <w:color w:val="auto"/>
        </w:rPr>
        <w:t>and 2018, as well as higher gathering volumes at the Susquehanna Supply Hub and Ohio River Supply Hub. These increases were partially offset by an unfavorable change in the rate of deferred revenue recognition resulting from implementing Accounting Standards Update 2014-09 “Revenue from Contracts with Customers” (ASC 606), reduced revenues from our Four Corners area operations that were sold in October 2018, a reduction of rates resulting from a Northwest Pipeline rate case settlement, and a decrease following the Jackalope deconsolidation.</w:t>
      </w:r>
    </w:p>
    <w:p>
      <w:pPr>
        <w:spacing w:after="0" w:line="17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Service revenues – commodity consideration </w:t>
      </w:r>
      <w:r>
        <w:rPr>
          <w:rFonts w:ascii="Arial" w:cs="Arial" w:eastAsia="Arial" w:hAnsi="Arial"/>
          <w:sz w:val="16"/>
          <w:szCs w:val="16"/>
          <w:color w:val="auto"/>
        </w:rPr>
        <w:t>increased as the result of implementing ASC 606 using a modified retrospective approach, effective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 2018. Therefore, prior periods were not recast. These revenues represent consideration we receive in the form of commodities as full or partial payment for gathering and processing services provided. (See Note 1 – General, Description of Business, Basis of Presentation, and Summary of Significant Accounting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33"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 xml:space="preserve">Policies of Notes to Consolidated Financial Statements.) Most of these NGL volumes are sold within the month processed and therefore are offset in </w:t>
      </w:r>
      <w:r>
        <w:rPr>
          <w:rFonts w:ascii="Arial" w:cs="Arial" w:eastAsia="Arial" w:hAnsi="Arial"/>
          <w:sz w:val="18"/>
          <w:szCs w:val="18"/>
          <w:i w:val="1"/>
          <w:iCs w:val="1"/>
          <w:color w:val="auto"/>
        </w:rPr>
        <w:t>Product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below.</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increased primarily due to higher marketing sales and higher system management gas sales, which are offset in</w:t>
      </w:r>
      <w:r>
        <w:rPr>
          <w:rFonts w:ascii="Arial" w:cs="Arial" w:eastAsia="Arial" w:hAnsi="Arial"/>
          <w:sz w:val="18"/>
          <w:szCs w:val="18"/>
          <w:i w:val="1"/>
          <w:iCs w:val="1"/>
          <w:color w:val="auto"/>
        </w:rPr>
        <w:t xml:space="preserve"> Product costs, </w:t>
      </w:r>
      <w:r>
        <w:rPr>
          <w:rFonts w:ascii="Arial" w:cs="Arial" w:eastAsia="Arial" w:hAnsi="Arial"/>
          <w:sz w:val="18"/>
          <w:szCs w:val="18"/>
          <w:color w:val="auto"/>
        </w:rPr>
        <w:t>and higher</w:t>
      </w:r>
      <w:r>
        <w:rPr>
          <w:rFonts w:ascii="Arial" w:cs="Arial" w:eastAsia="Arial" w:hAnsi="Arial"/>
          <w:sz w:val="18"/>
          <w:szCs w:val="18"/>
          <w:i w:val="1"/>
          <w:iCs w:val="1"/>
          <w:color w:val="auto"/>
        </w:rPr>
        <w:t xml:space="preserve"> </w:t>
      </w:r>
      <w:r>
        <w:rPr>
          <w:rFonts w:ascii="Arial" w:cs="Arial" w:eastAsia="Arial" w:hAnsi="Arial"/>
          <w:sz w:val="18"/>
          <w:szCs w:val="18"/>
          <w:color w:val="auto"/>
        </w:rPr>
        <w:t>sales from the production of our equity NGLs, reflecting higher NGL prices. These increases are partially offset by the absence of $269 million in olefins sales associated with our former olefins operations in 2017.</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is primarily due to the impact of ASC 606 in which costs reflected in this line item for 2018 include volumes acquired as commodity consideration for NGL processing services, as well as higher marketing and system management gas purchases. This increase is partially offset by the absence of $147 million of olefin feedstock purchases due to the sale of our former olefins operations, as well as the absence of natural gas purchases associated with the production of equity NGLs, which are reported in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 xml:space="preserve"> in conjunction with the 2018 implementation of ASC 606.</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Processing commodity expenses </w:t>
      </w:r>
      <w:r>
        <w:rPr>
          <w:rFonts w:ascii="Arial" w:cs="Arial" w:eastAsia="Arial" w:hAnsi="Arial"/>
          <w:sz w:val="18"/>
          <w:szCs w:val="18"/>
          <w:color w:val="auto"/>
        </w:rPr>
        <w:t>presents the natural gas purchases associated with the production of equity NGLs as previously described in conjunction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implementation of ASC 606</w:t>
      </w:r>
      <w:r>
        <w:rPr>
          <w:rFonts w:ascii="Arial" w:cs="Arial" w:eastAsia="Arial" w:hAnsi="Arial"/>
          <w:sz w:val="18"/>
          <w:szCs w:val="18"/>
          <w:i w:val="1"/>
          <w:iCs w:val="1"/>
          <w:color w:val="auto"/>
        </w:rPr>
        <w: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Operating and maintenance expenses </w:t>
      </w:r>
      <w:r>
        <w:rPr>
          <w:rFonts w:ascii="Arial" w:cs="Arial" w:eastAsia="Arial" w:hAnsi="Arial"/>
          <w:sz w:val="18"/>
          <w:szCs w:val="18"/>
          <w:color w:val="auto"/>
        </w:rPr>
        <w:t>decreased primarily due to the absence of $80 million of costs associated with our former olefins and Four Corners</w:t>
      </w:r>
      <w:r>
        <w:rPr>
          <w:rFonts w:ascii="Arial" w:cs="Arial" w:eastAsia="Arial" w:hAnsi="Arial"/>
          <w:sz w:val="18"/>
          <w:szCs w:val="18"/>
          <w:i w:val="1"/>
          <w:iCs w:val="1"/>
          <w:color w:val="auto"/>
        </w:rPr>
        <w:t xml:space="preserve"> </w:t>
      </w:r>
      <w:r>
        <w:rPr>
          <w:rFonts w:ascii="Arial" w:cs="Arial" w:eastAsia="Arial" w:hAnsi="Arial"/>
          <w:sz w:val="18"/>
          <w:szCs w:val="18"/>
          <w:color w:val="auto"/>
        </w:rPr>
        <w:t>area operations.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decreased primarily due to the absence of our former olefins and Four Corners area operations,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new assets placed in-service.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decreased primarily due to the absence of severance-related, organizational realignment,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Repositioning costs incurred in 2017, $25 million in reduced costs associated with our former olefins and Four Corners area operations, and cost containment efforts. These decreases are partially offset by a charitable contribution of preferred stock to The Williams Companies Foundation, Inc. and fees associated with the WPZ Merger.</w:t>
      </w:r>
    </w:p>
    <w:p>
      <w:pPr>
        <w:spacing w:after="0" w:line="1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Impairment of certain assets </w:t>
      </w:r>
      <w:r>
        <w:rPr>
          <w:rFonts w:ascii="Arial" w:cs="Arial" w:eastAsia="Arial" w:hAnsi="Arial"/>
          <w:sz w:val="18"/>
          <w:szCs w:val="18"/>
          <w:color w:val="auto"/>
        </w:rPr>
        <w:t>includes 2018 impairments on certain assets in the Barnett Shale region and certain idle pipelines and 2017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assets in the Mid-Continent, Marcellus South, and Houston Ship Channel areas (see Note 18 – Fair Value Measurements, Guarantees, and Concentration of Credit Risk of Notes to Consolidated Financial Statements).</w:t>
      </w:r>
    </w:p>
    <w:p>
      <w:pPr>
        <w:spacing w:after="0" w:line="14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Gain on sale of certain assets and businesses </w:t>
      </w:r>
      <w:r>
        <w:rPr>
          <w:rFonts w:ascii="Arial" w:cs="Arial" w:eastAsia="Arial" w:hAnsi="Arial"/>
          <w:sz w:val="16"/>
          <w:szCs w:val="16"/>
          <w:color w:val="auto"/>
        </w:rPr>
        <w:t>includes gains recognized on the sales of our Four Corners area in October 2018, our Gulf Coast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in December 2018 and our Geismar Interest in July 2017 (see Note 3 – Acquisitions and Divestitures of Notes to Consolidated Financial Statements).</w:t>
      </w:r>
    </w:p>
    <w:p>
      <w:pPr>
        <w:spacing w:after="0" w:line="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Regulatory charges resulting from Tax Reform </w:t>
      </w:r>
      <w:r>
        <w:rPr>
          <w:rFonts w:ascii="Arial" w:cs="Arial" w:eastAsia="Arial" w:hAnsi="Arial"/>
          <w:sz w:val="18"/>
          <w:szCs w:val="18"/>
          <w:color w:val="auto"/>
        </w:rPr>
        <w:t>relates to the 2017 establishment of regulatory liabilities for the probable return to customers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future rates of the future decrease in income taxes payable associated with Tax Reform. (See Note 1 – General, Description of Business, Basis of Presentation, and Summary of Significant Accounting Policies of Notes to Consolidated Financial Statements).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 xml:space="preserve">The favorable change in </w:t>
      </w:r>
      <w:r>
        <w:rPr>
          <w:rFonts w:ascii="Arial" w:cs="Arial" w:eastAsia="Arial" w:hAnsi="Arial"/>
          <w:sz w:val="18"/>
          <w:szCs w:val="18"/>
          <w:i w:val="1"/>
          <w:iCs w:val="1"/>
          <w:color w:val="auto"/>
        </w:rPr>
        <w:t>Other (income) expense – net</w:t>
      </w:r>
      <w:r>
        <w:rPr>
          <w:rFonts w:ascii="Arial" w:cs="Arial" w:eastAsia="Arial" w:hAnsi="Arial"/>
          <w:sz w:val="17"/>
          <w:szCs w:val="17"/>
          <w:color w:val="auto"/>
        </w:rPr>
        <w:t xml:space="preserve"> </w:t>
      </w:r>
      <w:r>
        <w:rPr>
          <w:rFonts w:ascii="Arial" w:cs="Arial" w:eastAsia="Arial" w:hAnsi="Arial"/>
          <w:sz w:val="18"/>
          <w:szCs w:val="18"/>
          <w:color w:val="auto"/>
        </w:rPr>
        <w:t>within</w:t>
      </w:r>
      <w:r>
        <w:rPr>
          <w:rFonts w:ascii="Arial" w:cs="Arial" w:eastAsia="Arial" w:hAnsi="Arial"/>
          <w:sz w:val="17"/>
          <w:szCs w:val="17"/>
          <w:color w:val="auto"/>
        </w:rPr>
        <w:t xml:space="preserve"> </w:t>
      </w:r>
      <w:r>
        <w:rPr>
          <w:rFonts w:ascii="Arial" w:cs="Arial" w:eastAsia="Arial" w:hAnsi="Arial"/>
          <w:sz w:val="18"/>
          <w:szCs w:val="18"/>
          <w:i w:val="1"/>
          <w:iCs w:val="1"/>
          <w:color w:val="auto"/>
        </w:rPr>
        <w:t>Operating income (loss)</w:t>
      </w:r>
      <w:r>
        <w:rPr>
          <w:rFonts w:ascii="Arial" w:cs="Arial" w:eastAsia="Arial" w:hAnsi="Arial"/>
          <w:sz w:val="17"/>
          <w:szCs w:val="17"/>
          <w:color w:val="auto"/>
        </w:rPr>
        <w:t xml:space="preserve"> </w:t>
      </w:r>
      <w:r>
        <w:rPr>
          <w:rFonts w:ascii="Arial" w:cs="Arial" w:eastAsia="Arial" w:hAnsi="Arial"/>
          <w:sz w:val="18"/>
          <w:szCs w:val="18"/>
          <w:color w:val="auto"/>
        </w:rPr>
        <w:t>includes the benefit of establishing a regulatory asset associated</w:t>
      </w:r>
      <w:r>
        <w:rPr>
          <w:rFonts w:ascii="Arial" w:cs="Arial" w:eastAsia="Arial" w:hAnsi="Arial"/>
          <w:sz w:val="17"/>
          <w:szCs w:val="17"/>
          <w:color w:val="auto"/>
        </w:rPr>
        <w:t xml:space="preserve"> </w:t>
      </w:r>
      <w:r>
        <w:rPr>
          <w:rFonts w:ascii="Arial" w:cs="Arial" w:eastAsia="Arial" w:hAnsi="Arial"/>
          <w:sz w:val="18"/>
          <w:szCs w:val="18"/>
          <w:color w:val="auto"/>
        </w:rPr>
        <w:t>with an increase in Transco’s estimated deferred state income tax rate following the WPZ Merger in 2018, substantially offset by the absence of gains from certain contract settlements and terminations in 2017, the absence of a gain on the sale of our RGP Splitter in 2017, and 2018 charges establishing a regulatory liability associated with a decrease in Northwest Pipeline's estimated deferred state income tax rate following the WPZ Merger (see Note 7 – Other Income and Expenses of Notes to Consolidated Financial Statements).</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changed unfavorably primarily due to higher impairments of assets, lower gains on sales of assets and businesses,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absence of operating income associated with our former olefins and Four Corners area operations, partially offset by the absence of regulatory charges resulting from Tax Reform, higher </w:t>
      </w:r>
      <w:r>
        <w:rPr>
          <w:rFonts w:ascii="Arial" w:cs="Arial" w:eastAsia="Arial" w:hAnsi="Arial"/>
          <w:sz w:val="18"/>
          <w:szCs w:val="18"/>
          <w:i w:val="1"/>
          <w:iCs w:val="1"/>
          <w:color w:val="auto"/>
        </w:rPr>
        <w:t>Service revenues</w:t>
      </w:r>
      <w:r>
        <w:rPr>
          <w:rFonts w:ascii="Arial" w:cs="Arial" w:eastAsia="Arial" w:hAnsi="Arial"/>
          <w:sz w:val="18"/>
          <w:szCs w:val="18"/>
          <w:color w:val="auto"/>
        </w:rPr>
        <w:t xml:space="preserve"> primarily from expansion projects, and higher NGL margins.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73" w:right="239" w:bottom="1440" w:gutter="0" w:footer="0" w:header="0"/>
        </w:sectPr>
      </w:pPr>
    </w:p>
    <w:bookmarkStart w:id="55" w:name="page56"/>
    <w:bookmarkEnd w:id="55"/>
    <w:p>
      <w:pPr>
        <w:jc w:val="both"/>
        <w:ind w:firstLine="324"/>
        <w:spacing w:after="0" w:line="264" w:lineRule="auto"/>
        <w:rPr>
          <w:sz w:val="20"/>
          <w:szCs w:val="20"/>
          <w:color w:val="auto"/>
        </w:rPr>
      </w:pPr>
      <w:r>
        <w:rPr>
          <w:rFonts w:ascii="Arial" w:cs="Arial" w:eastAsia="Arial" w:hAnsi="Arial"/>
          <w:sz w:val="18"/>
          <w:szCs w:val="18"/>
          <w:color w:val="auto"/>
        </w:rPr>
        <w:t xml:space="preserve">The unfavorable change in </w:t>
      </w:r>
      <w:r>
        <w:rPr>
          <w:rFonts w:ascii="Arial" w:cs="Arial" w:eastAsia="Arial" w:hAnsi="Arial"/>
          <w:sz w:val="18"/>
          <w:szCs w:val="18"/>
          <w:i w:val="1"/>
          <w:iCs w:val="1"/>
          <w:color w:val="auto"/>
        </w:rPr>
        <w:t>Equity earnings (losses)</w:t>
      </w:r>
      <w:r>
        <w:rPr>
          <w:rFonts w:ascii="Arial" w:cs="Arial" w:eastAsia="Arial" w:hAnsi="Arial"/>
          <w:sz w:val="18"/>
          <w:szCs w:val="18"/>
          <w:color w:val="auto"/>
        </w:rPr>
        <w:t xml:space="preserve"> is primarily due to a decrease in volumes at Discovery, partially offset by improved results at our Appalachia Midstream Investments and the deconsolidation of our Jackalope interest, which is accounted for as an equity-method investment beginning in the second quarter of 2018.</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investing income (loss) – net </w:t>
      </w:r>
      <w:r>
        <w:rPr>
          <w:rFonts w:ascii="Arial" w:cs="Arial" w:eastAsia="Arial" w:hAnsi="Arial"/>
          <w:sz w:val="18"/>
          <w:szCs w:val="18"/>
          <w:color w:val="auto"/>
        </w:rPr>
        <w:t>includes a 2017 gain on disposition of our investments in DBJV and Ranch Westex JV LLC, a 2018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investment in UEOM, and 2018 gains on the deconsolidations of certain Permian basin assets and of our interest in Jackalope. (See Note 6 – Investing Activities of Notes to Consolidated Financial Statements.)</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increased primarily due to an increase in other financing obligations associated with Transco's Dalton and Atlantic Sunrise projects,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expense related to the deemed financing component of certain contract liabilities resulting from our implementation of ASC 606 in 2018. This increase is partially offset by lower interest rates on our outstanding debt in 2018 and lower borrowings on our credit facilities in 2018.</w:t>
      </w:r>
    </w:p>
    <w:p>
      <w:pPr>
        <w:spacing w:after="0" w:line="1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Other income (expense) – net </w:t>
      </w:r>
      <w:r>
        <w:rPr>
          <w:rFonts w:ascii="Arial" w:cs="Arial" w:eastAsia="Arial" w:hAnsi="Arial"/>
          <w:sz w:val="17"/>
          <w:szCs w:val="17"/>
          <w:color w:val="auto"/>
        </w:rPr>
        <w:t>below</w:t>
      </w:r>
      <w:r>
        <w:rPr>
          <w:rFonts w:ascii="Arial" w:cs="Arial" w:eastAsia="Arial" w:hAnsi="Arial"/>
          <w:sz w:val="17"/>
          <w:szCs w:val="17"/>
          <w:i w:val="1"/>
          <w:iCs w:val="1"/>
          <w:color w:val="auto"/>
        </w:rPr>
        <w:t xml:space="preserve"> Operating income (loss) </w:t>
      </w:r>
      <w:r>
        <w:rPr>
          <w:rFonts w:ascii="Arial" w:cs="Arial" w:eastAsia="Arial" w:hAnsi="Arial"/>
          <w:sz w:val="17"/>
          <w:szCs w:val="17"/>
          <w:color w:val="auto"/>
        </w:rPr>
        <w:t>changed favorably primarily due to a decrease in charges reducing regulatory assets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deferred taxes on equity AFUDC resulting from Tax Reform, an increase in equity AFUDC, and a lower settlement charge from the pension early payout program. These favorable changes were partially offset by a decrease due to the absence of a net gain on early retirement of debt in 2017 and a loss on early retirement of debt in 2018. (See Note 7 – Other Income and Expenses of Notes to Consolidated Financial Statements.)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changed unfavorably primarily due to the absence of a $1.923 billion tax provision benefit associated with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and releasing a $127 million valuation allowance in 2017. The unfavorable change also reflects a $105 million valuation allowance in 2018 associated with certain foreign tax credits. See Note 8 – Provision (Benefit) for Income Taxes of Notes to Consolidated Financial Statements for a discussion of the effective tax rate compared to the federal statutory rate for both periods.</w:t>
      </w:r>
    </w:p>
    <w:p>
      <w:pPr>
        <w:spacing w:after="0" w:line="1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unfavorable change in </w:t>
      </w:r>
      <w:r>
        <w:rPr>
          <w:rFonts w:ascii="Arial" w:cs="Arial" w:eastAsia="Arial" w:hAnsi="Arial"/>
          <w:sz w:val="18"/>
          <w:szCs w:val="18"/>
          <w:i w:val="1"/>
          <w:iCs w:val="1"/>
          <w:color w:val="auto"/>
        </w:rPr>
        <w:t>Net income (loss) attributable to noncontrolling interests</w:t>
      </w:r>
      <w:r>
        <w:rPr>
          <w:rFonts w:ascii="Arial" w:cs="Arial" w:eastAsia="Arial" w:hAnsi="Arial"/>
          <w:sz w:val="18"/>
          <w:szCs w:val="18"/>
          <w:color w:val="auto"/>
        </w:rPr>
        <w:t xml:space="preserve"> is primarily related to WPZ, reflective of both our acquisition of the publicly held interests in WPZ associated with the WPZ Merger and a fourth quarter 2017 net loss incurred by WPZ, partially offset by lower operating results at Gulfstar.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Year-Over-Year Operating Results – Segments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evaluate segment operating performance based upon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Note 20 – Segment Disclosures of Notes to Consolidated Financial Statements includes a reconciliation of this non-GAAP measure to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Management uses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because it is an accepted financial indicator used by investors to compare company performance. In addition, management believes that this measure provides investors an enhanced perspective of the operating performance of our assets.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should not be considered in isolation or as a substitute for a measure of performance prepared in accordance with GAAP.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33"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Atlantic-Gulf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 revenues – commodity consideration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Segment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commodity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segment costs and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certain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certain assets and businesses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charges resulting from Tax Reform</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Proportional Modified EBITDA of equity-method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Atlantic-Gulf Modified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margins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2019 vs. 2018</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Atlantic-Gulf Modified EBITDA </w:t>
      </w:r>
      <w:r>
        <w:rPr>
          <w:rFonts w:ascii="Arial" w:cs="Arial" w:eastAsia="Arial" w:hAnsi="Arial"/>
          <w:sz w:val="18"/>
          <w:szCs w:val="18"/>
          <w:color w:val="auto"/>
        </w:rPr>
        <w:t>decreased primarily due to the impairment of Constitution, the absence of a 2018</w:t>
      </w:r>
      <w:r>
        <w:rPr>
          <w:rFonts w:ascii="Arial" w:cs="Arial" w:eastAsia="Arial" w:hAnsi="Arial"/>
          <w:sz w:val="18"/>
          <w:szCs w:val="18"/>
          <w:i w:val="1"/>
          <w:iCs w:val="1"/>
          <w:color w:val="auto"/>
        </w:rPr>
        <w:t xml:space="preserve"> Gain on sale of certain assets and businesses </w:t>
      </w:r>
      <w:r>
        <w:rPr>
          <w:rFonts w:ascii="Arial" w:cs="Arial" w:eastAsia="Arial" w:hAnsi="Arial"/>
          <w:sz w:val="18"/>
          <w:szCs w:val="18"/>
          <w:color w:val="auto"/>
        </w:rPr>
        <w:t>, and higher</w:t>
      </w:r>
      <w:r>
        <w:rPr>
          <w:rFonts w:ascii="Arial" w:cs="Arial" w:eastAsia="Arial" w:hAnsi="Arial"/>
          <w:sz w:val="18"/>
          <w:szCs w:val="18"/>
          <w:i w:val="1"/>
          <w:iCs w:val="1"/>
          <w:color w:val="auto"/>
        </w:rPr>
        <w:t xml:space="preserve"> Other segment costs and expenses</w:t>
      </w:r>
      <w:r>
        <w:rPr>
          <w:rFonts w:ascii="Arial" w:cs="Arial" w:eastAsia="Arial" w:hAnsi="Arial"/>
          <w:sz w:val="18"/>
          <w:szCs w:val="18"/>
          <w:color w:val="auto"/>
        </w:rPr>
        <w:t>, partially offset by increased</w:t>
      </w:r>
      <w:r>
        <w:rPr>
          <w:rFonts w:ascii="Arial" w:cs="Arial" w:eastAsia="Arial" w:hAnsi="Arial"/>
          <w:sz w:val="18"/>
          <w:szCs w:val="18"/>
          <w:i w:val="1"/>
          <w:iCs w:val="1"/>
          <w:color w:val="auto"/>
        </w:rPr>
        <w:t xml:space="preserve"> Service revenues </w:t>
      </w:r>
      <w:r>
        <w:rPr>
          <w:rFonts w:ascii="Arial" w:cs="Arial" w:eastAsia="Arial" w:hAnsi="Arial"/>
          <w:sz w:val="18"/>
          <w:szCs w:val="18"/>
          <w:color w:val="auto"/>
        </w:rPr>
        <w:t>related to expansion projects placed into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2018 and 2019.</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increased primarily due to a $403 million increase in Transco’s natural gas transportation revenues primarily driven by a $358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related to expansion projects placed in service in 2018 and 2019, as well as higher revenue associated with Transco’s general rate case settlement and increased amounts for reimbursable power and storage expenses. Partially offsetting these increases were lower fee revenues of $62 million primarily due to producer operational issues and lower deferred revenue amortization at Gulfstar, as well as the sale of certain Gulf Coast pipeline assets in fourth-quarter 2018.</w:t>
      </w:r>
    </w:p>
    <w:p>
      <w:pPr>
        <w:spacing w:after="0" w:line="14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net sum of </w:t>
      </w:r>
      <w:r>
        <w:rPr>
          <w:rFonts w:ascii="Arial" w:cs="Arial" w:eastAsia="Arial" w:hAnsi="Arial"/>
          <w:sz w:val="16"/>
          <w:szCs w:val="16"/>
          <w:i w:val="1"/>
          <w:iCs w:val="1"/>
          <w:color w:val="auto"/>
        </w:rPr>
        <w:t>Service revenues – commodity consideration, Product sales, Product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Processing commodity expenses</w:t>
      </w:r>
      <w:r>
        <w:rPr>
          <w:rFonts w:ascii="Arial" w:cs="Arial" w:eastAsia="Arial" w:hAnsi="Arial"/>
          <w:sz w:val="16"/>
          <w:szCs w:val="16"/>
          <w:color w:val="auto"/>
        </w:rPr>
        <w:t xml:space="preserve"> comprise our commodity margins. Our commodity margins associated with our equity NGLs decreased $16 million, consisting of a $26 million decrease associated with unfavorable net realized NGL sales prices, partially offset by a $10 million increase associated with higher sales volumes. The higher NGL volumes were primarily related to the absence of 2018 downtime to modify the Mobile Bay processing plant for the Norphlet project. Additionally, the decrease in </w:t>
      </w:r>
      <w:r>
        <w:rPr>
          <w:rFonts w:ascii="Arial" w:cs="Arial" w:eastAsia="Arial" w:hAnsi="Arial"/>
          <w:sz w:val="16"/>
          <w:szCs w:val="16"/>
          <w:i w:val="1"/>
          <w:iCs w:val="1"/>
          <w:color w:val="auto"/>
        </w:rPr>
        <w:t>Product sales</w:t>
      </w:r>
      <w:r>
        <w:rPr>
          <w:rFonts w:ascii="Arial" w:cs="Arial" w:eastAsia="Arial" w:hAnsi="Arial"/>
          <w:sz w:val="16"/>
          <w:szCs w:val="16"/>
          <w:color w:val="auto"/>
        </w:rPr>
        <w:t xml:space="preserve"> includes a $93 million decrease in commodity marketing sales due to lower NGL prices and volumes and a $39 million decrease in system management gas sales. Marketing sales and system management gas sales are substantially offset in </w:t>
      </w:r>
      <w:r>
        <w:rPr>
          <w:rFonts w:ascii="Arial" w:cs="Arial" w:eastAsia="Arial" w:hAnsi="Arial"/>
          <w:sz w:val="16"/>
          <w:szCs w:val="16"/>
          <w:i w:val="1"/>
          <w:iCs w:val="1"/>
          <w:color w:val="auto"/>
        </w:rPr>
        <w:t>Product costs</w:t>
      </w:r>
      <w:r>
        <w:rPr>
          <w:rFonts w:ascii="Arial" w:cs="Arial" w:eastAsia="Arial" w:hAnsi="Arial"/>
          <w:sz w:val="16"/>
          <w:szCs w:val="16"/>
          <w:color w:val="auto"/>
        </w:rPr>
        <w:t xml:space="preserve"> and therefore have little impact to </w:t>
      </w:r>
      <w:r>
        <w:rPr>
          <w:rFonts w:ascii="Arial" w:cs="Arial" w:eastAsia="Arial" w:hAnsi="Arial"/>
          <w:sz w:val="16"/>
          <w:szCs w:val="16"/>
          <w:i w:val="1"/>
          <w:iCs w:val="1"/>
          <w:color w:val="auto"/>
        </w:rPr>
        <w:t>Modified EBITDA.</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Other segment costs and expenses </w:t>
      </w:r>
      <w:r>
        <w:rPr>
          <w:rFonts w:ascii="Arial" w:cs="Arial" w:eastAsia="Arial" w:hAnsi="Arial"/>
          <w:sz w:val="17"/>
          <w:szCs w:val="17"/>
          <w:color w:val="auto"/>
        </w:rPr>
        <w:t>increased primarily due a $56 million unfavorable change in equity AFUDC due to lower construction activity, a $32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charge in 2019 for severance and related costs primarily associated with our 2019 VSP, a $21 million increase in reimbursable power and storage expenses, $16 million of expense in 2019 related to the reversal of expenditures previously capitalized, and the absence of a $12 million 2018 gain on asset retirements. These unfavorable changes were partially offset by $77 million of net favorable changes to charges and credits associated with regulatory assets and liabilities, which were significantly driven by the previously mentioned settlement in Transco’s general rate case, and a $46 million decrease in Transco’s contracted services compared to 2018 mainly due to the timing of required engine overhauls and integrity testing.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15" w:right="239" w:bottom="1440" w:gutter="0" w:footer="0" w:header="0"/>
        </w:sectPr>
      </w:pPr>
    </w:p>
    <w:bookmarkStart w:id="57" w:name="page58"/>
    <w:bookmarkEnd w:id="57"/>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Impairment of certain assets </w:t>
      </w:r>
      <w:r>
        <w:rPr>
          <w:rFonts w:ascii="Arial" w:cs="Arial" w:eastAsia="Arial" w:hAnsi="Arial"/>
          <w:sz w:val="18"/>
          <w:szCs w:val="18"/>
          <w:color w:val="auto"/>
        </w:rPr>
        <w:t>includes the 2019 impairment of our Constitution development project (see Note 18 –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Guarantees, and Concentration of Credit Risk of Notes to Consolidated Financial Statements).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Gain on sale of certain assets and businesses </w:t>
      </w:r>
      <w:r>
        <w:rPr>
          <w:rFonts w:ascii="Arial" w:cs="Arial" w:eastAsia="Arial" w:hAnsi="Arial"/>
          <w:sz w:val="18"/>
          <w:szCs w:val="18"/>
          <w:color w:val="auto"/>
        </w:rPr>
        <w:t>reflects an $81 million gain from the sale of our Gulf Coast pipeline system assets in fourth-quarter 2018</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3 – Acquisitions and Divestitures of Notes to Consolidated Financial Statements).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2018 vs. 2017</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Atlantic-Gulf Modified EBITDA </w:t>
      </w:r>
      <w:r>
        <w:rPr>
          <w:rFonts w:ascii="Arial" w:cs="Arial" w:eastAsia="Arial" w:hAnsi="Arial"/>
          <w:sz w:val="16"/>
          <w:szCs w:val="16"/>
          <w:color w:val="auto"/>
        </w:rPr>
        <w:t>increased primarily due to the absence of regulatory charges associated with the impact of Tax Reform at Transco, higher</w:t>
      </w:r>
      <w:r>
        <w:rPr>
          <w:rFonts w:ascii="Arial" w:cs="Arial" w:eastAsia="Arial" w:hAnsi="Arial"/>
          <w:sz w:val="16"/>
          <w:szCs w:val="16"/>
          <w:i w:val="1"/>
          <w:iCs w:val="1"/>
          <w:color w:val="auto"/>
        </w:rPr>
        <w:t xml:space="preserve"> Service revenues</w:t>
      </w:r>
      <w:r>
        <w:rPr>
          <w:rFonts w:ascii="Arial" w:cs="Arial" w:eastAsia="Arial" w:hAnsi="Arial"/>
          <w:sz w:val="16"/>
          <w:szCs w:val="16"/>
          <w:color w:val="auto"/>
        </w:rPr>
        <w:t>, and a 2018 gain on the sale of certain assets; partially offset by lower</w:t>
      </w:r>
      <w:r>
        <w:rPr>
          <w:rFonts w:ascii="Arial" w:cs="Arial" w:eastAsia="Arial" w:hAnsi="Arial"/>
          <w:sz w:val="16"/>
          <w:szCs w:val="16"/>
          <w:i w:val="1"/>
          <w:iCs w:val="1"/>
          <w:color w:val="auto"/>
        </w:rPr>
        <w:t xml:space="preserve"> Proportional Modified EBITDA of equity-method investments</w:t>
      </w:r>
      <w:r>
        <w:rPr>
          <w:rFonts w:ascii="Arial" w:cs="Arial" w:eastAsia="Arial" w:hAnsi="Arial"/>
          <w:sz w:val="16"/>
          <w:szCs w:val="16"/>
          <w:color w:val="auto"/>
        </w:rPr>
        <w:t>.</w:t>
      </w:r>
    </w:p>
    <w:p>
      <w:pPr>
        <w:spacing w:after="0" w:line="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increased primarily due to a $253 million increase in Transco’s natural gas transportation fee revenues primarily due to a $241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associated with expansion projects placed in-service in 2017 and 2018.</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7"/>
          <w:szCs w:val="17"/>
          <w:i w:val="1"/>
          <w:iCs w:val="1"/>
          <w:color w:val="auto"/>
        </w:rPr>
        <w:t>–</w:t>
      </w:r>
      <w:r>
        <w:rPr>
          <w:rFonts w:ascii="Arial" w:cs="Arial" w:eastAsia="Arial" w:hAnsi="Arial"/>
          <w:sz w:val="18"/>
          <w:szCs w:val="18"/>
          <w:i w:val="1"/>
          <w:iCs w:val="1"/>
          <w:color w:val="auto"/>
        </w:rPr>
        <w:t xml:space="preserve"> commodity consideration </w:t>
      </w:r>
      <w:r>
        <w:rPr>
          <w:rFonts w:ascii="Arial" w:cs="Arial" w:eastAsia="Arial" w:hAnsi="Arial"/>
          <w:sz w:val="18"/>
          <w:szCs w:val="18"/>
          <w:color w:val="auto"/>
        </w:rPr>
        <w:t>increased as a result of implementing ASC 606 using a modified retrospective approach. These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 consideration we received in the form of commodities as full or partial payment for gathering and processing services provided. Most of these NGL volumes are sold within the month processed and therefore are offset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Product sales</w:t>
      </w:r>
      <w:r>
        <w:rPr>
          <w:rFonts w:ascii="Arial" w:cs="Arial" w:eastAsia="Arial" w:hAnsi="Arial"/>
          <w:sz w:val="18"/>
          <w:szCs w:val="18"/>
          <w:color w:val="auto"/>
        </w:rPr>
        <w:t xml:space="preserve"> includes:</w:t>
      </w:r>
    </w:p>
    <w:p>
      <w:pPr>
        <w:spacing w:after="0" w:line="212" w:lineRule="exact"/>
        <w:rPr>
          <w:sz w:val="20"/>
          <w:szCs w:val="20"/>
          <w:color w:val="auto"/>
        </w:rPr>
      </w:pPr>
    </w:p>
    <w:p>
      <w:pPr>
        <w:jc w:val="both"/>
        <w:ind w:left="660" w:hanging="328"/>
        <w:spacing w:after="0" w:line="280" w:lineRule="auto"/>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 xml:space="preserve">A $90 million decrease in commodity marketing sales driven by a $149 million decrease in crude oil sales as this activity is now presented on a net basis within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in conjunction with the adoption of ASC 606, partially offset by a $59 million increase in NGL marketing sales primarily reflecting 20 percent higher non-ethane prices;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19"/>
          <w:szCs w:val="19"/>
          <w:color w:val="auto"/>
        </w:rPr>
      </w:pPr>
      <w:r>
        <w:rPr>
          <w:rFonts w:ascii="Arial" w:cs="Arial" w:eastAsia="Arial" w:hAnsi="Arial"/>
          <w:sz w:val="16"/>
          <w:szCs w:val="16"/>
          <w:color w:val="auto"/>
        </w:rPr>
        <w:t>A $14 million decrease in sales associated with the production of our equity NGLs, as further described below as part of our commodity margins;</w:t>
      </w:r>
    </w:p>
    <w:p>
      <w:pPr>
        <w:spacing w:after="0" w:line="213" w:lineRule="exact"/>
        <w:rPr>
          <w:rFonts w:ascii="Arial" w:cs="Arial" w:eastAsia="Arial" w:hAnsi="Arial"/>
          <w:sz w:val="19"/>
          <w:szCs w:val="19"/>
          <w:color w:val="auto"/>
        </w:rPr>
      </w:pPr>
    </w:p>
    <w:p>
      <w:pPr>
        <w:ind w:left="660" w:hanging="328"/>
        <w:spacing w:after="0" w:line="271" w:lineRule="auto"/>
        <w:tabs>
          <w:tab w:leader="none" w:pos="660" w:val="left"/>
        </w:tabs>
        <w:numPr>
          <w:ilvl w:val="0"/>
          <w:numId w:val="38"/>
        </w:numPr>
        <w:rPr>
          <w:rFonts w:ascii="Arial" w:cs="Arial" w:eastAsia="Arial" w:hAnsi="Arial"/>
          <w:sz w:val="22"/>
          <w:szCs w:val="22"/>
          <w:color w:val="auto"/>
        </w:rPr>
      </w:pPr>
      <w:r>
        <w:rPr>
          <w:rFonts w:ascii="Arial" w:cs="Arial" w:eastAsia="Arial" w:hAnsi="Arial"/>
          <w:sz w:val="18"/>
          <w:szCs w:val="18"/>
          <w:color w:val="auto"/>
        </w:rPr>
        <w:t xml:space="preserve">A $57 million increase in system management gas sales. System management gas sales are offset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and therefore have little impact to </w:t>
      </w:r>
      <w:r>
        <w:rPr>
          <w:rFonts w:ascii="Arial" w:cs="Arial" w:eastAsia="Arial" w:hAnsi="Arial"/>
          <w:sz w:val="18"/>
          <w:szCs w:val="18"/>
          <w:i w:val="1"/>
          <w:iCs w:val="1"/>
          <w:color w:val="auto"/>
        </w:rPr>
        <w:t>Modified EBITDA.</w:t>
      </w:r>
    </w:p>
    <w:p>
      <w:pPr>
        <w:spacing w:after="0" w:line="1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Product costs </w:t>
      </w:r>
      <w:r>
        <w:rPr>
          <w:rFonts w:ascii="Arial" w:cs="Arial" w:eastAsia="Arial" w:hAnsi="Arial"/>
          <w:sz w:val="18"/>
          <w:szCs w:val="18"/>
          <w:color w:val="auto"/>
        </w:rPr>
        <w:t>slightly increased primarily due to a $59 million increase in system management gas purchases (substantially offset in</w:t>
      </w:r>
      <w:r>
        <w:rPr>
          <w:rFonts w:ascii="Arial" w:cs="Arial" w:eastAsia="Arial" w:hAnsi="Arial"/>
          <w:sz w:val="18"/>
          <w:szCs w:val="18"/>
          <w:i w:val="1"/>
          <w:iCs w:val="1"/>
          <w:color w:val="auto"/>
        </w:rPr>
        <w:t xml:space="preserve"> Product sales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impact of ASC 606 in which costs reflected in this line item for 2018 include volumes acquired as commodity consideration for NGL processing services. This increase was partially offset by an $87 million decrease in marketing purchases (more than offset in </w:t>
      </w:r>
      <w:r>
        <w:rPr>
          <w:rFonts w:ascii="Arial" w:cs="Arial" w:eastAsia="Arial" w:hAnsi="Arial"/>
          <w:sz w:val="18"/>
          <w:szCs w:val="18"/>
          <w:i w:val="1"/>
          <w:iCs w:val="1"/>
          <w:color w:val="auto"/>
        </w:rPr>
        <w:t>Product sales</w:t>
      </w:r>
      <w:r>
        <w:rPr>
          <w:rFonts w:ascii="Arial" w:cs="Arial" w:eastAsia="Arial" w:hAnsi="Arial"/>
          <w:sz w:val="18"/>
          <w:szCs w:val="18"/>
          <w:color w:val="auto"/>
        </w:rPr>
        <w:t xml:space="preserve">) and the absence of natural gas purchases associated with the production of equity NGLs, which are now reported in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 xml:space="preserve"> in conjunction with the implementation of ASC 606.</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Processing commodity expenses </w:t>
      </w:r>
      <w:r>
        <w:rPr>
          <w:rFonts w:ascii="Arial" w:cs="Arial" w:eastAsia="Arial" w:hAnsi="Arial"/>
          <w:sz w:val="18"/>
          <w:szCs w:val="18"/>
          <w:color w:val="auto"/>
        </w:rPr>
        <w:t>presents the natural gas purchases associated with the production of equity NGLs as previously described in conjunction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implementation of ASC 606</w:t>
      </w:r>
      <w:r>
        <w:rPr>
          <w:rFonts w:ascii="Arial" w:cs="Arial" w:eastAsia="Arial" w:hAnsi="Arial"/>
          <w:sz w:val="18"/>
          <w:szCs w:val="18"/>
          <w:i w:val="1"/>
          <w:iCs w:val="1"/>
          <w:color w:val="auto"/>
        </w:rPr>
        <w:t>.</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net sum of </w:t>
      </w:r>
      <w:r>
        <w:rPr>
          <w:rFonts w:ascii="Arial" w:cs="Arial" w:eastAsia="Arial" w:hAnsi="Arial"/>
          <w:sz w:val="18"/>
          <w:szCs w:val="18"/>
          <w:i w:val="1"/>
          <w:iCs w:val="1"/>
          <w:color w:val="auto"/>
        </w:rPr>
        <w:t>Service revenues</w:t>
      </w:r>
      <w:r>
        <w:rPr>
          <w:rFonts w:ascii="Arial" w:cs="Arial" w:eastAsia="Arial" w:hAnsi="Arial"/>
          <w:sz w:val="18"/>
          <w:szCs w:val="18"/>
          <w:color w:val="auto"/>
        </w:rPr>
        <w:t xml:space="preserve"> </w:t>
      </w:r>
      <w:r>
        <w:rPr>
          <w:rFonts w:ascii="Arial" w:cs="Arial" w:eastAsia="Arial" w:hAnsi="Arial"/>
          <w:sz w:val="17"/>
          <w:szCs w:val="17"/>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commodity consideration, Product sales, Product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 xml:space="preserve"> comprise our commodity margins.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segment costs and expenses </w:t>
      </w:r>
      <w:r>
        <w:rPr>
          <w:rFonts w:ascii="Arial" w:cs="Arial" w:eastAsia="Arial" w:hAnsi="Arial"/>
          <w:sz w:val="18"/>
          <w:szCs w:val="18"/>
          <w:color w:val="auto"/>
        </w:rPr>
        <w:t>decreased primarily due to a $17 million increase in Transco’s equity AFUDC as a result of higher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in 2018.</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Gain on sale of certain assets </w:t>
      </w:r>
      <w:r>
        <w:rPr>
          <w:rFonts w:ascii="Arial" w:cs="Arial" w:eastAsia="Arial" w:hAnsi="Arial"/>
          <w:sz w:val="18"/>
          <w:szCs w:val="18"/>
          <w:color w:val="auto"/>
        </w:rPr>
        <w:t>reflects an $81 million gain from the sale of our Gulf Coast pipeline system assets in fourth-quarter 2018, as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mentioned.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33" w:right="239" w:bottom="1440" w:gutter="0" w:footer="0" w:header="0"/>
        </w:sectPr>
      </w:pPr>
    </w:p>
    <w:bookmarkStart w:id="58" w:name="page59"/>
    <w:bookmarkEnd w:id="58"/>
    <w:p>
      <w:pPr>
        <w:jc w:val="both"/>
        <w:ind w:firstLine="324"/>
        <w:spacing w:after="0" w:line="264" w:lineRule="auto"/>
        <w:rPr>
          <w:sz w:val="20"/>
          <w:szCs w:val="20"/>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Regulatory charges resulting from Tax Reform</w:t>
      </w:r>
      <w:r>
        <w:rPr>
          <w:rFonts w:ascii="Arial" w:cs="Arial" w:eastAsia="Arial" w:hAnsi="Arial"/>
          <w:sz w:val="18"/>
          <w:szCs w:val="18"/>
          <w:color w:val="auto"/>
        </w:rPr>
        <w:t xml:space="preserve"> reflects the absence of $493 million of regulatory charges in 2017 associated with the impact of Tax Reform at Transco (See Note 1 – General, Description of Business, Basis of Presentation, and Summary of Significant Accounting Policies </w:t>
      </w:r>
      <w:r>
        <w:rPr>
          <w:rFonts w:ascii="Arial" w:cs="Arial" w:eastAsia="Arial" w:hAnsi="Arial"/>
          <w:sz w:val="17"/>
          <w:szCs w:val="17"/>
          <w:color w:val="auto"/>
        </w:rPr>
        <w:t>of</w:t>
      </w:r>
      <w:r>
        <w:rPr>
          <w:rFonts w:ascii="Arial" w:cs="Arial" w:eastAsia="Arial" w:hAnsi="Arial"/>
          <w:sz w:val="18"/>
          <w:szCs w:val="18"/>
          <w:color w:val="auto"/>
        </w:rPr>
        <w:t xml:space="preserve"> </w:t>
      </w:r>
      <w:r>
        <w:rPr>
          <w:rFonts w:ascii="Arial" w:cs="Arial" w:eastAsia="Arial" w:hAnsi="Arial"/>
          <w:sz w:val="17"/>
          <w:szCs w:val="17"/>
          <w:color w:val="auto"/>
        </w:rPr>
        <w:t>Notes to Consolidated Financial Statements</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Proportional Modified EBITDA of equity-method investments</w:t>
      </w:r>
      <w:r>
        <w:rPr>
          <w:rFonts w:ascii="Arial" w:cs="Arial" w:eastAsia="Arial" w:hAnsi="Arial"/>
          <w:sz w:val="18"/>
          <w:szCs w:val="18"/>
          <w:color w:val="auto"/>
        </w:rPr>
        <w:t xml:space="preserve"> is due to an $89 million decrease at Discovery, primarily related to a $76 million decrease associated with production ending on certain wells.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Northeast G&amp;P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Service revenues – commodity consideration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Segment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commodity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segment costs and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certain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Proportional Modified EBITDA of equity-method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Northeast G&amp;P Modified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margins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2019 vs. 2018</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Northeast G&amp;P Modified EBITDA </w:t>
      </w:r>
      <w:r>
        <w:rPr>
          <w:rFonts w:ascii="Arial" w:cs="Arial" w:eastAsia="Arial" w:hAnsi="Arial"/>
          <w:sz w:val="18"/>
          <w:szCs w:val="18"/>
          <w:color w:val="auto"/>
        </w:rPr>
        <w:t>increased primarily due to higher</w:t>
      </w:r>
      <w:r>
        <w:rPr>
          <w:rFonts w:ascii="Arial" w:cs="Arial" w:eastAsia="Arial" w:hAnsi="Arial"/>
          <w:sz w:val="18"/>
          <w:szCs w:val="18"/>
          <w:i w:val="1"/>
          <w:iCs w:val="1"/>
          <w:color w:val="auto"/>
        </w:rPr>
        <w:t xml:space="preserve"> Service revenues </w:t>
      </w:r>
      <w:r>
        <w:rPr>
          <w:rFonts w:ascii="Arial" w:cs="Arial" w:eastAsia="Arial" w:hAnsi="Arial"/>
          <w:sz w:val="18"/>
          <w:szCs w:val="18"/>
          <w:color w:val="auto"/>
        </w:rPr>
        <w:t>due to increased gathering volumes, as well as the $38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of acquiring the additional interest of UEOM, partially offset by 2019 impairments.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increased primarily due to:</w:t>
      </w:r>
    </w:p>
    <w:p>
      <w:pPr>
        <w:spacing w:after="0" w:line="17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 $158 million increase associated with the consolidation of UEOM, as previously discussed;</w:t>
      </w:r>
    </w:p>
    <w:p>
      <w:pPr>
        <w:spacing w:after="0" w:line="188"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 $102 million increase associated with higher gathering revenues at Susquehanna Supply Hub reflecting 18 percent higher gathering volumes due to increased production from customers and higher rates;</w:t>
      </w:r>
    </w:p>
    <w:p>
      <w:pPr>
        <w:spacing w:after="0" w:line="13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 $49 million increase at Ohio Valley Midstream primarily due to higher gathering, processing, and transportation volumes;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 $36 million increase in gathering revenues in the Utica Shale region due to higher rates and volumes from new wells;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 $14 million increase in compression revenues for services charged to an affiliate driven by higher volumes.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Product sales </w:t>
      </w:r>
      <w:r>
        <w:rPr>
          <w:rFonts w:ascii="Arial" w:cs="Arial" w:eastAsia="Arial" w:hAnsi="Arial"/>
          <w:sz w:val="18"/>
          <w:szCs w:val="18"/>
          <w:color w:val="auto"/>
        </w:rPr>
        <w:t>decreased primarily due to lower non-ethane volumes and prices within our marketing activities. The changes in marketing revenues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offset by similar changes in marketing purchases, reflected above as </w:t>
      </w:r>
      <w:r>
        <w:rPr>
          <w:rFonts w:ascii="Arial" w:cs="Arial" w:eastAsia="Arial" w:hAnsi="Arial"/>
          <w:sz w:val="18"/>
          <w:szCs w:val="18"/>
          <w:i w:val="1"/>
          <w:iCs w:val="1"/>
          <w:color w:val="auto"/>
        </w:rPr>
        <w:t>Product costs</w:t>
      </w:r>
      <w:r>
        <w:rPr>
          <w:rFonts w:ascii="Arial" w:cs="Arial" w:eastAsia="Arial" w:hAnsi="Arial"/>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33"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i w:val="1"/>
          <w:iCs w:val="1"/>
          <w:color w:val="auto"/>
        </w:rPr>
        <w:t xml:space="preserve">Other segment costs and expenses </w:t>
      </w:r>
      <w:r>
        <w:rPr>
          <w:rFonts w:ascii="Arial" w:cs="Arial" w:eastAsia="Arial" w:hAnsi="Arial"/>
          <w:sz w:val="18"/>
          <w:szCs w:val="18"/>
          <w:color w:val="auto"/>
        </w:rPr>
        <w:t>increased primarily due to:</w:t>
      </w:r>
    </w:p>
    <w:p>
      <w:pPr>
        <w:spacing w:after="0" w:line="17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$53 million increase associated with the consolidation of UEOM;</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$10 million increase related to transaction expenses associated with the acquisition of UEOM and the formation of the Northeast JV;</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$7 million charge in 2019 for severance and related costs primarily associated with our VSP.</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Impairment of certain assets </w:t>
      </w:r>
      <w:r>
        <w:rPr>
          <w:rFonts w:ascii="Arial" w:cs="Arial" w:eastAsia="Arial" w:hAnsi="Arial"/>
          <w:sz w:val="17"/>
          <w:szCs w:val="17"/>
          <w:color w:val="auto"/>
        </w:rPr>
        <w:t>increased due to a $10 million write-down of other certain assets that may no longer be in use or are surplus in nature in</w:t>
      </w:r>
      <w:r>
        <w:rPr>
          <w:rFonts w:ascii="Arial" w:cs="Arial" w:eastAsia="Arial" w:hAnsi="Arial"/>
          <w:sz w:val="17"/>
          <w:szCs w:val="17"/>
          <w:i w:val="1"/>
          <w:iCs w:val="1"/>
          <w:color w:val="auto"/>
        </w:rPr>
        <w:t xml:space="preserve"> </w:t>
      </w:r>
      <w:r>
        <w:rPr>
          <w:rFonts w:ascii="Arial" w:cs="Arial" w:eastAsia="Arial" w:hAnsi="Arial"/>
          <w:sz w:val="17"/>
          <w:szCs w:val="17"/>
          <w:color w:val="auto"/>
        </w:rPr>
        <w:t>2019 (see Note 18 – Fair Value Measurements, Guarantees, and Concentration of Credit Risk of Notes to Consolidated Financial Statements).</w:t>
      </w:r>
    </w:p>
    <w:p>
      <w:pPr>
        <w:spacing w:after="0" w:line="1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Proportional Modified EBITDA of equity-method investments </w:t>
      </w:r>
      <w:r>
        <w:rPr>
          <w:rFonts w:ascii="Arial" w:cs="Arial" w:eastAsia="Arial" w:hAnsi="Arial"/>
          <w:sz w:val="18"/>
          <w:szCs w:val="18"/>
          <w:color w:val="auto"/>
        </w:rPr>
        <w:t>decreased $59 million as a result of the consolidation of UEOM and $10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unfavorable rates reflecting lower NGL prices at Aux Sable. This decrease was partially offset by a $29 million increase at Appalachia Midstream Investments, reflecting higher volumes due to increased customer production.</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2018 vs. 2017</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Northeast G&amp;P Modified EBITDA </w:t>
      </w:r>
      <w:r>
        <w:rPr>
          <w:rFonts w:ascii="Arial" w:cs="Arial" w:eastAsia="Arial" w:hAnsi="Arial"/>
          <w:sz w:val="18"/>
          <w:szCs w:val="18"/>
          <w:color w:val="auto"/>
        </w:rPr>
        <w:t>increased primarily due to the absence of</w:t>
      </w:r>
      <w:r>
        <w:rPr>
          <w:rFonts w:ascii="Arial" w:cs="Arial" w:eastAsia="Arial" w:hAnsi="Arial"/>
          <w:sz w:val="18"/>
          <w:szCs w:val="18"/>
          <w:i w:val="1"/>
          <w:iCs w:val="1"/>
          <w:color w:val="auto"/>
        </w:rPr>
        <w:t xml:space="preserve"> Impairment of certain assets </w:t>
      </w:r>
      <w:r>
        <w:rPr>
          <w:rFonts w:ascii="Arial" w:cs="Arial" w:eastAsia="Arial" w:hAnsi="Arial"/>
          <w:sz w:val="18"/>
          <w:szCs w:val="18"/>
          <w:color w:val="auto"/>
        </w:rPr>
        <w:t>in 2017, and higher</w:t>
      </w:r>
      <w:r>
        <w:rPr>
          <w:rFonts w:ascii="Arial" w:cs="Arial" w:eastAsia="Arial" w:hAnsi="Arial"/>
          <w:sz w:val="18"/>
          <w:szCs w:val="18"/>
          <w:i w:val="1"/>
          <w:iCs w:val="1"/>
          <w:color w:val="auto"/>
        </w:rPr>
        <w:t xml:space="preserve"> Service revenues </w:t>
      </w:r>
      <w:r>
        <w:rPr>
          <w:rFonts w:ascii="Arial" w:cs="Arial" w:eastAsia="Arial" w:hAnsi="Arial"/>
          <w:sz w:val="18"/>
          <w:szCs w:val="18"/>
          <w:color w:val="auto"/>
        </w:rPr>
        <w:t>and</w:t>
      </w:r>
      <w:r>
        <w:rPr>
          <w:rFonts w:ascii="Arial" w:cs="Arial" w:eastAsia="Arial" w:hAnsi="Arial"/>
          <w:sz w:val="18"/>
          <w:szCs w:val="18"/>
          <w:i w:val="1"/>
          <w:iCs w:val="1"/>
          <w:color w:val="auto"/>
        </w:rPr>
        <w:t xml:space="preserve"> Proportional Modified EBITDA of equity-method investments</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increased due to:</w:t>
      </w:r>
    </w:p>
    <w:p>
      <w:pPr>
        <w:spacing w:after="0" w:line="198" w:lineRule="exact"/>
        <w:rPr>
          <w:sz w:val="20"/>
          <w:szCs w:val="20"/>
          <w:color w:val="auto"/>
        </w:rPr>
      </w:pPr>
    </w:p>
    <w:p>
      <w:pPr>
        <w:ind w:left="660" w:hanging="328"/>
        <w:spacing w:after="0" w:line="271"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A $65 million increase in gathering fee revenues at Susquehanna Supply Hub due to 13 percent higher gathering volumes reflecting increased customer production;</w:t>
      </w:r>
    </w:p>
    <w:p>
      <w:pPr>
        <w:spacing w:after="0" w:line="133"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A $24 million increase at Ohio River Supply Hub reflecting higher gathering volumes due to increased customer production;</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1"/>
        </w:numPr>
        <w:rPr>
          <w:rFonts w:ascii="Arial" w:cs="Arial" w:eastAsia="Arial" w:hAnsi="Arial"/>
          <w:sz w:val="22"/>
          <w:szCs w:val="22"/>
          <w:color w:val="auto"/>
        </w:rPr>
      </w:pPr>
      <w:r>
        <w:rPr>
          <w:rFonts w:ascii="Arial" w:cs="Arial" w:eastAsia="Arial" w:hAnsi="Arial"/>
          <w:sz w:val="18"/>
          <w:szCs w:val="18"/>
          <w:color w:val="auto"/>
        </w:rPr>
        <w:t>An $11 million increase in Utica gathering fee revenues reflecting higher rates and volumes.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Service revenues – commodity consideration </w:t>
      </w:r>
      <w:r>
        <w:rPr>
          <w:rFonts w:ascii="Arial" w:cs="Arial" w:eastAsia="Arial" w:hAnsi="Arial"/>
          <w:sz w:val="18"/>
          <w:szCs w:val="18"/>
          <w:color w:val="auto"/>
        </w:rPr>
        <w:t>increased as a result of implementing ASC 606 using a modified retrospective approach. These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 consideration we receive in the form of commodities as full or partial payment for gathering and processing services provided. Most of these NGL volumes are sold within the month processed and therefore are offset in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decreased primarily due to $31 million lower marketing sales, driven by lower non-ethane volumes and prices. The changes in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sales are offset by similar changes in marketing purchases, reflected above as </w:t>
      </w:r>
      <w:r>
        <w:rPr>
          <w:rFonts w:ascii="Arial" w:cs="Arial" w:eastAsia="Arial" w:hAnsi="Arial"/>
          <w:sz w:val="16"/>
          <w:szCs w:val="16"/>
          <w:i w:val="1"/>
          <w:iCs w:val="1"/>
          <w:color w:val="auto"/>
        </w:rPr>
        <w:t>Product costs</w:t>
      </w:r>
      <w:r>
        <w:rPr>
          <w:rFonts w:ascii="Arial" w:cs="Arial" w:eastAsia="Arial" w:hAnsi="Arial"/>
          <w:sz w:val="16"/>
          <w:szCs w:val="16"/>
          <w:color w:val="auto"/>
        </w:rPr>
        <w:t xml:space="preserve">. The decrease in </w:t>
      </w:r>
      <w:r>
        <w:rPr>
          <w:rFonts w:ascii="Arial" w:cs="Arial" w:eastAsia="Arial" w:hAnsi="Arial"/>
          <w:sz w:val="16"/>
          <w:szCs w:val="16"/>
          <w:i w:val="1"/>
          <w:iCs w:val="1"/>
          <w:color w:val="auto"/>
        </w:rPr>
        <w:t>Product sales</w:t>
      </w:r>
      <w:r>
        <w:rPr>
          <w:rFonts w:ascii="Arial" w:cs="Arial" w:eastAsia="Arial" w:hAnsi="Arial"/>
          <w:sz w:val="16"/>
          <w:szCs w:val="16"/>
          <w:color w:val="auto"/>
        </w:rPr>
        <w:t xml:space="preserve"> is partially offset by $21 million in higher system management gas sales. System management gas sales are offset in </w:t>
      </w:r>
      <w:r>
        <w:rPr>
          <w:rFonts w:ascii="Arial" w:cs="Arial" w:eastAsia="Arial" w:hAnsi="Arial"/>
          <w:sz w:val="16"/>
          <w:szCs w:val="16"/>
          <w:i w:val="1"/>
          <w:iCs w:val="1"/>
          <w:color w:val="auto"/>
        </w:rPr>
        <w:t>Product costs</w:t>
      </w:r>
      <w:r>
        <w:rPr>
          <w:rFonts w:ascii="Arial" w:cs="Arial" w:eastAsia="Arial" w:hAnsi="Arial"/>
          <w:sz w:val="16"/>
          <w:szCs w:val="16"/>
          <w:color w:val="auto"/>
        </w:rPr>
        <w:t xml:space="preserve"> and therefore have no impact on </w:t>
      </w:r>
      <w:r>
        <w:rPr>
          <w:rFonts w:ascii="Arial" w:cs="Arial" w:eastAsia="Arial" w:hAnsi="Arial"/>
          <w:sz w:val="16"/>
          <w:szCs w:val="16"/>
          <w:i w:val="1"/>
          <w:iCs w:val="1"/>
          <w:color w:val="auto"/>
        </w:rPr>
        <w:t>Modified EBITDA</w:t>
      </w:r>
      <w:r>
        <w:rPr>
          <w:rFonts w:ascii="Arial" w:cs="Arial" w:eastAsia="Arial" w:hAnsi="Arial"/>
          <w:sz w:val="16"/>
          <w:szCs w:val="16"/>
          <w:color w:val="auto"/>
        </w:rPr>
        <w: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Impairment of certain assets </w:t>
      </w:r>
      <w:r>
        <w:rPr>
          <w:rFonts w:ascii="Arial" w:cs="Arial" w:eastAsia="Arial" w:hAnsi="Arial"/>
          <w:sz w:val="16"/>
          <w:szCs w:val="16"/>
          <w:color w:val="auto"/>
        </w:rPr>
        <w:t>reflects the absence of a $115 million impairment of certain gathering operations in the Marcellus South region in 2017.</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Proportional Modified EBITDA of equity-method investments </w:t>
      </w:r>
      <w:r>
        <w:rPr>
          <w:rFonts w:ascii="Arial" w:cs="Arial" w:eastAsia="Arial" w:hAnsi="Arial"/>
          <w:sz w:val="18"/>
          <w:szCs w:val="18"/>
          <w:color w:val="auto"/>
        </w:rPr>
        <w:t>increased primarily due to a $33 million increase at Appalachia Midstream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our increased ownership acquired in late first-quarter 2017 and higher volumes. Improvements at Aux Sable and Caiman II also contributed to the increase.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33"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West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 xml:space="preserve">Service revenues </w:t>
            </w:r>
            <w:r>
              <w:rPr>
                <w:rFonts w:ascii="Arial" w:cs="Arial" w:eastAsia="Arial" w:hAnsi="Arial"/>
                <w:sz w:val="17"/>
                <w:szCs w:val="17"/>
                <w:color w:val="auto"/>
              </w:rPr>
              <w:t>–</w:t>
            </w:r>
            <w:r>
              <w:rPr>
                <w:rFonts w:ascii="Arial" w:cs="Arial" w:eastAsia="Arial" w:hAnsi="Arial"/>
                <w:sz w:val="18"/>
                <w:szCs w:val="18"/>
                <w:color w:val="auto"/>
              </w:rPr>
              <w:t xml:space="preserve"> commodity consideration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Segment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Product costs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Processing commodity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segment costs and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certain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on sale of certain assets and businesses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charges resulting from Tax Reform</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Proportional Modified EBITDA of equity-method investments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West Modified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margins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2019 vs. 2018</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West Modified EBITDA </w:t>
      </w:r>
      <w:r>
        <w:rPr>
          <w:rFonts w:ascii="Arial" w:cs="Arial" w:eastAsia="Arial" w:hAnsi="Arial"/>
          <w:sz w:val="18"/>
          <w:szCs w:val="18"/>
          <w:color w:val="auto"/>
        </w:rPr>
        <w:t>increased primarily due to lower</w:t>
      </w:r>
      <w:r>
        <w:rPr>
          <w:rFonts w:ascii="Arial" w:cs="Arial" w:eastAsia="Arial" w:hAnsi="Arial"/>
          <w:sz w:val="18"/>
          <w:szCs w:val="18"/>
          <w:i w:val="1"/>
          <w:iCs w:val="1"/>
          <w:color w:val="auto"/>
        </w:rPr>
        <w:t xml:space="preserve"> Impairment of certain assets </w:t>
      </w:r>
      <w:r>
        <w:rPr>
          <w:rFonts w:ascii="Arial" w:cs="Arial" w:eastAsia="Arial" w:hAnsi="Arial"/>
          <w:sz w:val="18"/>
          <w:szCs w:val="18"/>
          <w:color w:val="auto"/>
        </w:rPr>
        <w:t>and lower</w:t>
      </w:r>
      <w:r>
        <w:rPr>
          <w:rFonts w:ascii="Arial" w:cs="Arial" w:eastAsia="Arial" w:hAnsi="Arial"/>
          <w:sz w:val="18"/>
          <w:szCs w:val="18"/>
          <w:i w:val="1"/>
          <w:iCs w:val="1"/>
          <w:color w:val="auto"/>
        </w:rPr>
        <w:t xml:space="preserve"> Other segment costs and expenses</w:t>
      </w:r>
      <w:r>
        <w:rPr>
          <w:rFonts w:ascii="Arial" w:cs="Arial" w:eastAsia="Arial" w:hAnsi="Arial"/>
          <w:sz w:val="18"/>
          <w:szCs w:val="18"/>
          <w:color w:val="auto"/>
        </w:rPr>
        <w:t>, partially offset by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lower gain on sale of certain assets in 2019, lower </w:t>
      </w:r>
      <w:r>
        <w:rPr>
          <w:rFonts w:ascii="Arial" w:cs="Arial" w:eastAsia="Arial" w:hAnsi="Arial"/>
          <w:sz w:val="18"/>
          <w:szCs w:val="18"/>
          <w:i w:val="1"/>
          <w:iCs w:val="1"/>
          <w:color w:val="auto"/>
        </w:rPr>
        <w:t>Service revenues</w:t>
      </w:r>
      <w:r>
        <w:rPr>
          <w:rFonts w:ascii="Arial" w:cs="Arial" w:eastAsia="Arial" w:hAnsi="Arial"/>
          <w:sz w:val="18"/>
          <w:szCs w:val="18"/>
          <w:color w:val="auto"/>
        </w:rPr>
        <w:t>, and lower commodity margins.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decreased primarily due to:</w:t>
      </w:r>
    </w:p>
    <w:p>
      <w:pPr>
        <w:spacing w:after="0" w:line="212" w:lineRule="exact"/>
        <w:rPr>
          <w:sz w:val="20"/>
          <w:szCs w:val="20"/>
          <w:color w:val="auto"/>
        </w:rPr>
      </w:pPr>
    </w:p>
    <w:p>
      <w:pPr>
        <w:jc w:val="both"/>
        <w:ind w:left="660" w:hanging="328"/>
        <w:spacing w:after="0" w:line="280"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$218 million decrease associated with asset divestitures and deconsolidations during 2018 and 2019, including our former Four Corners area assets, certain Delaware basin assets that were contributed to our Brazos Permian II equity-method investment, and our Jackalope assets which were deconsolidated in second-quarter 2018 and subsequently sold in second-quarter 2019;</w:t>
      </w:r>
    </w:p>
    <w:p>
      <w:pPr>
        <w:spacing w:after="0" w:line="167"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$57 million decrease driven by lower deferred revenue amortization and MVC deficiency fee revenues in the Barnett Shale region primarily associated with the expiration of a certain MVC agreement;</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$17 million decrease driven by lower gathering volumes primarily in the Mid-Continent, Barnett Shale, and Wamsutter regions, partially offset by higher gathering volumes primarily in the Haynesville Shale and Eagle Ford regions;</w:t>
      </w:r>
    </w:p>
    <w:p>
      <w:pPr>
        <w:spacing w:after="0" w:line="146"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$15 million decrease associated with lower processing rates primarily driven by lower commodity pricing in the Piceance region;</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$15 million decrease associated with lower gathering rates primarily in the Mid-Continent and Haynesville Shale regions;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$17 million increase related to other MVC deficiency fee revenues;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 $13 million increase related to higher fractionation and storage fees;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An $8 million increase associated with the resolution of a prior period performance obligation.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15" w:right="239" w:bottom="1440" w:gutter="0" w:footer="0" w:header="0"/>
        </w:sectPr>
      </w:pPr>
    </w:p>
    <w:bookmarkStart w:id="61" w:name="page62"/>
    <w:bookmarkEnd w:id="61"/>
    <w:p>
      <w:pPr>
        <w:ind w:right="20" w:firstLine="324"/>
        <w:spacing w:after="0" w:line="277" w:lineRule="auto"/>
        <w:rPr>
          <w:sz w:val="20"/>
          <w:szCs w:val="20"/>
          <w:color w:val="auto"/>
        </w:rPr>
      </w:pPr>
      <w:r>
        <w:rPr>
          <w:rFonts w:ascii="Arial" w:cs="Arial" w:eastAsia="Arial" w:hAnsi="Arial"/>
          <w:sz w:val="18"/>
          <w:szCs w:val="18"/>
          <w:color w:val="auto"/>
        </w:rPr>
        <w:t xml:space="preserve">The net sum of </w:t>
      </w:r>
      <w:r>
        <w:rPr>
          <w:rFonts w:ascii="Arial" w:cs="Arial" w:eastAsia="Arial" w:hAnsi="Arial"/>
          <w:sz w:val="18"/>
          <w:szCs w:val="18"/>
          <w:i w:val="1"/>
          <w:iCs w:val="1"/>
          <w:color w:val="auto"/>
        </w:rPr>
        <w:t>Service revenues</w:t>
      </w:r>
      <w:r>
        <w:rPr>
          <w:rFonts w:ascii="Arial" w:cs="Arial" w:eastAsia="Arial" w:hAnsi="Arial"/>
          <w:sz w:val="18"/>
          <w:szCs w:val="18"/>
          <w:color w:val="auto"/>
        </w:rPr>
        <w:t xml:space="preserve"> </w:t>
      </w:r>
      <w:r>
        <w:rPr>
          <w:rFonts w:ascii="Arial" w:cs="Arial" w:eastAsia="Arial" w:hAnsi="Arial"/>
          <w:sz w:val="17"/>
          <w:szCs w:val="17"/>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commodity consideration, Product sales, Product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 xml:space="preserve"> comprise our commodity margins. Our commodity margins associated with our equity NGLs decreased $127 million primarily due to:</w:t>
      </w:r>
    </w:p>
    <w:p>
      <w:pPr>
        <w:spacing w:after="0" w:line="157" w:lineRule="exact"/>
        <w:rPr>
          <w:sz w:val="20"/>
          <w:szCs w:val="20"/>
          <w:color w:val="auto"/>
        </w:rPr>
      </w:pPr>
    </w:p>
    <w:p>
      <w:pPr>
        <w:jc w:val="both"/>
        <w:ind w:left="660" w:hanging="328"/>
        <w:spacing w:after="0" w:line="301" w:lineRule="auto"/>
        <w:tabs>
          <w:tab w:leader="none" w:pos="660" w:val="left"/>
        </w:tabs>
        <w:numPr>
          <w:ilvl w:val="0"/>
          <w:numId w:val="43"/>
        </w:numPr>
        <w:rPr>
          <w:rFonts w:ascii="Arial" w:cs="Arial" w:eastAsia="Arial" w:hAnsi="Arial"/>
          <w:sz w:val="21"/>
          <w:szCs w:val="21"/>
          <w:color w:val="auto"/>
        </w:rPr>
      </w:pPr>
      <w:r>
        <w:rPr>
          <w:rFonts w:ascii="Arial" w:cs="Arial" w:eastAsia="Arial" w:hAnsi="Arial"/>
          <w:sz w:val="17"/>
          <w:szCs w:val="17"/>
          <w:color w:val="auto"/>
        </w:rPr>
        <w:t>A $98 million decrease associated with lower sales volumes, consisting of $54 million related to the absence of our former Four Corners area assets and $44 million due to 12 percent lower non-ethane volumes and 33 percent lower ethane sales volumes primarily due to higher ethane rejection in 2019, natural declines, less producer drilling activity, and more severe weather conditions in first-quarter 2019;</w:t>
      </w:r>
    </w:p>
    <w:p>
      <w:pPr>
        <w:spacing w:after="0" w:line="152" w:lineRule="exact"/>
        <w:rPr>
          <w:rFonts w:ascii="Arial" w:cs="Arial" w:eastAsia="Arial" w:hAnsi="Arial"/>
          <w:sz w:val="21"/>
          <w:szCs w:val="21"/>
          <w:color w:val="auto"/>
        </w:rPr>
      </w:pPr>
    </w:p>
    <w:p>
      <w:pPr>
        <w:ind w:left="660" w:hanging="328"/>
        <w:spacing w:after="0" w:line="271"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 $66 million decrease associated with lower sales prices primarily due to 29 percent and 48 percent lower average net realized per-unit non-ethane and ethane sales prices, respectively;</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 $37 million increase related to lower natural gas purchases associated with lower equity NGL production volumes and lower natural gas prices, including $9 million related to the absence of our former Four Corners area assets.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Additionally, the decrease in </w:t>
      </w:r>
      <w:r>
        <w:rPr>
          <w:rFonts w:ascii="Arial" w:cs="Arial" w:eastAsia="Arial" w:hAnsi="Arial"/>
          <w:sz w:val="18"/>
          <w:szCs w:val="18"/>
          <w:i w:val="1"/>
          <w:iCs w:val="1"/>
          <w:color w:val="auto"/>
        </w:rPr>
        <w:t>Product sales</w:t>
      </w:r>
      <w:r>
        <w:rPr>
          <w:rFonts w:ascii="Arial" w:cs="Arial" w:eastAsia="Arial" w:hAnsi="Arial"/>
          <w:sz w:val="18"/>
          <w:szCs w:val="18"/>
          <w:color w:val="auto"/>
        </w:rPr>
        <w:t xml:space="preserve"> includes a $447 million decrease in marketing sales, which is due to lower sales prices, partially offset by higher sales volumes, and a $36 million decrease related to the sale of other products. These decreases are substantially offset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Marketing margins increased by $27 million primarily due to favorable changes in prices.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segment costs and expenses </w:t>
      </w:r>
      <w:r>
        <w:rPr>
          <w:rFonts w:ascii="Arial" w:cs="Arial" w:eastAsia="Arial" w:hAnsi="Arial"/>
          <w:sz w:val="18"/>
          <w:szCs w:val="18"/>
          <w:color w:val="auto"/>
        </w:rPr>
        <w:t>decreased primarily due to a $127 million reduction associated with the absences of our former Four Corners area</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from the Jackalope deconsolidation in second-quarter 2018, the absence of a 2018 unfavorable charge of $12 million for a regulatory liability associated with a decrease in Northwest Pipeline’s estimated deferred state income tax rate following the WPZ Merger, $12 million favorable settlements in 2019, as well as $10 million lower ad valorem taxes. These decreases were partially offset by an unfavorable charge in 2019 for severance and related costs primarily associated with our VSP of $17 million.</w:t>
      </w:r>
    </w:p>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Impairment of certain assets </w:t>
      </w:r>
      <w:r>
        <w:rPr>
          <w:rFonts w:ascii="Arial" w:cs="Arial" w:eastAsia="Arial" w:hAnsi="Arial"/>
          <w:sz w:val="16"/>
          <w:szCs w:val="16"/>
          <w:color w:val="auto"/>
        </w:rPr>
        <w:t>decreased primarily due to the absence of the $1,849 million Barnett impairment in 2018, partially offset by various 2019</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impairments (see Note 18 – Fair Value Measurements, Guarantees, and Concentration of Credit Risk of Notes to Consolidated Financial Statements).</w:t>
      </w:r>
    </w:p>
    <w:p>
      <w:pPr>
        <w:spacing w:after="0" w:line="8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The decrease in </w:t>
      </w:r>
      <w:r>
        <w:rPr>
          <w:rFonts w:ascii="Arial" w:cs="Arial" w:eastAsia="Arial" w:hAnsi="Arial"/>
          <w:sz w:val="18"/>
          <w:szCs w:val="18"/>
          <w:i w:val="1"/>
          <w:iCs w:val="1"/>
          <w:color w:val="auto"/>
        </w:rPr>
        <w:t>Gain on sale of certain assets and businesses</w:t>
      </w:r>
      <w:r>
        <w:rPr>
          <w:rFonts w:ascii="Arial" w:cs="Arial" w:eastAsia="Arial" w:hAnsi="Arial"/>
          <w:sz w:val="18"/>
          <w:szCs w:val="18"/>
          <w:color w:val="auto"/>
        </w:rPr>
        <w:t xml:space="preserve"> reflects the absence of the gain from the sale of our Four Corners area assets recorded in the fourth quarter of 2018 (see Note 3 – Acquisitions and Divestitures of Notes to Consolidated Financial Statements).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Proportional Modified EBITDA of equity-method investments </w:t>
      </w:r>
      <w:r>
        <w:rPr>
          <w:rFonts w:ascii="Arial" w:cs="Arial" w:eastAsia="Arial" w:hAnsi="Arial"/>
          <w:sz w:val="18"/>
          <w:szCs w:val="18"/>
          <w:color w:val="auto"/>
        </w:rPr>
        <w:t>increased primarily due to the additions of the RMM and Brazos Permian II equity-method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the second half of 2018, partially offset by the sale of our Jackalope investment in second-quarter 2019.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2018 vs. 2017</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West Modified EBITDA </w:t>
      </w:r>
      <w:r>
        <w:rPr>
          <w:rFonts w:ascii="Arial" w:cs="Arial" w:eastAsia="Arial" w:hAnsi="Arial"/>
          <w:sz w:val="17"/>
          <w:szCs w:val="17"/>
          <w:color w:val="auto"/>
        </w:rPr>
        <w:t>decreased primarily due to the increase in</w:t>
      </w:r>
      <w:r>
        <w:rPr>
          <w:rFonts w:ascii="Arial" w:cs="Arial" w:eastAsia="Arial" w:hAnsi="Arial"/>
          <w:sz w:val="17"/>
          <w:szCs w:val="17"/>
          <w:i w:val="1"/>
          <w:iCs w:val="1"/>
          <w:color w:val="auto"/>
        </w:rPr>
        <w:t xml:space="preserve"> Impairment of certain assets </w:t>
      </w:r>
      <w:r>
        <w:rPr>
          <w:rFonts w:ascii="Arial" w:cs="Arial" w:eastAsia="Arial" w:hAnsi="Arial"/>
          <w:sz w:val="17"/>
          <w:szCs w:val="17"/>
          <w:color w:val="auto"/>
        </w:rPr>
        <w:t>and lower</w:t>
      </w:r>
      <w:r>
        <w:rPr>
          <w:rFonts w:ascii="Arial" w:cs="Arial" w:eastAsia="Arial" w:hAnsi="Arial"/>
          <w:sz w:val="17"/>
          <w:szCs w:val="17"/>
          <w:i w:val="1"/>
          <w:iCs w:val="1"/>
          <w:color w:val="auto"/>
        </w:rPr>
        <w:t xml:space="preserve"> Service revenues. </w:t>
      </w:r>
      <w:r>
        <w:rPr>
          <w:rFonts w:ascii="Arial" w:cs="Arial" w:eastAsia="Arial" w:hAnsi="Arial"/>
          <w:sz w:val="17"/>
          <w:szCs w:val="17"/>
          <w:color w:val="auto"/>
        </w:rPr>
        <w:t>These decreases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partially offset by the </w:t>
      </w:r>
      <w:r>
        <w:rPr>
          <w:rFonts w:ascii="Arial" w:cs="Arial" w:eastAsia="Arial" w:hAnsi="Arial"/>
          <w:sz w:val="17"/>
          <w:szCs w:val="17"/>
          <w:i w:val="1"/>
          <w:iCs w:val="1"/>
          <w:color w:val="auto"/>
        </w:rPr>
        <w:t>Gain on sale of certain assets and businesses</w:t>
      </w:r>
      <w:r>
        <w:rPr>
          <w:rFonts w:ascii="Arial" w:cs="Arial" w:eastAsia="Arial" w:hAnsi="Arial"/>
          <w:sz w:val="17"/>
          <w:szCs w:val="17"/>
          <w:color w:val="auto"/>
        </w:rPr>
        <w:t xml:space="preserve"> in 2018, the absence of regulatory charges associated with the impact of Tax Reform, and higher NGL margins driven by higher NGL prices and lower realized natural gas prices, partially offset by lower NGL volumes.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decreased primarily due to:</w:t>
      </w:r>
    </w:p>
    <w:p>
      <w:pPr>
        <w:spacing w:after="0" w:line="212" w:lineRule="exact"/>
        <w:rPr>
          <w:sz w:val="20"/>
          <w:szCs w:val="20"/>
          <w:color w:val="auto"/>
        </w:rPr>
      </w:pPr>
    </w:p>
    <w:p>
      <w:pPr>
        <w:jc w:val="both"/>
        <w:ind w:left="660" w:hanging="328"/>
        <w:spacing w:after="0" w:line="285"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18"/>
          <w:szCs w:val="18"/>
          <w:color w:val="auto"/>
        </w:rPr>
        <w:t>A $64 million decrease primarily associated with implementing the new revenue guidance under ASC 606 including a $118 million decrease related to lower amortization of deferred revenue associated with the up-front cash payments received in conjunction with the fourth quarter 2016 Barnett Shale and Mid-Continent contract restructurings, partially offset by a $54 million increase related to other deferred revenue amortization primarily in the Permian basin;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33" w:right="239" w:bottom="1440" w:gutter="0" w:footer="0" w:header="0"/>
        </w:sectPr>
      </w:pPr>
    </w:p>
    <w:bookmarkStart w:id="62" w:name="page63"/>
    <w:bookmarkEnd w:id="62"/>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$42 million decrease associated with the sale of our Four Corners area assets in October 2018;</w:t>
      </w:r>
    </w:p>
    <w:p>
      <w:pPr>
        <w:spacing w:after="0" w:line="201"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$30 million decrease at Northwest Pipeline primarily due to the reduction of its rates as a result of a rate case settlement that became effective January 1, 2018;</w:t>
      </w:r>
    </w:p>
    <w:p>
      <w:pPr>
        <w:spacing w:after="0" w:line="146"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$29 million decrease following the Jackalope deconsolidation in second-quarter 2018;</w:t>
      </w:r>
    </w:p>
    <w:p>
      <w:pPr>
        <w:spacing w:after="0" w:line="201"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$15 million decrease driven by lower gathering volumes primarily in the Eagle Ford Shale, Barnett Shale, and Mid-Continent regions, partially offset by higher volumes in the Niobrara (prior to the Jackalope deconsolidation), Piceance, and Permian regions;</w:t>
      </w:r>
    </w:p>
    <w:p>
      <w:pPr>
        <w:spacing w:after="0" w:line="169" w:lineRule="exact"/>
        <w:rPr>
          <w:rFonts w:ascii="Arial" w:cs="Arial" w:eastAsia="Arial" w:hAnsi="Arial"/>
          <w:sz w:val="22"/>
          <w:szCs w:val="22"/>
          <w:color w:val="auto"/>
        </w:rPr>
      </w:pPr>
    </w:p>
    <w:p>
      <w:pPr>
        <w:ind w:left="660" w:hanging="328"/>
        <w:spacing w:after="0" w:line="350"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6"/>
          <w:szCs w:val="16"/>
          <w:color w:val="auto"/>
        </w:rPr>
        <w:t>A $21 million increase associated with higher gathering and processing rates in the Piceance region driven by higher NGL prices as well as higher average gathering and processing rates across most other areas, partially offset by lower contract rates primarily in the Haynesville Shale region.</w:t>
      </w: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7"/>
          <w:szCs w:val="17"/>
          <w:i w:val="1"/>
          <w:iCs w:val="1"/>
          <w:color w:val="auto"/>
        </w:rPr>
        <w:t>–</w:t>
      </w:r>
      <w:r>
        <w:rPr>
          <w:rFonts w:ascii="Arial" w:cs="Arial" w:eastAsia="Arial" w:hAnsi="Arial"/>
          <w:sz w:val="18"/>
          <w:szCs w:val="18"/>
          <w:i w:val="1"/>
          <w:iCs w:val="1"/>
          <w:color w:val="auto"/>
        </w:rPr>
        <w:t xml:space="preserve"> commodity consideration </w:t>
      </w:r>
      <w:r>
        <w:rPr>
          <w:rFonts w:ascii="Arial" w:cs="Arial" w:eastAsia="Arial" w:hAnsi="Arial"/>
          <w:sz w:val="18"/>
          <w:szCs w:val="18"/>
          <w:color w:val="auto"/>
        </w:rPr>
        <w:t>increased as a result of implementing ASC 606 using a modified retrospective approach. These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 consideration we receive in the form of commodities as full or partial payment for gathering and processing services provided. Most of these NGL volumes are sold within the month processed and therefore are offset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Product sales</w:t>
      </w:r>
      <w:r>
        <w:rPr>
          <w:rFonts w:ascii="Arial" w:cs="Arial" w:eastAsia="Arial" w:hAnsi="Arial"/>
          <w:sz w:val="18"/>
          <w:szCs w:val="18"/>
          <w:color w:val="auto"/>
        </w:rPr>
        <w:t xml:space="preserve"> includes:</w:t>
      </w:r>
    </w:p>
    <w:p>
      <w:pPr>
        <w:spacing w:after="0" w:line="212" w:lineRule="exact"/>
        <w:rPr>
          <w:sz w:val="20"/>
          <w:szCs w:val="20"/>
          <w:color w:val="auto"/>
        </w:rPr>
      </w:pPr>
    </w:p>
    <w:p>
      <w:pPr>
        <w:jc w:val="both"/>
        <w:ind w:left="660" w:hanging="328"/>
        <w:spacing w:after="0" w:line="280"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 xml:space="preserve">A $373 million increase in marketing sales primarily due to increases in realized NGL prices including a 14 percent increase in average non-ethane per-unit sales prices and a 25 percent increase in ethane prices, in addition to a 15 percent increase in ethane volumes (more than offset by higher </w:t>
      </w:r>
      <w:r>
        <w:rPr>
          <w:rFonts w:ascii="Arial" w:cs="Arial" w:eastAsia="Arial" w:hAnsi="Arial"/>
          <w:sz w:val="18"/>
          <w:szCs w:val="18"/>
          <w:i w:val="1"/>
          <w:iCs w:val="1"/>
          <w:color w:val="auto"/>
        </w:rPr>
        <w:t>Product costs)</w:t>
      </w:r>
      <w:r>
        <w:rPr>
          <w:rFonts w:ascii="Arial" w:cs="Arial" w:eastAsia="Arial" w:hAnsi="Arial"/>
          <w:sz w:val="18"/>
          <w:szCs w:val="18"/>
          <w:color w:val="auto"/>
        </w:rPr>
        <w:t>;</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46"/>
        </w:numPr>
        <w:rPr>
          <w:rFonts w:ascii="Arial" w:cs="Arial" w:eastAsia="Arial" w:hAnsi="Arial"/>
          <w:sz w:val="19"/>
          <w:szCs w:val="19"/>
          <w:color w:val="auto"/>
        </w:rPr>
      </w:pPr>
      <w:r>
        <w:rPr>
          <w:rFonts w:ascii="Arial" w:cs="Arial" w:eastAsia="Arial" w:hAnsi="Arial"/>
          <w:sz w:val="16"/>
          <w:szCs w:val="16"/>
          <w:color w:val="auto"/>
        </w:rPr>
        <w:t>A $47 million increase in sales associated with the production of our equity NGLs, as further described below as part of our commodity margins;</w:t>
      </w:r>
    </w:p>
    <w:p>
      <w:pPr>
        <w:spacing w:after="0" w:line="213" w:lineRule="exact"/>
        <w:rPr>
          <w:rFonts w:ascii="Arial" w:cs="Arial" w:eastAsia="Arial" w:hAnsi="Arial"/>
          <w:sz w:val="19"/>
          <w:szCs w:val="19"/>
          <w:color w:val="auto"/>
        </w:rPr>
      </w:pPr>
    </w:p>
    <w:p>
      <w:pPr>
        <w:ind w:left="660" w:hanging="328"/>
        <w:spacing w:after="0" w:line="271"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 xml:space="preserve">An $18 million increase in system management gas sales due to a change in presentation in accordance with ASC 606, which are more than offset in </w:t>
      </w:r>
      <w:r>
        <w:rPr>
          <w:rFonts w:ascii="Arial" w:cs="Arial" w:eastAsia="Arial" w:hAnsi="Arial"/>
          <w:sz w:val="18"/>
          <w:szCs w:val="18"/>
          <w:i w:val="1"/>
          <w:iCs w:val="1"/>
          <w:color w:val="auto"/>
        </w:rPr>
        <w:t xml:space="preserve">Product costs </w:t>
      </w:r>
      <w:r>
        <w:rPr>
          <w:rFonts w:ascii="Arial" w:cs="Arial" w:eastAsia="Arial" w:hAnsi="Arial"/>
          <w:sz w:val="18"/>
          <w:szCs w:val="18"/>
          <w:color w:val="auto"/>
        </w:rPr>
        <w:t>and, therefore, have little impact on</w:t>
      </w:r>
      <w:r>
        <w:rPr>
          <w:rFonts w:ascii="Arial" w:cs="Arial" w:eastAsia="Arial" w:hAnsi="Arial"/>
          <w:sz w:val="18"/>
          <w:szCs w:val="18"/>
          <w:i w:val="1"/>
          <w:iCs w:val="1"/>
          <w:color w:val="auto"/>
        </w:rPr>
        <w:t xml:space="preserve"> Modified EBITDA</w:t>
      </w:r>
      <w:r>
        <w:rPr>
          <w:rFonts w:ascii="Arial" w:cs="Arial" w:eastAsia="Arial" w:hAnsi="Arial"/>
          <w:sz w:val="18"/>
          <w:szCs w:val="18"/>
          <w:color w:val="auto"/>
        </w:rPr>
        <w:t>.</w:t>
      </w:r>
    </w:p>
    <w:p>
      <w:pPr>
        <w:spacing w:after="0" w:line="14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The increase in </w:t>
      </w:r>
      <w:r>
        <w:rPr>
          <w:rFonts w:ascii="Arial" w:cs="Arial" w:eastAsia="Arial" w:hAnsi="Arial"/>
          <w:sz w:val="16"/>
          <w:szCs w:val="16"/>
          <w:i w:val="1"/>
          <w:iCs w:val="1"/>
          <w:color w:val="auto"/>
        </w:rPr>
        <w:t>Product costs</w:t>
      </w:r>
      <w:r>
        <w:rPr>
          <w:rFonts w:ascii="Arial" w:cs="Arial" w:eastAsia="Arial" w:hAnsi="Arial"/>
          <w:sz w:val="16"/>
          <w:szCs w:val="16"/>
          <w:color w:val="auto"/>
        </w:rPr>
        <w:t xml:space="preserve"> includes the impact of ASC 606 in which costs reflected in this line item for 2018 include volumes acquired as commodity consideration for NGL processing services, a $381 million increase in marketing purchases (substantially offset in </w:t>
      </w:r>
      <w:r>
        <w:rPr>
          <w:rFonts w:ascii="Arial" w:cs="Arial" w:eastAsia="Arial" w:hAnsi="Arial"/>
          <w:sz w:val="16"/>
          <w:szCs w:val="16"/>
          <w:i w:val="1"/>
          <w:iCs w:val="1"/>
          <w:color w:val="auto"/>
        </w:rPr>
        <w:t>Product sales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 $19 million increase in system management gas purchases (substantially offset in </w:t>
      </w:r>
      <w:r>
        <w:rPr>
          <w:rFonts w:ascii="Arial" w:cs="Arial" w:eastAsia="Arial" w:hAnsi="Arial"/>
          <w:sz w:val="16"/>
          <w:szCs w:val="16"/>
          <w:i w:val="1"/>
          <w:iCs w:val="1"/>
          <w:color w:val="auto"/>
        </w:rPr>
        <w:t>Product sales</w:t>
      </w:r>
      <w:r>
        <w:rPr>
          <w:rFonts w:ascii="Arial" w:cs="Arial" w:eastAsia="Arial" w:hAnsi="Arial"/>
          <w:sz w:val="16"/>
          <w:szCs w:val="16"/>
          <w:color w:val="auto"/>
        </w:rPr>
        <w:t xml:space="preserve">), partially offset by the absence of natural gas purchases associated with the production of equity NGLs, which are now reported in </w:t>
      </w:r>
      <w:r>
        <w:rPr>
          <w:rFonts w:ascii="Arial" w:cs="Arial" w:eastAsia="Arial" w:hAnsi="Arial"/>
          <w:sz w:val="16"/>
          <w:szCs w:val="16"/>
          <w:i w:val="1"/>
          <w:iCs w:val="1"/>
          <w:color w:val="auto"/>
        </w:rPr>
        <w:t>Processing commodity expenses</w:t>
      </w:r>
      <w:r>
        <w:rPr>
          <w:rFonts w:ascii="Arial" w:cs="Arial" w:eastAsia="Arial" w:hAnsi="Arial"/>
          <w:sz w:val="16"/>
          <w:szCs w:val="16"/>
          <w:color w:val="auto"/>
        </w:rPr>
        <w:t xml:space="preserve"> in conjunction with the implementation of ASC 606.</w:t>
      </w:r>
    </w:p>
    <w:p>
      <w:pPr>
        <w:spacing w:after="0" w:line="1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Processing commodity expenses </w:t>
      </w:r>
      <w:r>
        <w:rPr>
          <w:rFonts w:ascii="Arial" w:cs="Arial" w:eastAsia="Arial" w:hAnsi="Arial"/>
          <w:sz w:val="18"/>
          <w:szCs w:val="18"/>
          <w:color w:val="auto"/>
        </w:rPr>
        <w:t>presents the natural gas purchases associated with the production of equity NGLs as previously described in conjunction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implementation of ASC 606</w:t>
      </w:r>
      <w:r>
        <w:rPr>
          <w:rFonts w:ascii="Arial" w:cs="Arial" w:eastAsia="Arial" w:hAnsi="Arial"/>
          <w:sz w:val="18"/>
          <w:szCs w:val="18"/>
          <w:i w:val="1"/>
          <w:iCs w:val="1"/>
          <w:color w:val="auto"/>
        </w:rPr>
        <w: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net sum of </w:t>
      </w:r>
      <w:r>
        <w:rPr>
          <w:rFonts w:ascii="Arial" w:cs="Arial" w:eastAsia="Arial" w:hAnsi="Arial"/>
          <w:sz w:val="18"/>
          <w:szCs w:val="18"/>
          <w:i w:val="1"/>
          <w:iCs w:val="1"/>
          <w:color w:val="auto"/>
        </w:rPr>
        <w:t>Service revenues</w:t>
      </w:r>
      <w:r>
        <w:rPr>
          <w:rFonts w:ascii="Arial" w:cs="Arial" w:eastAsia="Arial" w:hAnsi="Arial"/>
          <w:sz w:val="18"/>
          <w:szCs w:val="18"/>
          <w:color w:val="auto"/>
        </w:rPr>
        <w:t xml:space="preserve"> </w:t>
      </w:r>
      <w:r>
        <w:rPr>
          <w:rFonts w:ascii="Arial" w:cs="Arial" w:eastAsia="Arial" w:hAnsi="Arial"/>
          <w:sz w:val="17"/>
          <w:szCs w:val="17"/>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commodity consideration, Product sales, Product costs,</w:t>
      </w:r>
      <w:r>
        <w:rPr>
          <w:rFonts w:ascii="Arial" w:cs="Arial" w:eastAsia="Arial" w:hAnsi="Arial"/>
          <w:sz w:val="18"/>
          <w:szCs w:val="18"/>
          <w:color w:val="auto"/>
        </w:rPr>
        <w:t xml:space="preserve"> and </w:t>
      </w:r>
      <w:r>
        <w:rPr>
          <w:rFonts w:ascii="Arial" w:cs="Arial" w:eastAsia="Arial" w:hAnsi="Arial"/>
          <w:sz w:val="18"/>
          <w:szCs w:val="18"/>
          <w:i w:val="1"/>
          <w:iCs w:val="1"/>
          <w:color w:val="auto"/>
        </w:rPr>
        <w:t>Processing commodity expenses</w:t>
      </w:r>
      <w:r>
        <w:rPr>
          <w:rFonts w:ascii="Arial" w:cs="Arial" w:eastAsia="Arial" w:hAnsi="Arial"/>
          <w:sz w:val="18"/>
          <w:szCs w:val="18"/>
          <w:color w:val="auto"/>
        </w:rPr>
        <w:t xml:space="preserve"> comprise our commodity margins. Our commodity margins increased primarily due to a $40 million increase in NGL product margins partially offset by an $8 million decrease in marketing margins. NGL margins are driven by $56 million in higher ethane and non-ethane per-unit prices, reflecting 19 percent higher realized non-ethane per-unit sales prices and 50 percent higher realized ethane per-unit sales prices. These increases were partially offset by $18 million in lower volumes primarily due to the sale of our Four Corners area assets in October 2018.</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Other segment costs and expenses </w:t>
      </w:r>
      <w:r>
        <w:rPr>
          <w:rFonts w:ascii="Arial" w:cs="Arial" w:eastAsia="Arial" w:hAnsi="Arial"/>
          <w:sz w:val="17"/>
          <w:szCs w:val="17"/>
          <w:color w:val="auto"/>
        </w:rPr>
        <w:t>decreased primarily due to $57 million lower operating and maintenance and general and administrative costs. This</w:t>
      </w:r>
      <w:r>
        <w:rPr>
          <w:rFonts w:ascii="Arial" w:cs="Arial" w:eastAsia="Arial" w:hAnsi="Arial"/>
          <w:sz w:val="17"/>
          <w:szCs w:val="17"/>
          <w:i w:val="1"/>
          <w:iCs w:val="1"/>
          <w:color w:val="auto"/>
        </w:rPr>
        <w:t xml:space="preserve"> </w:t>
      </w:r>
      <w:r>
        <w:rPr>
          <w:rFonts w:ascii="Arial" w:cs="Arial" w:eastAsia="Arial" w:hAnsi="Arial"/>
          <w:sz w:val="17"/>
          <w:szCs w:val="17"/>
          <w:color w:val="auto"/>
        </w:rPr>
        <w:t>reduction in costs is due primarily to the Four Corners area sale in October 2018, ongoing cost containment efforts, and the deconsolidation of our Jackalope interest in second-quarter 2018. These reductions are partially offset by a $24 million regulatory charge associated with Northwest Pipeline’s approved rates related to Tax Reform, the absence of a $15 million gain from contract settlements and terminations in 2017, and a $12</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37"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million charge for a regulatory liability associated with a decrease in Northwest Pipeline’s estimated deferred state income tax rate following the WPZ Merger.</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Impairment of certain assets </w:t>
      </w:r>
      <w:r>
        <w:rPr>
          <w:rFonts w:ascii="Arial" w:cs="Arial" w:eastAsia="Arial" w:hAnsi="Arial"/>
          <w:sz w:val="18"/>
          <w:szCs w:val="18"/>
          <w:color w:val="auto"/>
        </w:rPr>
        <w:t>increased primarily due to the $1.849 billion impairment of certain assets in the Barnett Shale region in 2018,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absence of a $1.019 billion impairment of certain gathering operations in the Mid-Continent region in 2017 (see Note 18 – Fair Value Measurements, Guarantees, and Concentration of Credit Risk of Notes to Consolidated Financial Statements).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Gain on sale of certain assets and businesses </w:t>
      </w:r>
      <w:r>
        <w:rPr>
          <w:rFonts w:ascii="Arial" w:cs="Arial" w:eastAsia="Arial" w:hAnsi="Arial"/>
          <w:sz w:val="18"/>
          <w:szCs w:val="18"/>
          <w:color w:val="auto"/>
        </w:rPr>
        <w:t>reflects a gain from the sale of our Four Corners area assets in fourth quarter 2018.</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Regulatory charges resulting from Tax Reform </w:t>
      </w:r>
      <w:r>
        <w:rPr>
          <w:rFonts w:ascii="Arial" w:cs="Arial" w:eastAsia="Arial" w:hAnsi="Arial"/>
          <w:sz w:val="18"/>
          <w:szCs w:val="18"/>
          <w:color w:val="auto"/>
        </w:rPr>
        <w:t>decreased primarily due to the absence of the $220 million initial regulatory charge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Tax Reform at Northwest Pipeline in 2017 (see Note 1 – General, Description of Business, Basis of Presentation, and Summary of Significant Accounting Policies of Notes to Consolidated Financial Statements).</w:t>
      </w:r>
    </w:p>
    <w:p>
      <w:pPr>
        <w:spacing w:after="0" w:line="1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Proportional Modified EBITDA of equity-method investments </w:t>
      </w:r>
      <w:r>
        <w:rPr>
          <w:rFonts w:ascii="Arial" w:cs="Arial" w:eastAsia="Arial" w:hAnsi="Arial"/>
          <w:sz w:val="18"/>
          <w:szCs w:val="18"/>
          <w:color w:val="auto"/>
        </w:rPr>
        <w:t>increased primarily due to the deconsolidation of our Jackalope interest,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as an equity-method investment beginning in the second quarter of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Modified EBITDA</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2019 vs. 2018</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Modified EBITDA </w:t>
      </w:r>
      <w:r>
        <w:rPr>
          <w:rFonts w:ascii="Arial" w:cs="Arial" w:eastAsia="Arial" w:hAnsi="Arial"/>
          <w:sz w:val="18"/>
          <w:szCs w:val="18"/>
          <w:color w:val="auto"/>
        </w:rPr>
        <w:t>increased primarily due to:</w:t>
      </w:r>
    </w:p>
    <w:p>
      <w:pPr>
        <w:spacing w:after="0" w:line="212" w:lineRule="exact"/>
        <w:rPr>
          <w:sz w:val="20"/>
          <w:szCs w:val="20"/>
          <w:color w:val="auto"/>
        </w:rPr>
      </w:pPr>
    </w:p>
    <w:p>
      <w:pPr>
        <w:ind w:left="660" w:hanging="328"/>
        <w:spacing w:after="0" w:line="271"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absence of the $66 million impairment of certain idle pipelines in the second quarter of 2018 (see Note 18 – Fair Value Measurements and Guarantees of Notes to Consolidated Financial Statements);</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absence of a $35 million charge in 2018 associated with a charitable contribution of preferred stock to The Williams Companies Foundation, Inc. (a not-for-profit corporation) (See Note 16 – Stockholders’ Equity of Notes to Consolidated Financial Statements);</w:t>
      </w:r>
    </w:p>
    <w:p>
      <w:pPr>
        <w:spacing w:after="0" w:line="169"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absence of $20 million in costs in 2018 associated with the WPZ Merger (See Note 1 – General, Description of Business, Basis of Presentation, and Summary of Significant Accounting Policies of Notes to Consolidated Financial Statements);</w:t>
      </w:r>
    </w:p>
    <w:p>
      <w:pPr>
        <w:spacing w:after="0" w:line="169"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An $8 million increase related to the absence of 2018 unfavorable Modified EBITDA associated with the results of certain of our former Gulf Coast area operations sold in 2018;</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The absence of a $7 million loss on early retirement of debt in 2018 (see Note 7 – Other Income and Expenses of Notes to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were partially offset by:</w:t>
      </w:r>
    </w:p>
    <w:p>
      <w:pPr>
        <w:spacing w:after="0" w:line="212" w:lineRule="exact"/>
        <w:rPr>
          <w:sz w:val="20"/>
          <w:szCs w:val="20"/>
          <w:color w:val="auto"/>
        </w:rPr>
      </w:pPr>
    </w:p>
    <w:p>
      <w:pPr>
        <w:ind w:left="660" w:hanging="328"/>
        <w:spacing w:after="0" w:line="301" w:lineRule="auto"/>
        <w:tabs>
          <w:tab w:leader="none" w:pos="660" w:val="left"/>
        </w:tabs>
        <w:numPr>
          <w:ilvl w:val="0"/>
          <w:numId w:val="48"/>
        </w:numPr>
        <w:rPr>
          <w:rFonts w:ascii="Arial" w:cs="Arial" w:eastAsia="Arial" w:hAnsi="Arial"/>
          <w:sz w:val="21"/>
          <w:szCs w:val="21"/>
          <w:color w:val="auto"/>
        </w:rPr>
      </w:pPr>
      <w:r>
        <w:rPr>
          <w:rFonts w:ascii="Arial" w:cs="Arial" w:eastAsia="Arial" w:hAnsi="Arial"/>
          <w:sz w:val="17"/>
          <w:szCs w:val="17"/>
          <w:color w:val="auto"/>
        </w:rPr>
        <w:t>The absence of a $37 million benefit of establishing a regulatory asset associated with an increase in Transco’s estimated deferred state income tax rate following the WPZ Merger in 2018 and a subsequent unfavorable $12 million adjustment in the first quarter of 2019;</w:t>
      </w:r>
    </w:p>
    <w:p>
      <w:pPr>
        <w:spacing w:after="0" w:line="118" w:lineRule="exact"/>
        <w:rPr>
          <w:rFonts w:ascii="Arial" w:cs="Arial" w:eastAsia="Arial" w:hAnsi="Arial"/>
          <w:sz w:val="21"/>
          <w:szCs w:val="21"/>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Arial" w:cs="Arial" w:eastAsia="Arial" w:hAnsi="Arial"/>
          <w:sz w:val="18"/>
          <w:szCs w:val="18"/>
          <w:color w:val="auto"/>
        </w:rPr>
        <w:t>A $26 million decrease in income associated with a regulatory asset related to deferred taxes on equity funds used during construction;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33" w:right="239" w:bottom="1440" w:gutter="0" w:footer="0" w:header="0"/>
        </w:sectPr>
      </w:pPr>
    </w:p>
    <w:bookmarkStart w:id="64" w:name="page65"/>
    <w:bookmarkEnd w:id="64"/>
    <w:p>
      <w:pPr>
        <w:ind w:left="660" w:hanging="328"/>
        <w:spacing w:after="0" w:line="271" w:lineRule="auto"/>
        <w:tabs>
          <w:tab w:leader="none" w:pos="6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absence of a $20 million gain on the sale of certain assets and operations located in the Gulf Coast area in 2018 (see Note 3 – Acquisitions and Divestitures of Notes to Consolidated Financial Statements).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2018 vs.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Modified EBITDA </w:t>
      </w:r>
      <w:r>
        <w:rPr>
          <w:rFonts w:ascii="Arial" w:cs="Arial" w:eastAsia="Arial" w:hAnsi="Arial"/>
          <w:sz w:val="18"/>
          <w:szCs w:val="18"/>
          <w:color w:val="auto"/>
        </w:rPr>
        <w:t>changed unfavorably primarily due to:</w:t>
      </w:r>
    </w:p>
    <w:p>
      <w:pPr>
        <w:spacing w:after="0" w:line="212" w:lineRule="exact"/>
        <w:rPr>
          <w:sz w:val="20"/>
          <w:szCs w:val="20"/>
          <w:color w:val="auto"/>
        </w:rPr>
      </w:pPr>
    </w:p>
    <w:p>
      <w:pPr>
        <w:ind w:left="66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absence of a $1.095 billion gain on the sale of our Geismar Interest in 2017 (see Note 3 – Acquisitions and Divestitures of Notes to Consolidated Financial Statements);</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 xml:space="preserve">The absence of $54 million of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associated with the results of our former Geismar Olefins and RGP Splitter plants subsequent to their sale in July 2017;</w:t>
      </w:r>
    </w:p>
    <w:p>
      <w:pPr>
        <w:spacing w:after="0" w:line="16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 $35 million charge in 2018 associated with a charitable contribution of preferred stock to The Williams Companies Foundation, Inc. (a not-for-profit corporation), as previously mentioned;</w:t>
      </w:r>
    </w:p>
    <w:p>
      <w:pPr>
        <w:spacing w:after="0" w:line="155"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color w:val="auto"/>
        </w:rPr>
        <w:t>A $34 million decrease due to the absence of a net gain on early retirement of debt in 2017 and a loss on early retirement of debt in 2018 (see Note 7</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8"/>
          <w:szCs w:val="18"/>
          <w:color w:val="auto"/>
        </w:rPr>
        <w:t>– Other Income and Expenses of Notes to Consolidated Financial Statements);</w:t>
      </w:r>
    </w:p>
    <w:p>
      <w:pPr>
        <w:spacing w:after="0" w:line="189" w:lineRule="exact"/>
        <w:rPr>
          <w:rFonts w:ascii="Arial" w:cs="Arial" w:eastAsia="Arial" w:hAnsi="Arial"/>
          <w:sz w:val="19"/>
          <w:szCs w:val="19"/>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A $26 million decrease in income associated with a regulatory asset related to deferred taxes on equity funds used during construction;</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$20 million in costs in 2018 associated with the WPZ Merger, as previously mentioned;</w:t>
      </w:r>
    </w:p>
    <w:p>
      <w:pPr>
        <w:spacing w:after="0" w:line="201"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absence of a $12 million gain on the sale of the Refinery Grade Propylene Splitter in 2017 (see Note 7 – Other Income and Expenses of Notes to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198" w:lineRule="exact"/>
        <w:rPr>
          <w:sz w:val="20"/>
          <w:szCs w:val="20"/>
          <w:color w:val="auto"/>
        </w:rPr>
      </w:pPr>
    </w:p>
    <w:p>
      <w:pPr>
        <w:jc w:val="both"/>
        <w:ind w:left="660" w:hanging="328"/>
        <w:spacing w:after="0" w:line="285"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The absence of a $68 million impairment for a certain NGL pipeline asset in the third quarter of 2017 and a$23 million impairment of an olefins pipeline project in the Gulf Coast region in the second quarter of 2017, partially offset by a $66 million impairment of certain idle pipelines in the second quarter of 2018 (see Note 18 – Fair Value Measurements, Guarantees, and Concentration of Credit Risk of Notes to Consolidated Financial Statements);</w:t>
      </w:r>
    </w:p>
    <w:p>
      <w:pPr>
        <w:spacing w:after="0" w:line="150"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 $62 million favorable change for lower charges to reduce regulatory assets related to deferred taxes on AFUDC resulting from Tax Reform (see Note 7 – Other Income and Expenses of Notes to Consolidated Financial Statements);</w:t>
      </w:r>
    </w:p>
    <w:p>
      <w:pPr>
        <w:spacing w:after="0" w:line="155"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$40 million of lower costs, driven by the absence of expenses associated with severance and related costs, Financial Repositioning, and strategic alternative costs;</w:t>
      </w:r>
    </w:p>
    <w:p>
      <w:pPr>
        <w:spacing w:after="0" w:line="155" w:lineRule="exact"/>
        <w:rPr>
          <w:rFonts w:ascii="Arial" w:cs="Arial" w:eastAsia="Arial" w:hAnsi="Arial"/>
          <w:sz w:val="22"/>
          <w:szCs w:val="22"/>
          <w:color w:val="auto"/>
        </w:rPr>
      </w:pPr>
    </w:p>
    <w:p>
      <w:pPr>
        <w:ind w:left="660" w:right="2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 $37 million increase associated with the benefit of establishing a regulatory asset associated with an increase in Transco’s estimated deferred state income tax rate following the WPZ Merger, as previously mentioned;</w:t>
      </w:r>
    </w:p>
    <w:p>
      <w:pPr>
        <w:spacing w:after="0" w:line="155" w:lineRule="exact"/>
        <w:rPr>
          <w:rFonts w:ascii="Arial" w:cs="Arial" w:eastAsia="Arial" w:hAnsi="Arial"/>
          <w:sz w:val="22"/>
          <w:szCs w:val="22"/>
          <w:color w:val="auto"/>
        </w:rPr>
      </w:pPr>
    </w:p>
    <w:p>
      <w:pPr>
        <w:ind w:left="660" w:hanging="328"/>
        <w:spacing w:after="0" w:line="301"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17"/>
          <w:szCs w:val="17"/>
          <w:color w:val="auto"/>
        </w:rPr>
        <w:t>A $30 million favorable change in the settlement charge expense related to the program to pay out certain deferred vested pension benefits of employees associated with former operations (see Note 10 – Employee Benefit Plans of Notes to Consolidated Financial Statements);</w:t>
      </w:r>
    </w:p>
    <w:p>
      <w:pPr>
        <w:spacing w:after="0" w:line="104" w:lineRule="exact"/>
        <w:rPr>
          <w:rFonts w:ascii="Arial" w:cs="Arial" w:eastAsia="Arial" w:hAnsi="Arial"/>
          <w:sz w:val="21"/>
          <w:szCs w:val="21"/>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 $20 million gain on the sale of certain assets and operations located in the Gulf Coast area, as previously mentioned.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60" w:right="239" w:bottom="1440" w:gutter="0" w:footer="0" w:header="0"/>
        </w:sectPr>
      </w:pPr>
    </w:p>
    <w:bookmarkStart w:id="65" w:name="page66"/>
    <w:bookmarkEnd w:id="65"/>
    <w:p>
      <w:pPr>
        <w:ind w:right="5520"/>
        <w:spacing w:after="0" w:line="440"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Liquidity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previously discussed, we have continued to focus on earnings and cash flow growth, while continuing to improve leverage metrics and control operating costs. In 2019, we acquired the remaining outstanding ownership interests in UEOM for $728 million and subsequently formed a new partnership which includes UEOM and our Ohio Valley Midstream business. Our partner purchased a 35 percent ownership interest in the partnership for $1.3 billion. Also, during the second quarter of 2019 we sold our 50 percent ownership interest in Jackalope for $485 million. See also the following table of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(Uses) of Cash</w:t>
      </w:r>
      <w:r>
        <w:rPr>
          <w:rFonts w:ascii="Arial" w:cs="Arial" w:eastAsia="Arial" w:hAnsi="Arial"/>
          <w:sz w:val="18"/>
          <w:szCs w:val="18"/>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previously discussed in Company Outlook, our growth capital and investment expenditures in 2020 are currently expected to be in a range from $1.1 billion to $1.3 billion. Growth capital spending in 2020 includes Transco expansions, all of which are fully contracted with firm transportation agreements, and our Bluestem NGL pipeline project in the Mid-Continent region. In addition to growth capital and investment expenditures, we also remain committed to projects that maintain our assets for safe and reliable operations, as well as projects that meet legal, regulatory, and/or contractual commitments. We intend to fund substantially all of our planned 2020 capital spending with cash available after paying dividends. We retain the flexibility to adjust planned levels of growth capital and investment expenditures in response to changes in economic conditions or business opportunities.</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December 31, 2019, we have $2.121 billion of long-term debt maturing in 2020. Our potential sources of liquidity available to address these maturities include proceeds from refinancing at attractive long-term rates or from our credit facility, as well as proceeds from asset monetizations.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our forecasted levels of cash flow from operations and other sources of liquidity, we expect to have sufficient liquidity to manage our businesses in 2020. Our potential material internal and external sources and uses of liquidity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Sources: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and cash equivalents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generated from operations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Distributions from our equity-method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Utilization of our credit facility and/or commercial paper program</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proceeds from issuance of debt and/or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Proceeds from asset monetizations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Working capital requirements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Capital and investment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Quarterly dividends to our shareholders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Debt service payments, including 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Distributions to noncontrolling interests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risks associated with our planned levels of liquidity discussed above include those previously discussed in Company Outlook</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15" w:right="239" w:bottom="1440" w:gutter="0" w:footer="0" w:header="0"/>
        </w:sectPr>
      </w:pPr>
    </w:p>
    <w:bookmarkStart w:id="66" w:name="page67"/>
    <w:bookmarkEnd w:id="66"/>
    <w:p>
      <w:pPr>
        <w:ind w:left="60" w:firstLine="324"/>
        <w:spacing w:after="0" w:line="277" w:lineRule="auto"/>
        <w:rPr>
          <w:sz w:val="20"/>
          <w:szCs w:val="20"/>
          <w:color w:val="auto"/>
        </w:rPr>
      </w:pPr>
      <w:r>
        <w:rPr>
          <w:rFonts w:ascii="Arial" w:cs="Arial" w:eastAsia="Arial" w:hAnsi="Arial"/>
          <w:sz w:val="18"/>
          <w:szCs w:val="18"/>
          <w:color w:val="auto"/>
        </w:rPr>
        <w:t>As of December 31, 2019, we had a working capital deficit of $2.388 billion, including cash and cash equivalents and long-term debt due within one year. Our available liquidity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600" w:type="dxa"/>
            <w:vAlign w:val="bottom"/>
          </w:tcPr>
          <w:p>
            <w:pPr>
              <w:ind w:left="4080"/>
              <w:spacing w:after="0"/>
              <w:rPr>
                <w:sz w:val="20"/>
                <w:szCs w:val="20"/>
                <w:color w:val="auto"/>
              </w:rPr>
            </w:pPr>
            <w:r>
              <w:rPr>
                <w:rFonts w:ascii="Arial" w:cs="Arial" w:eastAsia="Arial" w:hAnsi="Arial"/>
                <w:sz w:val="16"/>
                <w:szCs w:val="16"/>
                <w:b w:val="1"/>
                <w:bCs w:val="1"/>
                <w:color w:val="auto"/>
              </w:rPr>
              <w:t>Available Liquidity</w:t>
            </w: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9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539"/>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9"/>
        </w:trPr>
        <w:tc>
          <w:tcPr>
            <w:tcW w:w="9600" w:type="dxa"/>
            <w:vAlign w:val="bottom"/>
          </w:tcPr>
          <w:p>
            <w:pPr>
              <w:ind w:left="40"/>
              <w:spacing w:after="0"/>
              <w:rPr>
                <w:sz w:val="20"/>
                <w:szCs w:val="20"/>
                <w:color w:val="auto"/>
              </w:rPr>
            </w:pPr>
            <w:r>
              <w:rPr>
                <w:rFonts w:ascii="Arial" w:cs="Arial" w:eastAsia="Arial" w:hAnsi="Arial"/>
                <w:sz w:val="17"/>
                <w:szCs w:val="17"/>
                <w:color w:val="auto"/>
                <w:w w:val="96"/>
              </w:rPr>
              <w:t>Capacity available under our $4.5 billion credit facility, less amounts outstanding under our $4 billion commercial paper program (1)</w:t>
            </w:r>
          </w:p>
        </w:tc>
        <w:tc>
          <w:tcPr>
            <w:tcW w:w="22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31"/>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4,789</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jc w:val="right"/>
              <w:ind w:right="8614"/>
              <w:spacing w:after="0"/>
              <w:rPr>
                <w:sz w:val="20"/>
                <w:szCs w:val="20"/>
                <w:color w:val="auto"/>
              </w:rPr>
            </w:pPr>
            <w:r>
              <w:rPr>
                <w:rFonts w:ascii="Arial" w:cs="Arial" w:eastAsia="Arial" w:hAnsi="Arial"/>
                <w:sz w:val="18"/>
                <w:szCs w:val="18"/>
                <w:color w:val="auto"/>
                <w:w w:val="87"/>
              </w:rPr>
              <w:t>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71"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managing our available liquidity, we do not expect a maximum outstanding amount in excess of the capacity of our credit facility inclusive of any outstanding amounts under our commercial paper program. We had no commercial paper outstanding as of December 31, 2019. The highest amount outstanding under our commercial paper program and credit facility during 2019 was $1.226 billion. At December 31, 2019, we were in compliance with the financial covenants associated with our credit facility. See Note 15 – Debt and Banking Arrangements of Notes to Consolidated Financial Statements for additional information on our credit facility and commercial paper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increased our regular quarterly cash dividend to common stockholders by approximately 12 percent from the previous quarterly cash dividends of $0.34 per share paid in each quarter of 2018, to $0.38 per share for the quarterly cash dividends paid in each quarter of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Registrations</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2018, we filed a shelf registration statement as a well-known seasoned issuer. In August 2018, we filed a prospectus supplement for the offer and sale from time to time of shares of our common stock having an aggregate offering price of up to $1 billion. These sales are to be made over a period of time and from time to time in transactions at then-current prices. Such sales are to be made pursuant to an equity distribution agreement between us and certain entities who may act as sales agents or purchase for their own accounts as principals at a price agreed upon at the time of the sale.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from Equity-Method Investees</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organizational documents of entities in which we have an equity-method investment generally require distribution of their available cash to their members on a quarterly basis. In each case, available cash is reduced, in part, by reserves appropriate for operating their respective businesses. See Note 6 – Investing Activities of Notes to Consolidated Financial Statements for our more significant equity-method investees.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interest rates at which we are able to borrow money are impacted by our credit ratings. The current ratings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Rating Agency</w:t>
            </w:r>
          </w:p>
        </w:tc>
        <w:tc>
          <w:tcPr>
            <w:tcW w:w="120" w:type="dxa"/>
            <w:vAlign w:val="bottom"/>
            <w:vMerge w:val="restart"/>
          </w:tcPr>
          <w:p>
            <w:pPr>
              <w:spacing w:after="0"/>
              <w:rPr>
                <w:sz w:val="14"/>
                <w:szCs w:val="14"/>
                <w:color w:val="auto"/>
              </w:rPr>
            </w:pPr>
          </w:p>
        </w:tc>
        <w:tc>
          <w:tcPr>
            <w:tcW w:w="3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Outlook</w:t>
            </w:r>
          </w:p>
        </w:tc>
        <w:tc>
          <w:tcPr>
            <w:tcW w:w="100" w:type="dxa"/>
            <w:vAlign w:val="bottom"/>
            <w:vMerge w:val="restart"/>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Senior Unsecured</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S&amp;P Global Ratings</w:t>
            </w:r>
          </w:p>
        </w:tc>
        <w:tc>
          <w:tcPr>
            <w:tcW w:w="3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Stable</w:t>
            </w:r>
          </w:p>
        </w:tc>
        <w:tc>
          <w:tcPr>
            <w:tcW w:w="3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BBB</w:t>
            </w:r>
          </w:p>
        </w:tc>
        <w:tc>
          <w:tcPr>
            <w:tcW w:w="0" w:type="dxa"/>
            <w:vAlign w:val="bottom"/>
          </w:tcPr>
          <w:p>
            <w:pPr>
              <w:spacing w:after="0"/>
              <w:rPr>
                <w:sz w:val="1"/>
                <w:szCs w:val="1"/>
                <w:color w:val="auto"/>
              </w:rPr>
            </w:pPr>
          </w:p>
        </w:tc>
      </w:tr>
      <w:tr>
        <w:trPr>
          <w:trHeight w:val="224"/>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Moody’s Investors Service</w:t>
            </w:r>
          </w:p>
        </w:tc>
        <w:tc>
          <w:tcPr>
            <w:tcW w:w="35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Stable</w:t>
            </w:r>
          </w:p>
        </w:tc>
        <w:tc>
          <w:tcPr>
            <w:tcW w:w="3420" w:type="dxa"/>
            <w:vAlign w:val="bottom"/>
          </w:tcPr>
          <w:p>
            <w:pPr>
              <w:jc w:val="center"/>
              <w:spacing w:after="0"/>
              <w:rPr>
                <w:sz w:val="20"/>
                <w:szCs w:val="20"/>
                <w:color w:val="auto"/>
              </w:rPr>
            </w:pPr>
            <w:r>
              <w:rPr>
                <w:rFonts w:ascii="Arial" w:cs="Arial" w:eastAsia="Arial" w:hAnsi="Arial"/>
                <w:sz w:val="16"/>
                <w:szCs w:val="16"/>
                <w:color w:val="auto"/>
                <w:w w:val="90"/>
              </w:rPr>
              <w:t>Baa3</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Fitch Ratings</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Rating Watch Positive</w:t>
            </w:r>
          </w:p>
        </w:tc>
        <w:tc>
          <w:tcPr>
            <w:tcW w:w="34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BBB-</w:t>
            </w:r>
          </w:p>
        </w:tc>
        <w:tc>
          <w:tcPr>
            <w:tcW w:w="0" w:type="dxa"/>
            <w:vAlign w:val="bottom"/>
          </w:tcPr>
          <w:p>
            <w:pPr>
              <w:spacing w:after="0"/>
              <w:rPr>
                <w:sz w:val="1"/>
                <w:szCs w:val="1"/>
                <w:color w:val="auto"/>
              </w:rPr>
            </w:pPr>
          </w:p>
        </w:tc>
      </w:tr>
      <w:tr>
        <w:trPr>
          <w:trHeight w:val="47"/>
        </w:trPr>
        <w:tc>
          <w:tcPr>
            <w:tcW w:w="4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credit ratings are included for informational purposes and are not recommendations to buy, sell, or hold our securities, and each rating should be evaluated independently of any other rating. No assurance can be given that the credit rating agencies will continue to assign us investment-grade ratings even if we meet or exceed their current criteria</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19" w:right="2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for investment-grade ratios. A downgrade of our credit ratings might increase our future cost of borrowing and would require us to provide additional collateral to third parties, negatively impacting our available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(Uses) of Cash</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sources (uses) of cash and cash equivalents for each of the periods presented (see Notes to Consolidated Financial Statements for the Notes referenced in the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Cash Flow</w:t>
            </w: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Category</w:t>
            </w:r>
          </w:p>
        </w:tc>
        <w:tc>
          <w:tcPr>
            <w:tcW w:w="280" w:type="dxa"/>
            <w:vAlign w:val="bottom"/>
          </w:tcPr>
          <w:p>
            <w:pPr>
              <w:spacing w:after="0"/>
              <w:rPr>
                <w:sz w:val="22"/>
                <w:szCs w:val="22"/>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628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(Millions)</w:t>
            </w: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Sources of cash and cash equivalents:</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 xml:space="preserve">Operating activities </w:t>
            </w:r>
            <w:r>
              <w:rPr>
                <w:rFonts w:ascii="Arial" w:cs="Arial" w:eastAsia="Arial" w:hAnsi="Arial"/>
                <w:sz w:val="17"/>
                <w:szCs w:val="17"/>
                <w:color w:val="auto"/>
              </w:rPr>
              <w:t>–</w:t>
            </w:r>
            <w:r>
              <w:rPr>
                <w:rFonts w:ascii="Arial" w:cs="Arial" w:eastAsia="Arial" w:hAnsi="Arial"/>
                <w:sz w:val="18"/>
                <w:szCs w:val="18"/>
                <w:color w:val="auto"/>
              </w:rPr>
              <w:t xml:space="preserve"> net</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Operating</w:t>
            </w:r>
          </w:p>
        </w:tc>
        <w:tc>
          <w:tcPr>
            <w:tcW w:w="280" w:type="dxa"/>
            <w:vAlign w:val="bottom"/>
          </w:tcPr>
          <w:p>
            <w:pPr>
              <w:jc w:val="right"/>
              <w:ind w:right="72"/>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3,693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3,293</w:t>
            </w:r>
          </w:p>
        </w:tc>
        <w:tc>
          <w:tcPr>
            <w:tcW w:w="100" w:type="dxa"/>
            <w:vAlign w:val="bottom"/>
          </w:tcPr>
          <w:p>
            <w:pPr>
              <w:spacing w:after="0"/>
              <w:rPr>
                <w:sz w:val="21"/>
                <w:szCs w:val="21"/>
                <w:color w:val="auto"/>
              </w:rPr>
            </w:pPr>
          </w:p>
        </w:tc>
        <w:tc>
          <w:tcPr>
            <w:tcW w:w="280" w:type="dxa"/>
            <w:vAlign w:val="bottom"/>
          </w:tcPr>
          <w:p>
            <w:pPr>
              <w:jc w:val="right"/>
              <w:ind w:right="72"/>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1"/>
              <w:spacing w:after="0"/>
              <w:rPr>
                <w:sz w:val="20"/>
                <w:szCs w:val="20"/>
                <w:color w:val="auto"/>
              </w:rPr>
            </w:pPr>
            <w:r>
              <w:rPr>
                <w:rFonts w:ascii="Arial" w:cs="Arial" w:eastAsia="Arial" w:hAnsi="Arial"/>
                <w:sz w:val="17"/>
                <w:szCs w:val="17"/>
                <w:color w:val="auto"/>
              </w:rPr>
              <w:t>3,089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4"/>
              </w:rPr>
              <w:t>Proceeds from sale of partial interest in consolidated subsidiary (see Note 3)</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Proceeds from credit-facility borrowings</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Proceeds from dispositions of equity-method investments (see Note 6)</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Proceeds from long-term debt (see Note 15)</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Contributions in aid of construction</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Proceeds from issuance of common stock</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Proceeds from sale of businesses, net of cash divested (see Note 3)</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84"/>
        </w:trPr>
        <w:tc>
          <w:tcPr>
            <w:tcW w:w="6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Uses of cash and cash equivalents: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Capital expenditures</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paid</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Payments on credit-facility borrowings</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Purchases of businesses, net of cash acquired (see Note 3)</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w w:val="96"/>
              </w:rPr>
              <w:t>Purchases of and contributions to equity-method investments (see Note 6)</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Dividends and distributions paid to noncontrolling interests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6280" w:type="dxa"/>
            <w:vAlign w:val="bottom"/>
          </w:tcPr>
          <w:p>
            <w:pPr>
              <w:ind w:left="540"/>
              <w:spacing w:after="0"/>
              <w:rPr>
                <w:sz w:val="20"/>
                <w:szCs w:val="20"/>
                <w:color w:val="auto"/>
              </w:rPr>
            </w:pPr>
            <w:r>
              <w:rPr>
                <w:rFonts w:ascii="Arial" w:cs="Arial" w:eastAsia="Arial" w:hAnsi="Arial"/>
                <w:sz w:val="18"/>
                <w:szCs w:val="18"/>
                <w:color w:val="auto"/>
              </w:rPr>
              <w:t>Payments of long-term debt (see Note 15)</w:t>
            </w:r>
          </w:p>
        </w:tc>
        <w:tc>
          <w:tcPr>
            <w:tcW w:w="15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 xml:space="preserve">Payments of commercial paper </w:t>
            </w:r>
            <w:r>
              <w:rPr>
                <w:rFonts w:ascii="Arial" w:cs="Arial" w:eastAsia="Arial" w:hAnsi="Arial"/>
                <w:sz w:val="17"/>
                <w:szCs w:val="17"/>
                <w:color w:val="auto"/>
              </w:rPr>
              <w:t>–</w:t>
            </w:r>
            <w:r>
              <w:rPr>
                <w:rFonts w:ascii="Arial" w:cs="Arial" w:eastAsia="Arial" w:hAnsi="Arial"/>
                <w:sz w:val="18"/>
                <w:szCs w:val="18"/>
                <w:color w:val="auto"/>
              </w:rPr>
              <w:t xml:space="preserve"> net</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Financing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84"/>
        </w:trPr>
        <w:tc>
          <w:tcPr>
            <w:tcW w:w="6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 xml:space="preserve">Other sources / (uses) </w:t>
            </w:r>
            <w:r>
              <w:rPr>
                <w:rFonts w:ascii="Arial" w:cs="Arial" w:eastAsia="Arial" w:hAnsi="Arial"/>
                <w:sz w:val="17"/>
                <w:szCs w:val="17"/>
                <w:color w:val="auto"/>
              </w:rPr>
              <w:t>–</w:t>
            </w:r>
            <w:r>
              <w:rPr>
                <w:rFonts w:ascii="Arial" w:cs="Arial" w:eastAsia="Arial" w:hAnsi="Arial"/>
                <w:sz w:val="18"/>
                <w:szCs w:val="18"/>
                <w:color w:val="auto"/>
              </w:rPr>
              <w:t xml:space="preserve"> net</w:t>
            </w: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Financing and</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7"/>
        </w:trPr>
        <w:tc>
          <w:tcPr>
            <w:tcW w:w="6280" w:type="dxa"/>
            <w:vAlign w:val="bottom"/>
            <w:tcBorders>
              <w:bottom w:val="single" w:sz="8" w:color="CCEEFF"/>
            </w:tcBorders>
            <w:vMerge w:val="continue"/>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Investing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factors that determine operating activities are largely the same as those that affect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with the exception of noncash items such as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r>
        <w:rPr>
          <w:rFonts w:ascii="Arial" w:cs="Arial" w:eastAsia="Arial" w:hAnsi="Arial"/>
          <w:sz w:val="18"/>
          <w:szCs w:val="18"/>
          <w:i w:val="1"/>
          <w:iCs w:val="1"/>
          <w:color w:val="auto"/>
        </w:rPr>
        <w:t xml:space="preserve"> Provision (benefit) for deferred income taxes</w:t>
      </w:r>
      <w:r>
        <w:rPr>
          <w:rFonts w:ascii="Arial" w:cs="Arial" w:eastAsia="Arial" w:hAnsi="Arial"/>
          <w:sz w:val="18"/>
          <w:szCs w:val="18"/>
          <w:color w:val="auto"/>
        </w:rPr>
        <w:t>,</w:t>
      </w:r>
      <w:r>
        <w:rPr>
          <w:rFonts w:ascii="Arial" w:cs="Arial" w:eastAsia="Arial" w:hAnsi="Arial"/>
          <w:sz w:val="18"/>
          <w:szCs w:val="18"/>
          <w:i w:val="1"/>
          <w:iCs w:val="1"/>
          <w:color w:val="auto"/>
        </w:rPr>
        <w:t xml:space="preserve"> Equity (earnings) losses</w:t>
      </w:r>
      <w:r>
        <w:rPr>
          <w:rFonts w:ascii="Arial" w:cs="Arial" w:eastAsia="Arial" w:hAnsi="Arial"/>
          <w:sz w:val="18"/>
          <w:szCs w:val="18"/>
          <w:color w:val="auto"/>
        </w:rPr>
        <w:t>,</w:t>
      </w:r>
      <w:r>
        <w:rPr>
          <w:rFonts w:ascii="Arial" w:cs="Arial" w:eastAsia="Arial" w:hAnsi="Arial"/>
          <w:sz w:val="18"/>
          <w:szCs w:val="18"/>
          <w:i w:val="1"/>
          <w:iCs w:val="1"/>
          <w:color w:val="auto"/>
        </w:rPr>
        <w:t xml:space="preserve"> Gain on disposition of equity-method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Impairment of equity-method investments</w:t>
      </w:r>
      <w:r>
        <w:rPr>
          <w:rFonts w:ascii="Arial" w:cs="Arial" w:eastAsia="Arial" w:hAnsi="Arial"/>
          <w:sz w:val="18"/>
          <w:szCs w:val="18"/>
          <w:color w:val="auto"/>
        </w:rPr>
        <w:t>, (</w:t>
      </w:r>
      <w:r>
        <w:rPr>
          <w:rFonts w:ascii="Arial" w:cs="Arial" w:eastAsia="Arial" w:hAnsi="Arial"/>
          <w:sz w:val="18"/>
          <w:szCs w:val="18"/>
          <w:i w:val="1"/>
          <w:iCs w:val="1"/>
          <w:color w:val="auto"/>
        </w:rPr>
        <w:t>Gain) on sale of certain assets and businesses</w:t>
      </w:r>
      <w:r>
        <w:rPr>
          <w:rFonts w:ascii="Arial" w:cs="Arial" w:eastAsia="Arial" w:hAnsi="Arial"/>
          <w:sz w:val="18"/>
          <w:szCs w:val="18"/>
          <w:color w:val="auto"/>
        </w:rPr>
        <w:t>,</w:t>
      </w:r>
      <w:r>
        <w:rPr>
          <w:rFonts w:ascii="Arial" w:cs="Arial" w:eastAsia="Arial" w:hAnsi="Arial"/>
          <w:sz w:val="18"/>
          <w:szCs w:val="18"/>
          <w:i w:val="1"/>
          <w:iCs w:val="1"/>
          <w:color w:val="auto"/>
        </w:rPr>
        <w:t xml:space="preserve"> Impairment of certain assets</w:t>
      </w:r>
      <w:r>
        <w:rPr>
          <w:rFonts w:ascii="Arial" w:cs="Arial" w:eastAsia="Arial" w:hAnsi="Arial"/>
          <w:sz w:val="18"/>
          <w:szCs w:val="18"/>
          <w:color w:val="auto"/>
        </w:rPr>
        <w:t>, (</w:t>
      </w:r>
      <w:r>
        <w:rPr>
          <w:rFonts w:ascii="Arial" w:cs="Arial" w:eastAsia="Arial" w:hAnsi="Arial"/>
          <w:sz w:val="18"/>
          <w:szCs w:val="18"/>
          <w:i w:val="1"/>
          <w:iCs w:val="1"/>
          <w:color w:val="auto"/>
        </w:rPr>
        <w:t>Gain) loss on deconsolidation of businesses</w:t>
      </w:r>
      <w:r>
        <w:rPr>
          <w:rFonts w:ascii="Arial" w:cs="Arial" w:eastAsia="Arial" w:hAnsi="Arial"/>
          <w:sz w:val="18"/>
          <w:szCs w:val="18"/>
          <w:color w:val="auto"/>
        </w:rPr>
        <w:t>, and</w:t>
      </w:r>
      <w:r>
        <w:rPr>
          <w:rFonts w:ascii="Arial" w:cs="Arial" w:eastAsia="Arial" w:hAnsi="Arial"/>
          <w:sz w:val="18"/>
          <w:szCs w:val="18"/>
          <w:i w:val="1"/>
          <w:iCs w:val="1"/>
          <w:color w:val="auto"/>
        </w:rPr>
        <w:t xml:space="preserve"> Regulatory charges resulting from Tax Reform.</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Net cash provided (used) by operating activities</w:t>
      </w:r>
      <w:r>
        <w:rPr>
          <w:rFonts w:ascii="Arial" w:cs="Arial" w:eastAsia="Arial" w:hAnsi="Arial"/>
          <w:sz w:val="16"/>
          <w:szCs w:val="16"/>
          <w:color w:val="auto"/>
        </w:rPr>
        <w:t xml:space="preserve"> in 2019 increased from 2018 primarily due to the net favorable changes in operating working capital in 2019, including the collection of Transco’s filed rates subject to refund and the receipt of an income tax refund, as well as higher operating income (excluding noncash items as previously discussed) in 2019, partially offset by the impact of decreased distributions from unconsolidated affiliates in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33" w:right="239" w:bottom="1440" w:gutter="0" w:footer="0" w:header="0"/>
        </w:sectPr>
      </w:pPr>
    </w:p>
    <w:bookmarkStart w:id="68" w:name="page69"/>
    <w:bookmarkEnd w:id="68"/>
    <w:p>
      <w:pPr>
        <w:jc w:val="both"/>
        <w:ind w:right="20" w:firstLine="324"/>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Net cash provided (used) by operating activities</w:t>
      </w:r>
      <w:r>
        <w:rPr>
          <w:rFonts w:ascii="Arial" w:cs="Arial" w:eastAsia="Arial" w:hAnsi="Arial"/>
          <w:sz w:val="18"/>
          <w:szCs w:val="18"/>
          <w:color w:val="auto"/>
        </w:rPr>
        <w:t xml:space="preserve"> in 2018 increased from 2017 primarily due to higher operating income (excluding noncash items as previously discussed) in 2018, partially offset by the impact of decreased distributions from unconsolidated affiliates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Guarantees of Debt or Other Commitments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various other guarantees and commitments which are disclosed in Note 4 – Variable Interest Entities, Note 12 – Property, Plant, and Equipment, Note 18 – Fair Value Measurements, Guarantees, and Concentration of Credit Risk, and Note 19 – Contingent Liabilities and Commitments of Notes to Consolidated Financial Statements. We do not believe these guarantees and commitments or the possible fulfillment of them will prevent us from meeting our liquidity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maturity dates of our contractual obligations at December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2021 - 2022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2023 - 2024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including current portion: (1)</w:t>
            </w:r>
          </w:p>
        </w:tc>
        <w:tc>
          <w:tcPr>
            <w:tcW w:w="7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700" w:type="dxa"/>
            <w:vAlign w:val="bottom"/>
          </w:tcPr>
          <w:p>
            <w:pPr>
              <w:ind w:left="540"/>
              <w:spacing w:after="0"/>
              <w:rPr>
                <w:sz w:val="20"/>
                <w:szCs w:val="20"/>
                <w:color w:val="auto"/>
              </w:rPr>
            </w:pPr>
            <w:r>
              <w:rPr>
                <w:rFonts w:ascii="Arial" w:cs="Arial" w:eastAsia="Arial" w:hAnsi="Arial"/>
                <w:sz w:val="17"/>
                <w:szCs w:val="17"/>
                <w:color w:val="auto"/>
              </w:rPr>
              <w:t>Principal</w:t>
            </w:r>
          </w:p>
        </w:tc>
        <w:tc>
          <w:tcPr>
            <w:tcW w:w="780" w:type="dxa"/>
            <w:vAlign w:val="bottom"/>
          </w:tcPr>
          <w:p>
            <w:pPr>
              <w:jc w:val="right"/>
              <w:ind w:right="599"/>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ind w:right="15"/>
              <w:spacing w:after="0"/>
              <w:rPr>
                <w:sz w:val="20"/>
                <w:szCs w:val="20"/>
                <w:color w:val="auto"/>
              </w:rPr>
            </w:pPr>
            <w:r>
              <w:rPr>
                <w:rFonts w:ascii="Arial" w:cs="Arial" w:eastAsia="Arial" w:hAnsi="Arial"/>
                <w:sz w:val="17"/>
                <w:szCs w:val="17"/>
                <w:color w:val="auto"/>
                <w:w w:val="84"/>
              </w:rPr>
              <w:t>2,141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2,918</w:t>
            </w:r>
          </w:p>
        </w:tc>
        <w:tc>
          <w:tcPr>
            <w:tcW w:w="12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3,756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13,650</w:t>
            </w:r>
          </w:p>
        </w:tc>
        <w:tc>
          <w:tcPr>
            <w:tcW w:w="100" w:type="dxa"/>
            <w:vAlign w:val="bottom"/>
          </w:tcPr>
          <w:p>
            <w:pPr>
              <w:spacing w:after="0"/>
              <w:rPr>
                <w:sz w:val="20"/>
                <w:szCs w:val="20"/>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22,465</w:t>
            </w:r>
          </w:p>
        </w:tc>
        <w:tc>
          <w:tcPr>
            <w:tcW w:w="0" w:type="dxa"/>
            <w:vAlign w:val="bottom"/>
          </w:tcPr>
          <w:p>
            <w:pPr>
              <w:spacing w:after="0"/>
              <w:rPr>
                <w:sz w:val="1"/>
                <w:szCs w:val="1"/>
                <w:color w:val="auto"/>
              </w:rPr>
            </w:pPr>
          </w:p>
        </w:tc>
      </w:tr>
      <w:tr>
        <w:trPr>
          <w:trHeight w:val="31"/>
        </w:trPr>
        <w:tc>
          <w:tcPr>
            <w:tcW w:w="4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Interest</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8,561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13,371</w:t>
            </w:r>
          </w:p>
        </w:tc>
        <w:tc>
          <w:tcPr>
            <w:tcW w:w="0" w:type="dxa"/>
            <w:vAlign w:val="bottom"/>
          </w:tcPr>
          <w:p>
            <w:pPr>
              <w:spacing w:after="0"/>
              <w:rPr>
                <w:sz w:val="1"/>
                <w:szCs w:val="1"/>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Operating leases</w:t>
            </w:r>
          </w:p>
        </w:tc>
        <w:tc>
          <w:tcPr>
            <w:tcW w:w="780" w:type="dxa"/>
            <w:vAlign w:val="bottom"/>
          </w:tcPr>
          <w:p>
            <w:pPr>
              <w:spacing w:after="0"/>
              <w:rPr>
                <w:sz w:val="20"/>
                <w:szCs w:val="20"/>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31"/>
        </w:trPr>
        <w:tc>
          <w:tcPr>
            <w:tcW w:w="4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 obligations (2)</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2,072</w:t>
            </w:r>
          </w:p>
        </w:tc>
        <w:tc>
          <w:tcPr>
            <w:tcW w:w="0" w:type="dxa"/>
            <w:vAlign w:val="bottom"/>
          </w:tcPr>
          <w:p>
            <w:pPr>
              <w:spacing w:after="0"/>
              <w:rPr>
                <w:sz w:val="1"/>
                <w:szCs w:val="1"/>
                <w:color w:val="auto"/>
              </w:rPr>
            </w:pPr>
          </w:p>
        </w:tc>
      </w:tr>
      <w:tr>
        <w:trPr>
          <w:trHeight w:val="239"/>
        </w:trPr>
        <w:tc>
          <w:tcPr>
            <w:tcW w:w="4700" w:type="dxa"/>
            <w:vAlign w:val="bottom"/>
          </w:tcPr>
          <w:p>
            <w:pPr>
              <w:ind w:left="40"/>
              <w:spacing w:after="0"/>
              <w:rPr>
                <w:sz w:val="20"/>
                <w:szCs w:val="20"/>
                <w:color w:val="auto"/>
              </w:rPr>
            </w:pPr>
            <w:r>
              <w:rPr>
                <w:rFonts w:ascii="Arial" w:cs="Arial" w:eastAsia="Arial" w:hAnsi="Arial"/>
                <w:sz w:val="17"/>
                <w:szCs w:val="17"/>
                <w:color w:val="auto"/>
              </w:rPr>
              <w:t>Other obligations (3)(4)</w:t>
            </w:r>
          </w:p>
        </w:tc>
        <w:tc>
          <w:tcPr>
            <w:tcW w:w="780" w:type="dxa"/>
            <w:vAlign w:val="bottom"/>
          </w:tcPr>
          <w:p>
            <w:pPr>
              <w:spacing w:after="0"/>
              <w:rPr>
                <w:sz w:val="20"/>
                <w:szCs w:val="20"/>
                <w:color w:val="auto"/>
              </w:rPr>
            </w:pP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1"/>
        </w:trPr>
        <w:tc>
          <w:tcPr>
            <w:tcW w:w="47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Total</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4,160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5,635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22,658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38,204</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1"/>
                <w:szCs w:val="11"/>
                <w:color w:val="auto"/>
              </w:rPr>
              <w:t>______________</w:t>
            </w: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any borrowings outstanding under credit facilities, but does not include any related variable-rate interest payments.</w:t>
      </w:r>
    </w:p>
    <w:p>
      <w:pPr>
        <w:spacing w:after="0" w:line="10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Approximately $206 million in open property, plant, and equipment purchase orders;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estimated $589 million long-term mixed NGLs purchase obligation with index-based pricing terms that is reflected in this table at December 31, 2019 prices;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estimated $193 million long-term ethane purchase obligation with index-based pricing terms that primarily supplies third parties at their plants and is reflected in this table at a value calculated using December 31, 2019 prices. Any excess purchased volumes may be sold at comparable market prices;</w:t>
      </w:r>
    </w:p>
    <w:p>
      <w:pPr>
        <w:spacing w:after="0" w:line="73"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estimated $163 million long-term ethane purchase obligation with index-based pricing terms that primarily supplies a third party for consumption at their plant and is reflected in this table at a value calculated using December 31, 2019 prices. Any excess purchased volumes may be sold at comparable market prices;</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estimated $149 million long-term ethane purchase obligation with index-based pricing terms that is reflected in this table at December 31, 2019 prices. This obligation is part of an overall exchange agreement whereby volumes we transport on OPPL are sold at a third-party fractionator near Conway, Kansas, and we are subsequently obligated to purchase ethane volumes at Mont Belvieu. The purchased ethane volumes may be utilized or sold at comparable prices in the Mont Belvieu market;</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 estimated $129 million long-term mixed NGLs purchase obligation with index-based pricing terms that is reflected in this table at December 31, 2019 prices.</w:t>
      </w:r>
    </w:p>
    <w:p>
      <w:pPr>
        <w:spacing w:after="0" w:line="6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In addition, we have not included certain natural gas life-of-lease contracts for which the future volumes are indeterminable. We have not included commitments, beyond purchase orders, for the acquisition or construction of property, plant, and equipment or expected contributions to our jointly owned investments. (See Company Outlook — Expansion Projects.)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19" w:right="239" w:bottom="1440" w:gutter="0" w:footer="0" w:header="0"/>
        </w:sectPr>
      </w:pPr>
    </w:p>
    <w:bookmarkStart w:id="69" w:name="page70"/>
    <w:bookmarkEnd w:id="69"/>
    <w:p>
      <w:pPr>
        <w:jc w:val="both"/>
        <w:ind w:left="340" w:hanging="332"/>
        <w:spacing w:after="0" w:line="270"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Does not include estimated contributions to our pension and other postretirement benefit plans. We made contributions to our pension and other postretirement benefit plans of $68 million in 2019 and $93 million in 2018. In 2020, we expect to contribute approximately $19 million to these plans (see Note 10 – Employee Benefit Plans of Notes to Consolidated Financial Statements). Tax-qualified pension plans are required to meet minimum contribution requirements. In the past, we have contributed amounts to our tax-qualified pension plans in excess of the minimum required contribution. These excess amounts can be used to offset future minimum contribution requirements. During 2019, we contributed $60 million to our tax-qualified pension plans. In addition to these contributions, a portion of the excess contributions was used to meet the minimum contribution requirements. During 2020, we expect to contribute approximately $10 million to our tax-qualified pension plans and use excess amounts to satisfy minimum contribution requirements, if needed. Additionally, estimated future minimum funding requirements may vary significantly from historical requirements if actual results differ significantly from estimated results for assumptions such as returns on plan assets, interest rates, retirement rates, mortality, and other significant assumptions or by changes to current legislation and regulations.</w:t>
      </w:r>
    </w:p>
    <w:p>
      <w:pPr>
        <w:spacing w:after="0" w:line="12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have not included income tax liabilities in the table above. See Note 8 – Provision (Benefit) for Income Taxes of Notes to Consolidated Financial Statements for a discussion of income taxes, including our contingent tax liability reserves.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operations have historically not been materially affected by inflation. Approximately 49 percent of our gross property, plant, and equipment is comprised of our interstate natural gas pipeline assets. They are subject to regulation, which limits recovery to historical cost. While amounts in excess of historical cost are not recoverable under current FERC practices, we anticipate being allowed to recover and earn a return based on increased actual cost incurred to replace existing assets. Cost-based regulations, along with competition and other market factors, may limit our ability to recover such increased costs. For our gathering and processing assets, operating costs are influenced to a greater extent by both competition for specialized services and specific price changes in crude oil and natural gas and related commodities than by changes in general inflation. Crude oil, natural gas, and NGL prices are particularly sensitive to the market perceptions concerning the supply and demand balance in the near future, as well as general economic conditions. However, our exposure to certain of these price changes is reduced through the fee-based nature of certain of our services and the use of hedging instruments.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We are a participant in certain environmental activities in various stages including assessment studies, cleanup operations, and/or remedial processes at certain sites, some of which we currently do not own (see Note 19 – Contingent Liabilities and Commitments of Notes to Consolidated Financial Statements). We are monitoring these sites in a coordinated effort with other potentially responsible parties, the EPA, or other governmental authorities. We are jointly and severally liable along with unrelated third parties in some of these activities and solely responsible in others. Current estimates of the most likely costs of such activities are approximately $31 million, all of which are included in </w:t>
      </w:r>
      <w:r>
        <w:rPr>
          <w:rFonts w:ascii="Arial" w:cs="Arial" w:eastAsia="Arial" w:hAnsi="Arial"/>
          <w:sz w:val="16"/>
          <w:szCs w:val="16"/>
          <w:i w:val="1"/>
          <w:iCs w:val="1"/>
          <w:color w:val="auto"/>
        </w:rPr>
        <w:t>Accrued liabilities</w:t>
      </w:r>
      <w:r>
        <w:rPr>
          <w:rFonts w:ascii="Arial" w:cs="Arial" w:eastAsia="Arial" w:hAnsi="Arial"/>
          <w:sz w:val="16"/>
          <w:szCs w:val="16"/>
          <w:color w:val="auto"/>
        </w:rPr>
        <w:t xml:space="preserve"> and </w:t>
      </w:r>
      <w:r>
        <w:rPr>
          <w:rFonts w:ascii="Arial" w:cs="Arial" w:eastAsia="Arial" w:hAnsi="Arial"/>
          <w:sz w:val="16"/>
          <w:szCs w:val="16"/>
          <w:i w:val="1"/>
          <w:iCs w:val="1"/>
          <w:color w:val="auto"/>
        </w:rPr>
        <w:t>Regulatory liabilities, deferred income, and other</w:t>
      </w:r>
      <w:r>
        <w:rPr>
          <w:rFonts w:ascii="Arial" w:cs="Arial" w:eastAsia="Arial" w:hAnsi="Arial"/>
          <w:sz w:val="16"/>
          <w:szCs w:val="16"/>
          <w:color w:val="auto"/>
        </w:rPr>
        <w:t xml:space="preserve"> in the Consolidated Balance Sheet at December 31, 2019. We will seek recovery of the accrued costs related to remediation activities by our interstate gas pipelines totaling approximately $4 million through future natural gas transmission rates. The remainder of these costs will be funded from operations. During 2019, we paid approximately $6 million for cleanup and/or remediation and monitoring activities. We expect to pay approximately $8 million in 2020 for these activities. Estimates of the most likely costs of cleanup are generally based on completed assessment studies, preliminary results of studies, or our experience with other similar cleanup operations. At December 31, 2019,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EPA and various state regulatory agencies routinely promulgate and propose new rules and issue updated guidance to existing rules. These rulemakings include, but are not limited to, rules for reciprocating internal combustion engine and combustion turbine maximum achievable control technology, air quality standards for one-hour nitrogen dioxide emissions, and volatile organic compound and methane new source performance standards impacting design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19" w:right="239" w:bottom="1440" w:gutter="0" w:footer="0" w:header="0"/>
        </w:sectPr>
      </w:pPr>
    </w:p>
    <w:bookmarkStart w:id="70" w:name="page71"/>
    <w:bookmarkEnd w:id="70"/>
    <w:p>
      <w:pPr>
        <w:jc w:val="both"/>
        <w:spacing w:after="0" w:line="255" w:lineRule="auto"/>
        <w:rPr>
          <w:sz w:val="20"/>
          <w:szCs w:val="20"/>
          <w:color w:val="auto"/>
        </w:rPr>
      </w:pPr>
      <w:r>
        <w:rPr>
          <w:rFonts w:ascii="Arial" w:cs="Arial" w:eastAsia="Arial" w:hAnsi="Arial"/>
          <w:sz w:val="18"/>
          <w:szCs w:val="18"/>
          <w:color w:val="auto"/>
        </w:rPr>
        <w:t xml:space="preserve">and operation of storage vessels, pressure valves, and compressors. The EPA previously issued its rule regarding National Ambient Air Quality Standards for ground-level ozone. We are monitoring the rule's implementation as it will trigger additional federal and state regulatory actions that may impact our operations. Implementation of the regulations is expected to result in impacts to our operations and increase the cost of additions to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 net </w:t>
      </w:r>
      <w:r>
        <w:rPr>
          <w:rFonts w:ascii="Arial" w:cs="Arial" w:eastAsia="Arial" w:hAnsi="Arial"/>
          <w:sz w:val="18"/>
          <w:szCs w:val="18"/>
          <w:color w:val="auto"/>
        </w:rPr>
        <w:t>in the Consolidated Balance Sheet for both new and existing facilities in affected areas. We are unable to reasonably estimate the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additions that may be required to meet the regulations at this time due to uncertainty created by various legal challenges to these regulations and the need for further specific regulatory guidance.</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interstate natural gas pipelines consider prudently incurred environmental assessment and remediation costs and the costs associated with compliance with environmental standards to be recoverable through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1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current interest rate risk exposure is related primarily to our debt portfolio. Our debt portfolio is primarily comprised of fixed rate debt, which mitigates the impact of fluctuations in interest rates. Any borrowings under our credit facility and any issuances under our commercial paper program could be at a variable interest rate and could expose us to the risk of increasing interest rates. The maturity of our long-term debt portfolio is partially influenced by the expected lives of our operating assets. (See Note 15 – Debt and Banking Arrangements of Notes to Consolidated Financial Statements.)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tables below provide information by maturity date about our interest rate risk-sensitive instruments as of December 31, 2019 and 2018. See Note 18</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Fair Value Measurements, Guarantees, and Concentration of Credit Risk of Notes to Consolidated Financial Statements for the methods used in determining the fair value of our long-term debt.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Thereafter (1)</w:t>
            </w:r>
          </w:p>
        </w:tc>
        <w:tc>
          <w:tcPr>
            <w:tcW w:w="20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w w:val="87"/>
              </w:rPr>
              <w:t>(Millions)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Long-term debt, including current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portion:</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20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2,141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1,477</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2,279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13,473</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22,288</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25,319</w:t>
            </w:r>
          </w:p>
        </w:tc>
        <w:tc>
          <w:tcPr>
            <w:tcW w:w="0" w:type="dxa"/>
            <w:vAlign w:val="bottom"/>
          </w:tcPr>
          <w:p>
            <w:pPr>
              <w:spacing w:after="0"/>
              <w:rPr>
                <w:sz w:val="1"/>
                <w:szCs w:val="1"/>
                <w:color w:val="auto"/>
              </w:rPr>
            </w:pPr>
          </w:p>
        </w:tc>
      </w:tr>
      <w:tr>
        <w:trPr>
          <w:trHeight w:val="197"/>
        </w:trPr>
        <w:tc>
          <w:tcPr>
            <w:tcW w:w="248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9"/>
              </w:rPr>
              <w:t>Weighted-average interest rate</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480" w:type="dxa"/>
            <w:vAlign w:val="bottom"/>
          </w:tcPr>
          <w:p>
            <w:pPr>
              <w:ind w:left="200"/>
              <w:spacing w:after="0"/>
              <w:rPr>
                <w:sz w:val="20"/>
                <w:szCs w:val="20"/>
                <w:color w:val="auto"/>
              </w:rPr>
            </w:pPr>
            <w:r>
              <w:rPr>
                <w:rFonts w:ascii="Arial" w:cs="Arial" w:eastAsia="Arial" w:hAnsi="Arial"/>
                <w:sz w:val="14"/>
                <w:szCs w:val="14"/>
                <w:color w:val="auto"/>
              </w:rPr>
              <w:t>Variable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Thereafter (1)</w:t>
            </w:r>
          </w:p>
        </w:tc>
        <w:tc>
          <w:tcPr>
            <w:tcW w:w="20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w w:val="87"/>
              </w:rPr>
              <w:t>(Millions)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Long-term debt, including current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portion:</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200"/>
              <w:spacing w:after="0"/>
              <w:rPr>
                <w:sz w:val="20"/>
                <w:szCs w:val="20"/>
                <w:color w:val="auto"/>
              </w:rPr>
            </w:pPr>
            <w:r>
              <w:rPr>
                <w:rFonts w:ascii="Arial" w:cs="Arial" w:eastAsia="Arial" w:hAnsi="Arial"/>
                <w:sz w:val="14"/>
                <w:szCs w:val="14"/>
                <w:color w:val="auto"/>
              </w:rPr>
              <w:t>Fixed rate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2,021</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15,685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22,254</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23,170</w:t>
            </w:r>
          </w:p>
        </w:tc>
        <w:tc>
          <w:tcPr>
            <w:tcW w:w="0" w:type="dxa"/>
            <w:vAlign w:val="bottom"/>
          </w:tcPr>
          <w:p>
            <w:pPr>
              <w:spacing w:after="0"/>
              <w:rPr>
                <w:sz w:val="1"/>
                <w:szCs w:val="1"/>
                <w:color w:val="auto"/>
              </w:rPr>
            </w:pPr>
          </w:p>
        </w:tc>
      </w:tr>
      <w:tr>
        <w:trPr>
          <w:trHeight w:val="197"/>
        </w:trPr>
        <w:tc>
          <w:tcPr>
            <w:tcW w:w="2480" w:type="dxa"/>
            <w:vAlign w:val="bottom"/>
            <w:shd w:val="clear" w:color="auto" w:fill="CCEEFF"/>
          </w:tcPr>
          <w:p>
            <w:pPr>
              <w:ind w:left="540"/>
              <w:spacing w:after="0"/>
              <w:rPr>
                <w:sz w:val="20"/>
                <w:szCs w:val="20"/>
                <w:color w:val="auto"/>
              </w:rPr>
            </w:pPr>
            <w:r>
              <w:rPr>
                <w:rFonts w:ascii="Arial" w:cs="Arial" w:eastAsia="Arial" w:hAnsi="Arial"/>
                <w:sz w:val="14"/>
                <w:szCs w:val="14"/>
                <w:color w:val="auto"/>
                <w:w w:val="99"/>
              </w:rPr>
              <w:t>Weighted-average interest rate</w:t>
            </w:r>
          </w:p>
        </w:tc>
        <w:tc>
          <w:tcPr>
            <w:tcW w:w="2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480" w:type="dxa"/>
            <w:vAlign w:val="bottom"/>
          </w:tcPr>
          <w:p>
            <w:pPr>
              <w:ind w:left="200"/>
              <w:spacing w:after="0"/>
              <w:rPr>
                <w:sz w:val="20"/>
                <w:szCs w:val="20"/>
                <w:color w:val="auto"/>
              </w:rPr>
            </w:pPr>
            <w:r>
              <w:rPr>
                <w:rFonts w:ascii="Arial" w:cs="Arial" w:eastAsia="Arial" w:hAnsi="Arial"/>
                <w:sz w:val="14"/>
                <w:szCs w:val="14"/>
                <w:color w:val="auto"/>
              </w:rPr>
              <w:t>Variable rate (2)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pacing w:after="0" w:line="6"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unamortized discount / premium and debt issuance costs.</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weighted-average interest rate for our $160 million credit facility borrowing at December 31, 2018, was 3.77 percent.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impact of fluctuations in the market price of NGLs and natural gas, as well as other market factors, such as market volatility and energy commodity price correlations. We are exposed to these risks in connection with our owned energy-related assets, our long-term energy-related contracts, and limited proprietary trading activities. Our management of the risks associated with these market fluctuations includes maintaining sufficient liquidity, as well as using various derivatives and nonderivative energy-related contracts. The fair value of derivative contracts is subject to many factors, including changes in energy commodity market prices, the liquidity and volatility of the markets in which the contracts are transacted, and changes in interest rates. At December 31, 2019 and 2018, our derivative activity was not material. (See Note 18 – Fair Value Measurements, Guarantees, and Concentration of Credit Risk of Notes to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53"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Williams Companies,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 of The Williams Companies, Inc. (the Company) as of December 31, 2019 and 2018, the related consolidated statements of operations, comprehensive income (loss), changes in equity and cash flows for each of the three years in the period ended December 31, 2019, and the related notes and the financial statement schedule listed in the index at Item 15(a) (collectively referred to as the “consolidated financial statements”). In our opinion, based on our audits and the report of other auditors, the consolidated financial statements present fairly, in all material respects, the consolidated financial position of the Company at December 31, 2019 and 2018, and the consolidated results of its operations and its cash flows for each of the three years in the period ended December 31, 2019, in conformity with U.S. generally accepted accounting principles.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did not audit the financial statements of Gulfstream Natural Gas System, L.L.C. (Gulfstream), a limited liability corporation in which the Company has a 50 percent interest. In the consolidated financial statements, the Company’s investment in Gulfstream was $217 million and $225 million as of December 31, 2019 and 2018, respectively, and the Company’s equity earnings in the net income of Gulfstream were $74 million in 2019, $75 million in 2018 and $75 million in 2017. Gulfstream’s financial statements were audited by other auditors whose report has been furnished to us, and our opinion, insofar as it relates to the amounts included for Gulfstream, is based solely on the report of other auditors.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24,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its method for accounting for revenue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and the report of other auditors provide a reasonable basis for our opinion.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715" w:right="239" w:bottom="1440" w:gutter="0" w:footer="0" w:header="0"/>
        </w:sectPr>
      </w:pPr>
    </w:p>
    <w:bookmarkStart w:id="73" w:name="page74"/>
    <w:bookmarkEnd w:id="73"/>
    <w:p>
      <w:pPr>
        <w:ind w:left="5"/>
        <w:spacing w:after="0"/>
        <w:rPr>
          <w:sz w:val="20"/>
          <w:szCs w:val="20"/>
          <w:color w:val="auto"/>
        </w:rPr>
      </w:pPr>
      <w:r>
        <w:rPr>
          <w:rFonts w:ascii="Arial" w:cs="Arial" w:eastAsia="Arial" w:hAnsi="Arial"/>
          <w:sz w:val="18"/>
          <w:szCs w:val="18"/>
          <w:b w:val="1"/>
          <w:bCs w:val="1"/>
          <w:color w:val="auto"/>
        </w:rPr>
        <w:t>Critical Audit Matters</w:t>
      </w:r>
    </w:p>
    <w:p>
      <w:pPr>
        <w:spacing w:after="0" w:line="67" w:lineRule="exact"/>
        <w:rPr>
          <w:sz w:val="20"/>
          <w:szCs w:val="20"/>
          <w:color w:val="auto"/>
        </w:rPr>
      </w:pPr>
    </w:p>
    <w:p>
      <w:pPr>
        <w:ind w:left="5" w:right="20"/>
        <w:spacing w:after="0" w:line="27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w:t>
      </w:r>
    </w:p>
    <w:p>
      <w:pPr>
        <w:jc w:val="both"/>
        <w:ind w:left="5" w:right="20" w:hanging="5"/>
        <w:spacing w:after="0" w:line="255" w:lineRule="auto"/>
        <w:tabs>
          <w:tab w:leader="none" w:pos="2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 w:lineRule="exact"/>
        <w:rPr>
          <w:sz w:val="20"/>
          <w:szCs w:val="20"/>
          <w:color w:val="auto"/>
        </w:rPr>
      </w:pPr>
    </w:p>
    <w:p>
      <w:pPr>
        <w:ind w:left="1845"/>
        <w:spacing w:after="0"/>
        <w:rPr>
          <w:sz w:val="20"/>
          <w:szCs w:val="20"/>
          <w:color w:val="auto"/>
        </w:rPr>
      </w:pPr>
      <w:r>
        <w:rPr>
          <w:rFonts w:ascii="Arial" w:cs="Arial" w:eastAsia="Arial" w:hAnsi="Arial"/>
          <w:sz w:val="18"/>
          <w:szCs w:val="18"/>
          <w:b w:val="1"/>
          <w:bCs w:val="1"/>
          <w:i w:val="1"/>
          <w:iCs w:val="1"/>
          <w:color w:val="auto"/>
        </w:rPr>
        <w:t>UEOM Acquisition</w:t>
      </w:r>
    </w:p>
    <w:p>
      <w:pPr>
        <w:sectPr>
          <w:pgSz w:w="11900" w:h="16838" w:orient="portrait"/>
          <w:cols w:equalWidth="0" w:num="1">
            <w:col w:w="11365"/>
          </w:cols>
          <w:pgMar w:left="275" w:top="715" w:right="259" w:bottom="1440" w:gutter="0" w:footer="0" w:header="0"/>
        </w:sectPr>
      </w:pPr>
    </w:p>
    <w:p>
      <w:pPr>
        <w:spacing w:after="0" w:line="63" w:lineRule="exact"/>
        <w:rPr>
          <w:sz w:val="20"/>
          <w:szCs w:val="20"/>
          <w:color w:val="auto"/>
        </w:rPr>
      </w:pPr>
    </w:p>
    <w:p>
      <w:pPr>
        <w:ind w:left="5"/>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2019, the Company completed an acquisition of the remaining 38 percent interest in Utica East Ohio Midstream LLC (UEOM) for consideration of $741 million, as disclosed in Note 3 to the consolidated financial statements. The acquisition was accounted for as a business combination.</w:t>
      </w:r>
    </w:p>
    <w:p>
      <w:pPr>
        <w:spacing w:after="0" w:line="181" w:lineRule="exact"/>
        <w:rPr>
          <w:sz w:val="20"/>
          <w:szCs w:val="20"/>
          <w:color w:val="auto"/>
        </w:rPr>
      </w:pPr>
    </w:p>
    <w:p>
      <w:pPr>
        <w:sectPr>
          <w:pgSz w:w="11900" w:h="16838" w:orient="portrait"/>
          <w:cols w:equalWidth="0" w:num="2">
            <w:col w:w="1305" w:space="540"/>
            <w:col w:w="9520"/>
          </w:cols>
          <w:pgMar w:left="275" w:top="715" w:right="259" w:bottom="1440" w:gutter="0" w:footer="0" w:header="0"/>
          <w:type w:val="continuous"/>
        </w:sectPr>
      </w:pPr>
    </w:p>
    <w:p>
      <w:pPr>
        <w:jc w:val="both"/>
        <w:ind w:left="1845"/>
        <w:spacing w:after="0" w:line="257" w:lineRule="auto"/>
        <w:rPr>
          <w:sz w:val="20"/>
          <w:szCs w:val="20"/>
          <w:color w:val="auto"/>
        </w:rPr>
      </w:pPr>
      <w:r>
        <w:rPr>
          <w:rFonts w:ascii="Arial" w:cs="Arial" w:eastAsia="Arial" w:hAnsi="Arial"/>
          <w:sz w:val="18"/>
          <w:szCs w:val="18"/>
          <w:color w:val="auto"/>
        </w:rPr>
        <w:t>Auditing the Company's accounting for its acquisition of UEOM was complex due to the estimation required in the Company’s determination of the fair value of the assets acquired and required the involvement of specialists due to the highly judgmental nature of certain assumptions. Estimation uncertainty was present due to the assets’ fair values being sensitive to changes in the underlying significant assumptions. The significant assumptions included the weighted average cost of capital and forecasted volume growth.</w:t>
      </w:r>
    </w:p>
    <w:p>
      <w:pPr>
        <w:sectPr>
          <w:pgSz w:w="11900" w:h="16838" w:orient="portrait"/>
          <w:cols w:equalWidth="0" w:num="1">
            <w:col w:w="11365"/>
          </w:cols>
          <w:pgMar w:left="275" w:top="715" w:right="259" w:bottom="1440" w:gutter="0" w:footer="0" w:header="0"/>
          <w:type w:val="continuous"/>
        </w:sectPr>
      </w:pPr>
    </w:p>
    <w:p>
      <w:pPr>
        <w:spacing w:after="0" w:line="242" w:lineRule="exact"/>
        <w:rPr>
          <w:sz w:val="20"/>
          <w:szCs w:val="20"/>
          <w:color w:val="auto"/>
        </w:rPr>
      </w:pPr>
    </w:p>
    <w:p>
      <w:pPr>
        <w:ind w:left="5"/>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tested the Company's controls over its accounting for the acquisition, including controls over the estimation process supporting the recognition and measurement of the acquired assets. We also tested controls over management’s review of the significant assumptions used in the valuation models.</w:t>
      </w:r>
    </w:p>
    <w:p>
      <w:pPr>
        <w:spacing w:after="0" w:line="181" w:lineRule="exact"/>
        <w:rPr>
          <w:sz w:val="20"/>
          <w:szCs w:val="20"/>
          <w:color w:val="auto"/>
        </w:rPr>
      </w:pPr>
    </w:p>
    <w:p>
      <w:pPr>
        <w:sectPr>
          <w:pgSz w:w="11900" w:h="16838" w:orient="portrait"/>
          <w:cols w:equalWidth="0" w:num="2">
            <w:col w:w="1385" w:space="460"/>
            <w:col w:w="9520"/>
          </w:cols>
          <w:pgMar w:left="275" w:top="715" w:right="259" w:bottom="1440" w:gutter="0" w:footer="0" w:header="0"/>
          <w:type w:val="continuous"/>
        </w:sectPr>
      </w:pPr>
    </w:p>
    <w:p>
      <w:pPr>
        <w:jc w:val="both"/>
        <w:ind w:left="1845"/>
        <w:spacing w:after="0" w:line="291" w:lineRule="auto"/>
        <w:rPr>
          <w:sz w:val="20"/>
          <w:szCs w:val="20"/>
          <w:color w:val="auto"/>
        </w:rPr>
      </w:pPr>
      <w:r>
        <w:rPr>
          <w:rFonts w:ascii="Arial" w:cs="Arial" w:eastAsia="Arial" w:hAnsi="Arial"/>
          <w:sz w:val="16"/>
          <w:szCs w:val="16"/>
          <w:color w:val="auto"/>
        </w:rPr>
        <w:t>To test the estimated fair value of the acquired assets, we performed audit procedures that included, among others, evaluating the Company's selection of the valuation methodologies, evaluating the significant assumptions used in the valuation, and testing the completeness and accuracy of the underlying data supporting the significant assumptions and estimates. For example, we compared the significant assumptions used to estimate future cash flows to historical operating results, obtained third-party support, where available, to evaluate operating data, performed a sensitivity analysis to evaluate the assumptions that were most significant to the fair value estimate, and recalculated management’s estimate. We involved our valuation specialists to assist with our evaluation of the methodologies used by the Company and significant assumptions included in the fair value estimates.</w:t>
      </w:r>
    </w:p>
    <w:p>
      <w:pPr>
        <w:spacing w:after="0" w:line="221" w:lineRule="exact"/>
        <w:rPr>
          <w:sz w:val="20"/>
          <w:szCs w:val="20"/>
          <w:color w:val="auto"/>
        </w:rPr>
      </w:pPr>
    </w:p>
    <w:p>
      <w:pPr>
        <w:ind w:left="1845"/>
        <w:spacing w:after="0"/>
        <w:rPr>
          <w:sz w:val="20"/>
          <w:szCs w:val="20"/>
          <w:color w:val="auto"/>
        </w:rPr>
      </w:pPr>
      <w:r>
        <w:rPr>
          <w:rFonts w:ascii="Arial" w:cs="Arial" w:eastAsia="Arial" w:hAnsi="Arial"/>
          <w:sz w:val="18"/>
          <w:szCs w:val="18"/>
          <w:b w:val="1"/>
          <w:bCs w:val="1"/>
          <w:i w:val="1"/>
          <w:iCs w:val="1"/>
          <w:color w:val="auto"/>
        </w:rPr>
        <w:t>Pension and Other Postretirement Benefit Obligations</w:t>
      </w:r>
    </w:p>
    <w:p>
      <w:pPr>
        <w:sectPr>
          <w:pgSz w:w="11900" w:h="16838" w:orient="portrait"/>
          <w:cols w:equalWidth="0" w:num="1">
            <w:col w:w="11365"/>
          </w:cols>
          <w:pgMar w:left="275" w:top="715" w:right="259" w:bottom="1440" w:gutter="0" w:footer="0" w:header="0"/>
          <w:type w:val="continuous"/>
        </w:sectPr>
      </w:pPr>
    </w:p>
    <w:p>
      <w:pPr>
        <w:spacing w:after="0" w:line="63" w:lineRule="exact"/>
        <w:rPr>
          <w:sz w:val="20"/>
          <w:szCs w:val="20"/>
          <w:color w:val="auto"/>
        </w:rPr>
      </w:pPr>
    </w:p>
    <w:p>
      <w:pPr>
        <w:ind w:left="5"/>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 December 31, 2019, the Company’s aggregate pension and other postretirement benefit obligations were $1,452 million and were exceeded by the fair value of pension and other postretirement plan assets of $1,546 million, resulting in overfunded pension and other postretirement benefit obligations of $94 million. As explained in Note 10 to the consolidated financial statements, the Company utilized key assumptions to determine the pension and other postretirement benefit obligations.</w:t>
      </w:r>
    </w:p>
    <w:p>
      <w:pPr>
        <w:spacing w:after="0" w:line="171" w:lineRule="exact"/>
        <w:rPr>
          <w:sz w:val="20"/>
          <w:szCs w:val="20"/>
          <w:color w:val="auto"/>
        </w:rPr>
      </w:pPr>
    </w:p>
    <w:p>
      <w:pPr>
        <w:sectPr>
          <w:pgSz w:w="11900" w:h="16838" w:orient="portrait"/>
          <w:cols w:equalWidth="0" w:num="2">
            <w:col w:w="1305" w:space="540"/>
            <w:col w:w="9520"/>
          </w:cols>
          <w:pgMar w:left="275" w:top="715" w:right="259" w:bottom="1440" w:gutter="0" w:footer="0" w:header="0"/>
          <w:type w:val="continuous"/>
        </w:sectPr>
      </w:pPr>
    </w:p>
    <w:p>
      <w:pPr>
        <w:jc w:val="both"/>
        <w:ind w:left="1845" w:right="20"/>
        <w:spacing w:after="0" w:line="259" w:lineRule="auto"/>
        <w:rPr>
          <w:sz w:val="20"/>
          <w:szCs w:val="20"/>
          <w:color w:val="auto"/>
        </w:rPr>
      </w:pPr>
      <w:r>
        <w:rPr>
          <w:rFonts w:ascii="Arial" w:cs="Arial" w:eastAsia="Arial" w:hAnsi="Arial"/>
          <w:sz w:val="18"/>
          <w:szCs w:val="18"/>
          <w:color w:val="auto"/>
        </w:rPr>
        <w:t>Auditing the pension and other postretirement benefit obligations is complex and required the involvement of specialists due to the highly judgmental nature of the actuarial assumptions (e.g., discount rates, future compensation levels, mortality rates, expected returns on plan assets) used in the measurement process. These assumptions have a significant effect on the projected benefit obligations.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5"/>
          </w:cols>
          <w:pgMar w:left="275" w:top="715" w:right="259" w:bottom="1440" w:gutter="0" w:footer="0" w:header="0"/>
          <w:type w:val="continuous"/>
        </w:sectPr>
      </w:pPr>
    </w:p>
    <w:bookmarkStart w:id="74" w:name="page75"/>
    <w:bookmarkEnd w:id="74"/>
    <w:p>
      <w:pPr>
        <w:ind w:left="40"/>
        <w:spacing w:after="0" w:line="312"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We tested controls that address the risks of material misstatement relating to the measurement and valuation of the pension and other postretirement benefit obligations. For example, we tested controls over management’s review of the pension and postretirement benefit obligations, the significant actuarial assumptions and the data inputs provided to the actuary.</w:t>
      </w:r>
    </w:p>
    <w:p>
      <w:pPr>
        <w:spacing w:after="0" w:line="165" w:lineRule="exact"/>
        <w:rPr>
          <w:sz w:val="20"/>
          <w:szCs w:val="20"/>
          <w:color w:val="auto"/>
        </w:rPr>
      </w:pPr>
    </w:p>
    <w:p>
      <w:pPr>
        <w:sectPr>
          <w:pgSz w:w="11900" w:h="16838" w:orient="portrait"/>
          <w:cols w:equalWidth="0" w:num="2">
            <w:col w:w="1420" w:space="460"/>
            <w:col w:w="9520"/>
          </w:cols>
          <w:pgMar w:left="240" w:top="719" w:right="259" w:bottom="1440" w:gutter="0" w:footer="0" w:header="0"/>
        </w:sectPr>
      </w:pPr>
    </w:p>
    <w:p>
      <w:pPr>
        <w:jc w:val="both"/>
        <w:ind w:left="1880"/>
        <w:spacing w:after="0" w:line="287" w:lineRule="auto"/>
        <w:rPr>
          <w:sz w:val="20"/>
          <w:szCs w:val="20"/>
          <w:color w:val="auto"/>
        </w:rPr>
      </w:pPr>
      <w:r>
        <w:rPr>
          <w:rFonts w:ascii="Arial" w:cs="Arial" w:eastAsia="Arial" w:hAnsi="Arial"/>
          <w:sz w:val="16"/>
          <w:szCs w:val="16"/>
          <w:color w:val="auto"/>
        </w:rPr>
        <w:t>To test the pension and other postretirement benefit obligations, our audit procedures included, among others, evaluating the methodologies used, the significant actuarial assumptions discussed above and the underlying data used by the Company. We compared the actuarial assumptions used by management to historical trends and evaluated the changes in the funded status from prior year. In addition, we involved our actuarial specialists to assist with our procedures. For example, we evaluated management’s methodology for determining the discount rates that reflect the maturity and duration of the benefit payments and are used to measure the pension and other postretirement benefit obligations. As part of this assessment, we compared the projected cash flows to prior year and compared the current year benefits paid to the prior year projected cash flows. To evaluate the future compensation levels and the mortality rates, we assessed whether the information is consistent with publicly available information, and whether any market data adjusted for entity-specific adjustments were applied. Additionally, to evaluate the expected returns on plan assets, we assessed whether management’s assumptions were consistent with a range of returns for portfolios of comparative investments. We also tested the completeness and accuracy of the underlying data, including the participant data.</w:t>
      </w:r>
    </w:p>
    <w:p>
      <w:pPr>
        <w:sectPr>
          <w:pgSz w:w="11900" w:h="16838" w:orient="portrait"/>
          <w:cols w:equalWidth="0" w:num="1">
            <w:col w:w="11400"/>
          </w:cols>
          <w:pgMar w:left="240" w:top="719" w:right="25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719" w:right="259" w:bottom="1440" w:gutter="0" w:footer="0" w:header="0"/>
          <w:type w:val="continuous"/>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Committee and Members of Gulfstream Natural Gas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balance sheets of Gulfstream Natural Gas System, L.L.C. (the “Company”) as of December 31, 2019 and 2018, and the related statements of operations, comprehensive income, cash flows, and members’ equity for each of the three years in the period ended December 31, 2019, including the related notes (collectively referred to as the “financial statements”) (not presented herein).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67"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171"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37465</wp:posOffset>
            </wp:positionV>
            <wp:extent cx="29584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6"/>
          </w:tcPr>
          <w:p>
            <w:pPr>
              <w:jc w:val="right"/>
              <w:ind w:right="94"/>
              <w:spacing w:after="0"/>
              <w:rPr>
                <w:sz w:val="20"/>
                <w:szCs w:val="20"/>
                <w:color w:val="auto"/>
              </w:rPr>
            </w:pPr>
            <w:r>
              <w:rPr>
                <w:rFonts w:ascii="Arial" w:cs="Arial" w:eastAsia="Arial" w:hAnsi="Arial"/>
                <w:sz w:val="14"/>
                <w:szCs w:val="14"/>
                <w:b w:val="1"/>
                <w:bCs w:val="1"/>
                <w:color w:val="auto"/>
              </w:rPr>
              <w:t>(Millions, except per-share amounts)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Arial" w:cs="Arial" w:eastAsia="Arial" w:hAnsi="Arial"/>
                <w:sz w:val="17"/>
                <w:szCs w:val="17"/>
                <w:color w:val="auto"/>
              </w:rPr>
              <w:t>Service revenues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5,933</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5,502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 revenues – commodity consideration (Note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Product sales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2,784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revenues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8,031</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Costs and expenses: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Product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2,300</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Processing commodity expenses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Operating and maintenance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1,576</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Depreciation and amortization expenses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1,714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1,725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1,736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594</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Impairment of certain assets (Note 18)</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1,915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1,248</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sale of certain assets and businesses (Note 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Regulatory charges resulting from Tax Reform (Note 1)</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(income) expense –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9"/>
        </w:trPr>
        <w:tc>
          <w:tcPr>
            <w:tcW w:w="6760" w:type="dxa"/>
            <w:vAlign w:val="bottom"/>
          </w:tcPr>
          <w:p>
            <w:pPr>
              <w:ind w:left="380"/>
              <w:spacing w:after="0"/>
              <w:rPr>
                <w:sz w:val="20"/>
                <w:szCs w:val="20"/>
                <w:color w:val="auto"/>
              </w:rPr>
            </w:pPr>
            <w:r>
              <w:rPr>
                <w:rFonts w:ascii="Arial" w:cs="Arial" w:eastAsia="Arial" w:hAnsi="Arial"/>
                <w:sz w:val="17"/>
                <w:szCs w:val="17"/>
                <w:color w:val="auto"/>
              </w:rPr>
              <w:t>Total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6,280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7,918</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7,104</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Equity earnings (losses)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434</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investing income (loss) –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Interest incurred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(1,116)</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Other income (expense) – net</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 before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535</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Provision (benefit) for income taxes</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(1,974)</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2,509</w:t>
            </w:r>
          </w:p>
        </w:tc>
        <w:tc>
          <w:tcPr>
            <w:tcW w:w="0" w:type="dxa"/>
            <w:vAlign w:val="bottom"/>
          </w:tcPr>
          <w:p>
            <w:pPr>
              <w:spacing w:after="0"/>
              <w:rPr>
                <w:sz w:val="1"/>
                <w:szCs w:val="1"/>
                <w:color w:val="auto"/>
              </w:rPr>
            </w:pPr>
          </w:p>
        </w:tc>
      </w:tr>
      <w:tr>
        <w:trPr>
          <w:trHeight w:val="239"/>
        </w:trPr>
        <w:tc>
          <w:tcPr>
            <w:tcW w:w="6760" w:type="dxa"/>
            <w:vAlign w:val="bottom"/>
          </w:tcPr>
          <w:p>
            <w:pPr>
              <w:ind w:left="40"/>
              <w:spacing w:after="0"/>
              <w:rPr>
                <w:sz w:val="20"/>
                <w:szCs w:val="20"/>
                <w:color w:val="auto"/>
              </w:rPr>
            </w:pPr>
            <w:r>
              <w:rPr>
                <w:rFonts w:ascii="Arial" w:cs="Arial" w:eastAsia="Arial" w:hAnsi="Arial"/>
                <w:sz w:val="17"/>
                <w:szCs w:val="17"/>
                <w:color w:val="auto"/>
              </w:rPr>
              <w:t>Income (loss) from discontinued operations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2,509</w:t>
            </w:r>
          </w:p>
        </w:tc>
        <w:tc>
          <w:tcPr>
            <w:tcW w:w="0" w:type="dxa"/>
            <w:vAlign w:val="bottom"/>
          </w:tcPr>
          <w:p>
            <w:pPr>
              <w:spacing w:after="0"/>
              <w:rPr>
                <w:sz w:val="1"/>
                <w:szCs w:val="1"/>
                <w:color w:val="auto"/>
              </w:rPr>
            </w:pPr>
          </w:p>
        </w:tc>
      </w:tr>
      <w:tr>
        <w:trPr>
          <w:trHeight w:val="239"/>
        </w:trPr>
        <w:tc>
          <w:tcPr>
            <w:tcW w:w="6760" w:type="dxa"/>
            <w:vAlign w:val="bottom"/>
          </w:tcPr>
          <w:p>
            <w:pPr>
              <w:ind w:left="380"/>
              <w:spacing w:after="0"/>
              <w:rPr>
                <w:sz w:val="20"/>
                <w:szCs w:val="20"/>
                <w:color w:val="auto"/>
              </w:rPr>
            </w:pPr>
            <w:r>
              <w:rPr>
                <w:rFonts w:ascii="Arial" w:cs="Arial" w:eastAsia="Arial" w:hAnsi="Arial"/>
                <w:sz w:val="17"/>
                <w:szCs w:val="17"/>
                <w:color w:val="auto"/>
              </w:rPr>
              <w:t>Less: Net income (loss) attributable to noncontrolling interests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348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 attributable to The Williams Companies, Inc.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Preferred stock dividends (Note 16)</w:t>
            </w:r>
          </w:p>
        </w:tc>
        <w:tc>
          <w:tcPr>
            <w:tcW w:w="3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 (loss) available to common stockholders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7"/>
                <w:szCs w:val="17"/>
                <w:color w:val="auto"/>
              </w:rPr>
              <w:t>Amounts attributable to The Williams Companies, Inc. available to common stockholders: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from continuing operations</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39"/>
        </w:trPr>
        <w:tc>
          <w:tcPr>
            <w:tcW w:w="6760" w:type="dxa"/>
            <w:vAlign w:val="bottom"/>
          </w:tcPr>
          <w:p>
            <w:pPr>
              <w:ind w:left="180"/>
              <w:spacing w:after="0"/>
              <w:rPr>
                <w:sz w:val="20"/>
                <w:szCs w:val="20"/>
                <w:color w:val="auto"/>
              </w:rPr>
            </w:pPr>
            <w:r>
              <w:rPr>
                <w:rFonts w:ascii="Arial" w:cs="Arial" w:eastAsia="Arial" w:hAnsi="Arial"/>
                <w:sz w:val="17"/>
                <w:szCs w:val="17"/>
                <w:color w:val="auto"/>
              </w:rPr>
              <w:t>Income (loss) from discontinued operations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2,174</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180"/>
              <w:spacing w:after="0"/>
              <w:rPr>
                <w:sz w:val="20"/>
                <w:szCs w:val="20"/>
                <w:color w:val="auto"/>
              </w:rPr>
            </w:pPr>
            <w:r>
              <w:rPr>
                <w:rFonts w:ascii="Arial" w:cs="Arial" w:eastAsia="Arial" w:hAnsi="Arial"/>
                <w:sz w:val="17"/>
                <w:szCs w:val="17"/>
                <w:color w:val="auto"/>
              </w:rPr>
              <w:t>Basic earnings (loss) per common share:</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39"/>
        </w:trPr>
        <w:tc>
          <w:tcPr>
            <w:tcW w:w="6760" w:type="dxa"/>
            <w:vAlign w:val="bottom"/>
          </w:tcPr>
          <w:p>
            <w:pPr>
              <w:ind w:left="380"/>
              <w:spacing w:after="0"/>
              <w:rPr>
                <w:sz w:val="20"/>
                <w:szCs w:val="20"/>
                <w:color w:val="auto"/>
              </w:rPr>
            </w:pPr>
            <w:r>
              <w:rPr>
                <w:rFonts w:ascii="Arial" w:cs="Arial" w:eastAsia="Arial" w:hAnsi="Arial"/>
                <w:sz w:val="17"/>
                <w:szCs w:val="17"/>
                <w:color w:val="auto"/>
              </w:rPr>
              <w:t>Income (loss) from discontinued operations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Net income (loss)</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60" w:type="dxa"/>
            <w:vAlign w:val="bottom"/>
          </w:tcPr>
          <w:p>
            <w:pPr>
              <w:ind w:left="380"/>
              <w:spacing w:after="0"/>
              <w:rPr>
                <w:sz w:val="20"/>
                <w:szCs w:val="20"/>
                <w:color w:val="auto"/>
              </w:rPr>
            </w:pPr>
            <w:r>
              <w:rPr>
                <w:rFonts w:ascii="Arial" w:cs="Arial" w:eastAsia="Arial" w:hAnsi="Arial"/>
                <w:sz w:val="17"/>
                <w:szCs w:val="17"/>
                <w:color w:val="auto"/>
              </w:rPr>
              <w:t>Weighted-average shares (thousands)</w:t>
            </w:r>
          </w:p>
        </w:tc>
        <w:tc>
          <w:tcPr>
            <w:tcW w:w="360" w:type="dxa"/>
            <w:vAlign w:val="bottom"/>
          </w:tcPr>
          <w:p>
            <w:pPr>
              <w:spacing w:after="0"/>
              <w:rPr>
                <w:sz w:val="18"/>
                <w:szCs w:val="18"/>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1,212,037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973,626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826,177</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 earnings (loss)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31"/>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676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Net income (loss)</w:t>
            </w: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3"/>
        </w:trPr>
        <w:tc>
          <w:tcPr>
            <w:tcW w:w="67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Weighted-average shares (thousands)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1,214,011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973,626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828,518</w:t>
            </w:r>
          </w:p>
        </w:tc>
        <w:tc>
          <w:tcPr>
            <w:tcW w:w="0" w:type="dxa"/>
            <w:vAlign w:val="bottom"/>
          </w:tcPr>
          <w:p>
            <w:pPr>
              <w:spacing w:after="0"/>
              <w:rPr>
                <w:sz w:val="1"/>
                <w:szCs w:val="1"/>
                <w:color w:val="auto"/>
              </w:rPr>
            </w:pPr>
          </w:p>
        </w:tc>
      </w:tr>
      <w:tr>
        <w:trPr>
          <w:trHeight w:val="31"/>
        </w:trPr>
        <w:tc>
          <w:tcPr>
            <w:tcW w:w="6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53" w:right="239" w:bottom="109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53" w:right="239" w:bottom="1095"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37465</wp:posOffset>
            </wp:positionV>
            <wp:extent cx="2306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flow hedging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7780" w:type="dxa"/>
            <w:vAlign w:val="bottom"/>
          </w:tcPr>
          <w:p>
            <w:pPr>
              <w:ind w:left="380"/>
              <w:spacing w:after="0"/>
              <w:rPr>
                <w:sz w:val="20"/>
                <w:szCs w:val="20"/>
                <w:color w:val="auto"/>
              </w:rPr>
            </w:pPr>
            <w:r>
              <w:rPr>
                <w:rFonts w:ascii="Arial" w:cs="Arial" w:eastAsia="Arial" w:hAnsi="Arial"/>
                <w:sz w:val="17"/>
                <w:szCs w:val="17"/>
                <w:color w:val="auto"/>
                <w:w w:val="99"/>
              </w:rPr>
              <w:t>Net unrealized gain (loss) from derivative instruments, net of taxes of $1 and $2 in 2018 and 2017,</w:t>
            </w:r>
          </w:p>
        </w:tc>
        <w:tc>
          <w:tcPr>
            <w:tcW w:w="28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0"/>
        </w:trPr>
        <w:tc>
          <w:tcPr>
            <w:tcW w:w="7780" w:type="dxa"/>
            <w:vAlign w:val="bottom"/>
          </w:tcPr>
          <w:p>
            <w:pPr>
              <w:ind w:left="540"/>
              <w:spacing w:after="0"/>
              <w:rPr>
                <w:sz w:val="20"/>
                <w:szCs w:val="20"/>
                <w:color w:val="auto"/>
              </w:rPr>
            </w:pPr>
            <w:r>
              <w:rPr>
                <w:rFonts w:ascii="Arial" w:cs="Arial" w:eastAsia="Arial" w:hAnsi="Arial"/>
                <w:sz w:val="17"/>
                <w:szCs w:val="17"/>
                <w:color w:val="auto"/>
              </w:rPr>
              <w:t>respectively</w:t>
            </w: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6"/>
              </w:rPr>
              <w:t>Reclassifications into earnings of net derivative instruments (gain) loss, net of taxes of ($1) and ($1) in</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2018 and 2017,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Foreign currency translation activities: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5"/>
              </w:rPr>
              <w:t>Amortization of prior service cost (credit) included in net periodic benefit cost (credit), net of taxes of $2</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in 2017</w:t>
            </w: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80" w:type="dxa"/>
            <w:vAlign w:val="bottom"/>
          </w:tcPr>
          <w:p>
            <w:pPr>
              <w:ind w:left="380"/>
              <w:spacing w:after="0"/>
              <w:rPr>
                <w:sz w:val="20"/>
                <w:szCs w:val="20"/>
                <w:color w:val="auto"/>
              </w:rPr>
            </w:pPr>
            <w:r>
              <w:rPr>
                <w:rFonts w:ascii="Arial" w:cs="Arial" w:eastAsia="Arial" w:hAnsi="Arial"/>
                <w:sz w:val="17"/>
                <w:szCs w:val="17"/>
                <w:color w:val="auto"/>
                <w:w w:val="96"/>
              </w:rPr>
              <w:t>Net actuarial gain (loss) arising during the year, net of taxes of ($20), $3, and ($15) in 2019, 2018, and</w:t>
            </w:r>
          </w:p>
        </w:tc>
        <w:tc>
          <w:tcPr>
            <w:tcW w:w="280" w:type="dxa"/>
            <w:vAlign w:val="bottom"/>
          </w:tcPr>
          <w:p>
            <w:pPr>
              <w:spacing w:after="0"/>
              <w:rPr>
                <w:sz w:val="18"/>
                <w:szCs w:val="18"/>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0"/>
        </w:trPr>
        <w:tc>
          <w:tcPr>
            <w:tcW w:w="7780" w:type="dxa"/>
            <w:vAlign w:val="bottom"/>
          </w:tcPr>
          <w:p>
            <w:pPr>
              <w:ind w:left="540"/>
              <w:spacing w:after="0"/>
              <w:rPr>
                <w:sz w:val="20"/>
                <w:szCs w:val="20"/>
                <w:color w:val="auto"/>
              </w:rPr>
            </w:pPr>
            <w:r>
              <w:rPr>
                <w:rFonts w:ascii="Arial" w:cs="Arial" w:eastAsia="Arial" w:hAnsi="Arial"/>
                <w:sz w:val="17"/>
                <w:szCs w:val="17"/>
                <w:color w:val="auto"/>
              </w:rPr>
              <w:t>2017, respectively</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9"/>
              </w:rPr>
              <w:t>Amortization of actuarial (gain) loss and net actuarial loss from settlements included in net periodic</w:t>
            </w:r>
          </w:p>
        </w:tc>
        <w:tc>
          <w:tcPr>
            <w:tcW w:w="28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7"/>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benefit cost (credit), net of taxes of ($4), ($11), and ($37) in 2019, 2018, and 2017,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Less: Comprehensive income (loss) attributable to noncontrolling interests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attributable to The Williams Companies,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5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52" w:lineRule="exact"/>
        <w:rPr>
          <w:sz w:val="20"/>
          <w:szCs w:val="20"/>
          <w:color w:val="auto"/>
        </w:rPr>
      </w:pPr>
    </w:p>
    <w:p>
      <w:pPr>
        <w:ind w:left="94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37465</wp:posOffset>
            </wp:positionV>
            <wp:extent cx="1946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88"/>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w w:val="93"/>
              </w:rPr>
              <w:t>(Millions, except per-share amounts)</w:t>
            </w:r>
          </w:p>
        </w:tc>
      </w:tr>
      <w:tr>
        <w:trPr>
          <w:trHeight w:val="68"/>
        </w:trPr>
        <w:tc>
          <w:tcPr>
            <w:tcW w:w="8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w w:val="93"/>
              </w:rPr>
              <w:t>Trade accounts and other receivables (net of allowance of $6 at December 31, 2019 and $9 at December 31,</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current assets and deferred charges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1,464</w:t>
            </w: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27,504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 net of accumulated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Regulatory assets, deferred charges, and other</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746</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46,040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45,302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due within one year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22,367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Regulatory liabilities, deferred income, and other</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3,603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liabilities and commitments (Note 19)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8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6"/>
              </w:rPr>
              <w:t>Common stock ($1 par value; 1,470 million shares authorized at December 31, 2019 and December 31,</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w w:val="92"/>
              </w:rPr>
              <w:t>2018; 1,247 million shares issued at December 31, 2019 and 1,245 million shares issued at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Retained deficit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Treasury stock, at cost (35 million shares of common stock)</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14,660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Noncontrolling interests in consolidated subsidiaries</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1,337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15,997</w:t>
            </w:r>
          </w:p>
        </w:tc>
      </w:tr>
      <w:tr>
        <w:trPr>
          <w:trHeight w:val="257"/>
        </w:trPr>
        <w:tc>
          <w:tcPr>
            <w:tcW w:w="836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46,040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45,302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53"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53"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The Williams Companies,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20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The Williams Companies,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23495</wp:posOffset>
            </wp:positionV>
            <wp:extent cx="41509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Capital in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Excess of</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Treasury</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2"/>
        </w:trPr>
        <w:tc>
          <w:tcPr>
            <w:tcW w:w="2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Par Value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5"/>
              </w:rPr>
              <w:t>Interests</w:t>
            </w:r>
          </w:p>
        </w:tc>
        <w:tc>
          <w:tcPr>
            <w:tcW w:w="7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ind w:left="280"/>
              <w:spacing w:after="0"/>
              <w:rPr>
                <w:sz w:val="20"/>
                <w:szCs w:val="20"/>
                <w:color w:val="auto"/>
              </w:rPr>
            </w:pPr>
            <w:r>
              <w:rPr>
                <w:rFonts w:ascii="Arial" w:cs="Arial" w:eastAsia="Arial" w:hAnsi="Arial"/>
                <w:sz w:val="13"/>
                <w:szCs w:val="13"/>
                <w:b w:val="1"/>
                <w:bCs w:val="1"/>
                <w:color w:val="auto"/>
              </w:rPr>
              <w:t>(Millions)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9,403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14,046</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Adoption of new accounting standard</w:t>
            </w:r>
          </w:p>
        </w:tc>
        <w:tc>
          <w:tcPr>
            <w:tcW w:w="120" w:type="dxa"/>
            <w:vAlign w:val="bottom"/>
          </w:tcPr>
          <w:p>
            <w:pPr>
              <w:spacing w:after="0"/>
              <w:rPr>
                <w:sz w:val="22"/>
                <w:szCs w:val="2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2,509</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Other comprehensive income (loss)</w:t>
            </w:r>
          </w:p>
        </w:tc>
        <w:tc>
          <w:tcPr>
            <w:tcW w:w="120" w:type="dxa"/>
            <w:vAlign w:val="bottom"/>
          </w:tcPr>
          <w:p>
            <w:pPr>
              <w:spacing w:after="0"/>
              <w:rPr>
                <w:sz w:val="22"/>
                <w:szCs w:val="2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 (Note 16)</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2,118</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w w:val="88"/>
              </w:rPr>
              <w:t>Cash dividends – common stock ($1.20 per share)</w:t>
            </w:r>
          </w:p>
        </w:tc>
        <w:tc>
          <w:tcPr>
            <w:tcW w:w="120" w:type="dxa"/>
            <w:vAlign w:val="bottom"/>
          </w:tcPr>
          <w:p>
            <w:pPr>
              <w:spacing w:after="0"/>
              <w:rPr>
                <w:sz w:val="22"/>
                <w:szCs w:val="2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and distributions to noncontrolling</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w:t>
            </w:r>
          </w:p>
        </w:tc>
        <w:tc>
          <w:tcPr>
            <w:tcW w:w="0" w:type="dxa"/>
            <w:vAlign w:val="bottom"/>
          </w:tcPr>
          <w:p>
            <w:pPr>
              <w:spacing w:after="0"/>
              <w:rPr>
                <w:sz w:val="1"/>
                <w:szCs w:val="1"/>
                <w:color w:val="auto"/>
              </w:rPr>
            </w:pPr>
          </w:p>
        </w:tc>
      </w:tr>
      <w:tr>
        <w:trPr>
          <w:trHeight w:val="148"/>
        </w:trPr>
        <w:tc>
          <w:tcPr>
            <w:tcW w:w="2640" w:type="dxa"/>
            <w:vAlign w:val="bottom"/>
          </w:tcPr>
          <w:p>
            <w:pPr>
              <w:ind w:left="40"/>
              <w:spacing w:after="0" w:line="148" w:lineRule="exact"/>
              <w:rPr>
                <w:sz w:val="20"/>
                <w:szCs w:val="20"/>
                <w:color w:val="auto"/>
              </w:rPr>
            </w:pPr>
            <w:r>
              <w:rPr>
                <w:rFonts w:ascii="Arial" w:cs="Arial" w:eastAsia="Arial" w:hAnsi="Arial"/>
                <w:sz w:val="13"/>
                <w:szCs w:val="13"/>
                <w:color w:val="auto"/>
                <w:w w:val="92"/>
              </w:rPr>
              <w:t>Stock-based compensation and related common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120"/>
              <w:spacing w:after="0"/>
              <w:rPr>
                <w:sz w:val="20"/>
                <w:szCs w:val="20"/>
                <w:color w:val="auto"/>
              </w:rPr>
            </w:pPr>
            <w:r>
              <w:rPr>
                <w:rFonts w:ascii="Arial" w:cs="Arial" w:eastAsia="Arial" w:hAnsi="Arial"/>
                <w:sz w:val="13"/>
                <w:szCs w:val="13"/>
                <w:color w:val="auto"/>
              </w:rPr>
              <w:t>stock issuances, net of tax</w:t>
            </w:r>
          </w:p>
        </w:tc>
        <w:tc>
          <w:tcPr>
            <w:tcW w:w="12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Sales of limited partner units of Williams Partners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L.P.</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48"/>
        </w:trPr>
        <w:tc>
          <w:tcPr>
            <w:tcW w:w="2640" w:type="dxa"/>
            <w:vAlign w:val="bottom"/>
          </w:tcPr>
          <w:p>
            <w:pPr>
              <w:ind w:left="40"/>
              <w:spacing w:after="0" w:line="148" w:lineRule="exact"/>
              <w:rPr>
                <w:sz w:val="20"/>
                <w:szCs w:val="20"/>
                <w:color w:val="auto"/>
              </w:rPr>
            </w:pPr>
            <w:r>
              <w:rPr>
                <w:rFonts w:ascii="Arial" w:cs="Arial" w:eastAsia="Arial" w:hAnsi="Arial"/>
                <w:sz w:val="13"/>
                <w:szCs w:val="13"/>
                <w:color w:val="auto"/>
              </w:rPr>
              <w:t>Changes in ownership of consolidated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120"/>
              <w:spacing w:after="0"/>
              <w:rPr>
                <w:sz w:val="20"/>
                <w:szCs w:val="20"/>
                <w:color w:val="auto"/>
              </w:rPr>
            </w:pPr>
            <w:r>
              <w:rPr>
                <w:rFonts w:ascii="Arial" w:cs="Arial" w:eastAsia="Arial" w:hAnsi="Arial"/>
                <w:sz w:val="13"/>
                <w:szCs w:val="13"/>
                <w:color w:val="auto"/>
              </w:rPr>
              <w:t>subsidiaries, net</w:t>
            </w:r>
          </w:p>
        </w:tc>
        <w:tc>
          <w:tcPr>
            <w:tcW w:w="12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1,497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(2,407)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Contributions from noncontrolling interests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increase (decrease) in equity</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3,621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5,013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2,129</w:t>
            </w:r>
          </w:p>
        </w:tc>
        <w:tc>
          <w:tcPr>
            <w:tcW w:w="0" w:type="dxa"/>
            <w:vAlign w:val="bottom"/>
          </w:tcPr>
          <w:p>
            <w:pPr>
              <w:spacing w:after="0"/>
              <w:rPr>
                <w:sz w:val="1"/>
                <w:szCs w:val="1"/>
                <w:color w:val="auto"/>
              </w:rPr>
            </w:pPr>
          </w:p>
        </w:tc>
      </w:tr>
      <w:tr>
        <w:trPr>
          <w:trHeight w:val="242"/>
        </w:trPr>
        <w:tc>
          <w:tcPr>
            <w:tcW w:w="2640" w:type="dxa"/>
            <w:vAlign w:val="bottom"/>
          </w:tcPr>
          <w:p>
            <w:pPr>
              <w:ind w:left="40"/>
              <w:spacing w:after="0"/>
              <w:rPr>
                <w:sz w:val="20"/>
                <w:szCs w:val="20"/>
                <w:color w:val="auto"/>
              </w:rPr>
            </w:pPr>
            <w:r>
              <w:rPr>
                <w:rFonts w:ascii="Arial" w:cs="Arial" w:eastAsia="Arial" w:hAnsi="Arial"/>
                <w:sz w:val="13"/>
                <w:szCs w:val="13"/>
                <w:b w:val="1"/>
                <w:bCs w:val="1"/>
                <w:color w:val="auto"/>
              </w:rPr>
              <w:t>Balance – December 31, 2017</w:t>
            </w:r>
          </w:p>
        </w:tc>
        <w:tc>
          <w:tcPr>
            <w:tcW w:w="12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18,508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6,519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16,175</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Adoption of new accounting standards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(loss)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3"/>
        </w:trPr>
        <w:tc>
          <w:tcPr>
            <w:tcW w:w="2640" w:type="dxa"/>
            <w:vAlign w:val="bottom"/>
          </w:tcPr>
          <w:p>
            <w:pPr>
              <w:ind w:left="40"/>
              <w:spacing w:after="0"/>
              <w:rPr>
                <w:sz w:val="20"/>
                <w:szCs w:val="20"/>
                <w:color w:val="auto"/>
              </w:rPr>
            </w:pPr>
            <w:r>
              <w:rPr>
                <w:rFonts w:ascii="Arial" w:cs="Arial" w:eastAsia="Arial" w:hAnsi="Arial"/>
                <w:sz w:val="13"/>
                <w:szCs w:val="13"/>
                <w:color w:val="auto"/>
              </w:rPr>
              <w:t>WPZ Merger (Note 1)</w:t>
            </w:r>
          </w:p>
        </w:tc>
        <w:tc>
          <w:tcPr>
            <w:tcW w:w="120" w:type="dxa"/>
            <w:vAlign w:val="bottom"/>
          </w:tcPr>
          <w:p>
            <w:pPr>
              <w:spacing w:after="0"/>
              <w:rPr>
                <w:sz w:val="15"/>
                <w:szCs w:val="15"/>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382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color w:val="auto"/>
              </w:rPr>
              <w:t>6,112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3"/>
                <w:szCs w:val="13"/>
                <w:color w:val="auto"/>
              </w:rPr>
              <w:t>6,491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(4,629)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1,862</w:t>
            </w:r>
          </w:p>
        </w:tc>
        <w:tc>
          <w:tcPr>
            <w:tcW w:w="0" w:type="dxa"/>
            <w:vAlign w:val="bottom"/>
          </w:tcPr>
          <w:p>
            <w:pPr>
              <w:spacing w:after="0"/>
              <w:rPr>
                <w:sz w:val="1"/>
                <w:szCs w:val="1"/>
                <w:color w:val="auto"/>
              </w:rPr>
            </w:pPr>
          </w:p>
        </w:tc>
      </w:tr>
      <w:tr>
        <w:trPr>
          <w:trHeight w:val="89"/>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preferred stock (Note 16)</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97"/>
        </w:trPr>
        <w:tc>
          <w:tcPr>
            <w:tcW w:w="2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640" w:type="dxa"/>
            <w:vAlign w:val="bottom"/>
          </w:tcPr>
          <w:p>
            <w:pPr>
              <w:ind w:left="40"/>
              <w:spacing w:after="0"/>
              <w:rPr>
                <w:sz w:val="20"/>
                <w:szCs w:val="20"/>
                <w:color w:val="auto"/>
              </w:rPr>
            </w:pPr>
            <w:r>
              <w:rPr>
                <w:rFonts w:ascii="Arial" w:cs="Arial" w:eastAsia="Arial" w:hAnsi="Arial"/>
                <w:sz w:val="13"/>
                <w:szCs w:val="13"/>
                <w:color w:val="auto"/>
                <w:w w:val="88"/>
              </w:rPr>
              <w:t>Cash dividends – common stock ($1.36 per share)</w:t>
            </w:r>
          </w:p>
        </w:tc>
        <w:tc>
          <w:tcPr>
            <w:tcW w:w="120" w:type="dxa"/>
            <w:vAlign w:val="bottom"/>
          </w:tcPr>
          <w:p>
            <w:pPr>
              <w:spacing w:after="0"/>
              <w:rPr>
                <w:sz w:val="15"/>
                <w:szCs w:val="15"/>
                <w:color w:val="auto"/>
              </w:rPr>
            </w:pPr>
          </w:p>
        </w:tc>
        <w:tc>
          <w:tcPr>
            <w:tcW w:w="8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(1,386)</w:t>
            </w:r>
          </w:p>
        </w:tc>
        <w:tc>
          <w:tcPr>
            <w:tcW w:w="0" w:type="dxa"/>
            <w:vAlign w:val="bottom"/>
          </w:tcPr>
          <w:p>
            <w:pPr>
              <w:spacing w:after="0"/>
              <w:rPr>
                <w:sz w:val="1"/>
                <w:szCs w:val="1"/>
                <w:color w:val="auto"/>
              </w:rPr>
            </w:pPr>
          </w:p>
        </w:tc>
      </w:tr>
      <w:tr>
        <w:trPr>
          <w:trHeight w:val="89"/>
        </w:trPr>
        <w:tc>
          <w:tcPr>
            <w:tcW w:w="2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and distributions to noncontrolling</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48"/>
        </w:trPr>
        <w:tc>
          <w:tcPr>
            <w:tcW w:w="2640" w:type="dxa"/>
            <w:vAlign w:val="bottom"/>
          </w:tcPr>
          <w:p>
            <w:pPr>
              <w:ind w:left="40"/>
              <w:spacing w:after="0" w:line="148" w:lineRule="exact"/>
              <w:rPr>
                <w:sz w:val="20"/>
                <w:szCs w:val="20"/>
                <w:color w:val="auto"/>
              </w:rPr>
            </w:pPr>
            <w:r>
              <w:rPr>
                <w:rFonts w:ascii="Arial" w:cs="Arial" w:eastAsia="Arial" w:hAnsi="Arial"/>
                <w:sz w:val="13"/>
                <w:szCs w:val="13"/>
                <w:color w:val="auto"/>
                <w:w w:val="92"/>
              </w:rPr>
              <w:t>Stock-based compensation and related common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120"/>
              <w:spacing w:after="0"/>
              <w:rPr>
                <w:sz w:val="20"/>
                <w:szCs w:val="20"/>
                <w:color w:val="auto"/>
              </w:rPr>
            </w:pPr>
            <w:r>
              <w:rPr>
                <w:rFonts w:ascii="Arial" w:cs="Arial" w:eastAsia="Arial" w:hAnsi="Arial"/>
                <w:sz w:val="13"/>
                <w:szCs w:val="13"/>
                <w:color w:val="auto"/>
              </w:rPr>
              <w:t>stock issuances, net of tax</w:t>
            </w:r>
          </w:p>
        </w:tc>
        <w:tc>
          <w:tcPr>
            <w:tcW w:w="12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6"/>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Sales of limited partner units of Williams Partners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L.P.</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8"/>
        </w:trPr>
        <w:tc>
          <w:tcPr>
            <w:tcW w:w="2640" w:type="dxa"/>
            <w:vAlign w:val="bottom"/>
          </w:tcPr>
          <w:p>
            <w:pPr>
              <w:ind w:left="40"/>
              <w:spacing w:after="0" w:line="148" w:lineRule="exact"/>
              <w:rPr>
                <w:sz w:val="20"/>
                <w:szCs w:val="20"/>
                <w:color w:val="auto"/>
              </w:rPr>
            </w:pPr>
            <w:r>
              <w:rPr>
                <w:rFonts w:ascii="Arial" w:cs="Arial" w:eastAsia="Arial" w:hAnsi="Arial"/>
                <w:sz w:val="13"/>
                <w:szCs w:val="13"/>
                <w:color w:val="auto"/>
              </w:rPr>
              <w:t>Changes in ownership of consolidated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120"/>
              <w:spacing w:after="0"/>
              <w:rPr>
                <w:sz w:val="20"/>
                <w:szCs w:val="20"/>
                <w:color w:val="auto"/>
              </w:rPr>
            </w:pPr>
            <w:r>
              <w:rPr>
                <w:rFonts w:ascii="Arial" w:cs="Arial" w:eastAsia="Arial" w:hAnsi="Arial"/>
                <w:sz w:val="13"/>
                <w:szCs w:val="13"/>
                <w:color w:val="auto"/>
              </w:rPr>
              <w:t>subsidiaries, net</w:t>
            </w:r>
          </w:p>
        </w:tc>
        <w:tc>
          <w:tcPr>
            <w:tcW w:w="12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Contributions from noncontrolling interests</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Deconsolidation of subsidiary (Note 6)</w:t>
            </w:r>
          </w:p>
        </w:tc>
        <w:tc>
          <w:tcPr>
            <w:tcW w:w="120" w:type="dxa"/>
            <w:vAlign w:val="bottom"/>
          </w:tcPr>
          <w:p>
            <w:pPr>
              <w:spacing w:after="0"/>
              <w:rPr>
                <w:sz w:val="22"/>
                <w:szCs w:val="22"/>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(267)</w:t>
            </w:r>
          </w:p>
        </w:tc>
        <w:tc>
          <w:tcPr>
            <w:tcW w:w="0" w:type="dxa"/>
            <w:vAlign w:val="bottom"/>
          </w:tcPr>
          <w:p>
            <w:pPr>
              <w:spacing w:after="0"/>
              <w:rPr>
                <w:sz w:val="1"/>
                <w:szCs w:val="1"/>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50"/>
        </w:trPr>
        <w:tc>
          <w:tcPr>
            <w:tcW w:w="2640" w:type="dxa"/>
            <w:vAlign w:val="bottom"/>
          </w:tcPr>
          <w:p>
            <w:pPr>
              <w:ind w:left="40"/>
              <w:spacing w:after="0"/>
              <w:rPr>
                <w:sz w:val="20"/>
                <w:szCs w:val="20"/>
                <w:color w:val="auto"/>
              </w:rPr>
            </w:pPr>
            <w:r>
              <w:rPr>
                <w:rFonts w:ascii="Arial" w:cs="Arial" w:eastAsia="Arial" w:hAnsi="Arial"/>
                <w:sz w:val="13"/>
                <w:szCs w:val="13"/>
                <w:color w:val="auto"/>
              </w:rPr>
              <w:t>Net increase (decrease) in equity</w:t>
            </w:r>
          </w:p>
        </w:tc>
        <w:tc>
          <w:tcPr>
            <w:tcW w:w="120" w:type="dxa"/>
            <w:vAlign w:val="bottom"/>
          </w:tcPr>
          <w:p>
            <w:pPr>
              <w:spacing w:after="0"/>
              <w:rPr>
                <w:sz w:val="21"/>
                <w:szCs w:val="21"/>
                <w:color w:val="auto"/>
              </w:rPr>
            </w:pPr>
          </w:p>
        </w:tc>
        <w:tc>
          <w:tcPr>
            <w:tcW w:w="700" w:type="dxa"/>
            <w:vAlign w:val="bottom"/>
          </w:tcPr>
          <w:p>
            <w:pPr>
              <w:ind w:left="460"/>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6,185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57"/>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2018</w:t>
            </w: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1,245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24,693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14,660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1,337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15,997</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558" w:right="239" w:bottom="1000" w:gutter="0" w:footer="0" w:header="0"/>
        </w:sectPr>
      </w:pPr>
    </w:p>
    <w:p>
      <w:pPr>
        <w:ind w:left="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Cash dividends – common stock ($1.52 per share)</w:t>
      </w:r>
    </w:p>
    <w:p>
      <w:pPr>
        <w:spacing w:after="0" w:line="144" w:lineRule="exact"/>
        <w:rPr>
          <w:sz w:val="20"/>
          <w:szCs w:val="20"/>
          <w:color w:val="auto"/>
        </w:rPr>
      </w:pPr>
    </w:p>
    <w:p>
      <w:pPr>
        <w:ind w:left="120" w:right="220" w:hanging="80"/>
        <w:spacing w:after="0" w:line="237" w:lineRule="auto"/>
        <w:rPr>
          <w:sz w:val="20"/>
          <w:szCs w:val="20"/>
          <w:color w:val="auto"/>
        </w:rPr>
      </w:pPr>
      <w:r>
        <w:rPr>
          <w:rFonts w:ascii="Arial" w:cs="Arial" w:eastAsia="Arial" w:hAnsi="Arial"/>
          <w:sz w:val="13"/>
          <w:szCs w:val="13"/>
          <w:color w:val="auto"/>
        </w:rPr>
        <w:t>Dividends and distributions to noncontrolling interests</w:t>
      </w:r>
    </w:p>
    <w:p>
      <w:pPr>
        <w:spacing w:after="0" w:line="29" w:lineRule="exact"/>
        <w:rPr>
          <w:sz w:val="20"/>
          <w:szCs w:val="20"/>
          <w:color w:val="auto"/>
        </w:rPr>
      </w:pPr>
    </w:p>
    <w:p>
      <w:pPr>
        <w:ind w:left="120" w:right="120" w:hanging="80"/>
        <w:spacing w:after="0" w:line="237" w:lineRule="auto"/>
        <w:rPr>
          <w:sz w:val="20"/>
          <w:szCs w:val="20"/>
          <w:color w:val="auto"/>
        </w:rPr>
      </w:pPr>
      <w:r>
        <w:rPr>
          <w:rFonts w:ascii="Arial" w:cs="Arial" w:eastAsia="Arial" w:hAnsi="Arial"/>
          <w:sz w:val="13"/>
          <w:szCs w:val="13"/>
          <w:color w:val="auto"/>
        </w:rPr>
        <w:t>Stock-based compensation and related common stock issuances, net of tax</w:t>
      </w:r>
    </w:p>
    <w:p>
      <w:pPr>
        <w:spacing w:after="0" w:line="29" w:lineRule="exact"/>
        <w:rPr>
          <w:sz w:val="20"/>
          <w:szCs w:val="20"/>
          <w:color w:val="auto"/>
        </w:rPr>
      </w:pPr>
    </w:p>
    <w:p>
      <w:pPr>
        <w:ind w:left="120" w:right="60" w:hanging="80"/>
        <w:spacing w:after="0" w:line="237" w:lineRule="auto"/>
        <w:rPr>
          <w:sz w:val="20"/>
          <w:szCs w:val="20"/>
          <w:color w:val="auto"/>
        </w:rPr>
      </w:pPr>
      <w:r>
        <w:rPr>
          <w:rFonts w:ascii="Arial" w:cs="Arial" w:eastAsia="Arial" w:hAnsi="Arial"/>
          <w:sz w:val="13"/>
          <w:szCs w:val="13"/>
          <w:color w:val="auto"/>
        </w:rPr>
        <w:t>Sale of partial interest in consolidated subsidiary (Note 3)</w:t>
      </w:r>
    </w:p>
    <w:p>
      <w:pPr>
        <w:spacing w:after="0" w:line="29" w:lineRule="exact"/>
        <w:rPr>
          <w:sz w:val="20"/>
          <w:szCs w:val="20"/>
          <w:color w:val="auto"/>
        </w:rPr>
      </w:pPr>
    </w:p>
    <w:p>
      <w:pPr>
        <w:ind w:left="120" w:right="600" w:hanging="80"/>
        <w:spacing w:after="0" w:line="307" w:lineRule="auto"/>
        <w:rPr>
          <w:sz w:val="20"/>
          <w:szCs w:val="20"/>
          <w:color w:val="auto"/>
        </w:rPr>
      </w:pPr>
      <w:r>
        <w:rPr>
          <w:rFonts w:ascii="Arial" w:cs="Arial" w:eastAsia="Arial" w:hAnsi="Arial"/>
          <w:sz w:val="11"/>
          <w:szCs w:val="11"/>
          <w:color w:val="auto"/>
        </w:rPr>
        <w:t>Changes in ownership of consolidated subsidiaries, net (Note 3)</w:t>
      </w:r>
    </w:p>
    <w:p>
      <w:pPr>
        <w:spacing w:after="0" w:line="1" w:lineRule="exact"/>
        <w:rPr>
          <w:sz w:val="20"/>
          <w:szCs w:val="20"/>
          <w:color w:val="auto"/>
        </w:rPr>
      </w:pPr>
    </w:p>
    <w:p>
      <w:pPr>
        <w:ind w:left="40" w:right="340"/>
        <w:spacing w:after="0" w:line="442" w:lineRule="auto"/>
        <w:rPr>
          <w:sz w:val="20"/>
          <w:szCs w:val="20"/>
          <w:color w:val="auto"/>
        </w:rPr>
      </w:pPr>
      <w:r>
        <w:rPr>
          <w:rFonts w:ascii="Arial" w:cs="Arial" w:eastAsia="Arial" w:hAnsi="Arial"/>
          <w:sz w:val="13"/>
          <w:szCs w:val="13"/>
          <w:color w:val="auto"/>
        </w:rPr>
        <w:t>Contributions from noncontrolling interests Deconsolidation of subsidiary (Note 4) Other</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850</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850</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(136)</w:t>
            </w:r>
          </w:p>
        </w:tc>
        <w:tc>
          <w:tcPr>
            <w:tcW w:w="640" w:type="dxa"/>
            <w:vAlign w:val="bottom"/>
          </w:tcPr>
          <w:p>
            <w:pPr>
              <w:jc w:val="right"/>
              <w:spacing w:after="0"/>
              <w:rPr>
                <w:sz w:val="20"/>
                <w:szCs w:val="20"/>
                <w:color w:val="auto"/>
              </w:rPr>
            </w:pPr>
            <w:r>
              <w:rPr>
                <w:rFonts w:ascii="Arial" w:cs="Arial" w:eastAsia="Arial" w:hAnsi="Arial"/>
                <w:sz w:val="13"/>
                <w:szCs w:val="13"/>
                <w:color w:val="auto"/>
              </w:rPr>
              <w:t>714</w:t>
            </w: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71</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71</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(1,842)</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37"/>
              <w:spacing w:after="0"/>
              <w:rPr>
                <w:sz w:val="20"/>
                <w:szCs w:val="20"/>
                <w:color w:val="auto"/>
              </w:rPr>
            </w:pPr>
            <w:r>
              <w:rPr>
                <w:rFonts w:ascii="Arial" w:cs="Arial" w:eastAsia="Arial" w:hAnsi="Arial"/>
                <w:sz w:val="13"/>
                <w:szCs w:val="13"/>
                <w:color w:val="auto"/>
              </w:rPr>
              <w:t>(1,842)</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(1,842)</w:t>
            </w:r>
          </w:p>
        </w:tc>
      </w:tr>
      <w:tr>
        <w:trPr>
          <w:trHeight w:val="324"/>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(124)</w:t>
            </w:r>
          </w:p>
        </w:tc>
        <w:tc>
          <w:tcPr>
            <w:tcW w:w="64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324"/>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2</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56</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58</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324"/>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1,334</w:t>
            </w:r>
          </w:p>
        </w:tc>
        <w:tc>
          <w:tcPr>
            <w:tcW w:w="640" w:type="dxa"/>
            <w:vAlign w:val="bottom"/>
          </w:tcPr>
          <w:p>
            <w:pPr>
              <w:jc w:val="right"/>
              <w:spacing w:after="0"/>
              <w:rPr>
                <w:sz w:val="20"/>
                <w:szCs w:val="20"/>
                <w:color w:val="auto"/>
              </w:rPr>
            </w:pPr>
            <w:r>
              <w:rPr>
                <w:rFonts w:ascii="Arial" w:cs="Arial" w:eastAsia="Arial" w:hAnsi="Arial"/>
                <w:sz w:val="13"/>
                <w:szCs w:val="13"/>
                <w:color w:val="auto"/>
              </w:rPr>
              <w:t>1,334</w:t>
            </w:r>
          </w:p>
        </w:tc>
      </w:tr>
      <w:tr>
        <w:trPr>
          <w:trHeight w:val="324"/>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17"/>
              <w:spacing w:after="0"/>
              <w:rPr>
                <w:sz w:val="20"/>
                <w:szCs w:val="20"/>
                <w:color w:val="auto"/>
              </w:rPr>
            </w:pPr>
            <w:r>
              <w:rPr>
                <w:rFonts w:ascii="Arial" w:cs="Arial" w:eastAsia="Arial" w:hAnsi="Arial"/>
                <w:sz w:val="13"/>
                <w:szCs w:val="13"/>
                <w:color w:val="auto"/>
              </w:rPr>
              <w:t>(426)</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37"/>
              <w:spacing w:after="0"/>
              <w:rPr>
                <w:sz w:val="20"/>
                <w:szCs w:val="20"/>
                <w:color w:val="auto"/>
              </w:rPr>
            </w:pPr>
            <w:r>
              <w:rPr>
                <w:rFonts w:ascii="Arial" w:cs="Arial" w:eastAsia="Arial" w:hAnsi="Arial"/>
                <w:sz w:val="13"/>
                <w:szCs w:val="13"/>
                <w:color w:val="auto"/>
              </w:rPr>
              <w:t>(426)</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567</w:t>
            </w:r>
          </w:p>
        </w:tc>
        <w:tc>
          <w:tcPr>
            <w:tcW w:w="64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36</w:t>
            </w:r>
          </w:p>
        </w:tc>
        <w:tc>
          <w:tcPr>
            <w:tcW w:w="64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77"/>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(13)</w:t>
            </w:r>
          </w:p>
        </w:tc>
        <w:tc>
          <w:tcPr>
            <w:tcW w:w="6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270"/>
        </w:trPr>
        <w:tc>
          <w:tcPr>
            <w:tcW w:w="5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(8)</w:t>
            </w:r>
          </w:p>
        </w:tc>
        <w:tc>
          <w:tcPr>
            <w:tcW w:w="820" w:type="dxa"/>
            <w:vAlign w:val="bottom"/>
          </w:tcPr>
          <w:p>
            <w:pPr>
              <w:ind w:left="300"/>
              <w:spacing w:after="0"/>
              <w:rPr>
                <w:sz w:val="20"/>
                <w:szCs w:val="20"/>
                <w:color w:val="auto"/>
              </w:rPr>
            </w:pPr>
            <w:r>
              <w:rPr>
                <w:rFonts w:ascii="Arial" w:cs="Arial" w:eastAsia="Arial" w:hAnsi="Arial"/>
                <w:sz w:val="13"/>
                <w:szCs w:val="13"/>
                <w:color w:val="auto"/>
              </w:rPr>
              <w:t>—</w:t>
            </w:r>
          </w:p>
        </w:tc>
        <w:tc>
          <w:tcPr>
            <w:tcW w:w="960" w:type="dxa"/>
            <w:vAlign w:val="bottom"/>
          </w:tcPr>
          <w:p>
            <w:pPr>
              <w:ind w:left="38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437"/>
              <w:spacing w:after="0"/>
              <w:rPr>
                <w:sz w:val="20"/>
                <w:szCs w:val="20"/>
                <w:color w:val="auto"/>
              </w:rPr>
            </w:pPr>
            <w:r>
              <w:rPr>
                <w:rFonts w:ascii="Arial" w:cs="Arial" w:eastAsia="Arial" w:hAnsi="Arial"/>
                <w:sz w:val="13"/>
                <w:szCs w:val="13"/>
                <w:color w:val="auto"/>
              </w:rPr>
              <w:t>(8)</w:t>
            </w:r>
          </w:p>
        </w:tc>
        <w:tc>
          <w:tcPr>
            <w:tcW w:w="11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-1670050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-1327150</wp:posOffset>
            </wp:positionV>
            <wp:extent cx="72466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-915670</wp:posOffset>
            </wp:positionV>
            <wp:extent cx="72466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-503555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-2038985</wp:posOffset>
            </wp:positionH>
            <wp:positionV relativeFrom="paragraph">
              <wp:posOffset>-160655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560" w:space="660"/>
            <w:col w:w="8200"/>
          </w:cols>
          <w:pgMar w:left="240" w:top="558" w:right="239" w:bottom="100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640" w:type="dxa"/>
            <w:vAlign w:val="bottom"/>
          </w:tcPr>
          <w:p>
            <w:pPr>
              <w:ind w:left="40"/>
              <w:spacing w:after="0"/>
              <w:rPr>
                <w:sz w:val="20"/>
                <w:szCs w:val="20"/>
                <w:color w:val="auto"/>
              </w:rPr>
            </w:pPr>
            <w:r>
              <w:rPr>
                <w:rFonts w:ascii="Arial" w:cs="Arial" w:eastAsia="Arial" w:hAnsi="Arial"/>
                <w:sz w:val="13"/>
                <w:szCs w:val="13"/>
                <w:color w:val="auto"/>
              </w:rPr>
              <w:t>Net increase (decrease) in equity</w:t>
            </w:r>
          </w:p>
        </w:tc>
        <w:tc>
          <w:tcPr>
            <w:tcW w:w="34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(370)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1,664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367</w:t>
            </w:r>
          </w:p>
        </w:tc>
      </w:tr>
      <w:tr>
        <w:trPr>
          <w:trHeight w:val="242"/>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 December 31, 2019</w:t>
            </w:r>
          </w:p>
        </w:tc>
        <w:tc>
          <w:tcPr>
            <w:tcW w:w="34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3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16,364</w:t>
            </w:r>
          </w:p>
        </w:tc>
      </w:tr>
      <w:tr>
        <w:trPr>
          <w:trHeight w:val="20"/>
        </w:trPr>
        <w:tc>
          <w:tcPr>
            <w:tcW w:w="2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975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  Accumulated Other Comprehensive Income (Loss)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r>
        <w:rPr>
          <w:rFonts w:ascii="Arial" w:cs="Arial" w:eastAsia="Arial" w:hAnsi="Arial"/>
          <w:sz w:val="13"/>
          <w:szCs w:val="13"/>
          <w:color w:val="auto"/>
        </w:rPr>
        <w:t>.</w:t>
      </w:r>
    </w:p>
    <w:p>
      <w:pPr>
        <w:sectPr>
          <w:pgSz w:w="11900" w:h="16838" w:orient="portrait"/>
          <w:cols w:equalWidth="0" w:num="1">
            <w:col w:w="11420"/>
          </w:cols>
          <w:pgMar w:left="240" w:top="558" w:right="239" w:bottom="100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58" w:right="239" w:bottom="100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71"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37465</wp:posOffset>
            </wp:positionV>
            <wp:extent cx="2092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r>
      <w:tr>
        <w:trPr>
          <w:trHeight w:val="190"/>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66"/>
        </w:trPr>
        <w:tc>
          <w:tcPr>
            <w:tcW w:w="8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2,509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to net cash provided (used)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1,736</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(benefit) for 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(2,012)</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Equity (earnings) losses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Gain on disposition of equity-method investments (Note 6)</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of equity-method investments (Note 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(Gain) on sale of certain assets and businesses (Note 3)</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(1,095)</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of certain assets (Note 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(Gain) loss on deconsolidation of businesses (Note 6)</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stock-based awards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Regulatory charges resulting from Tax Reform (Note 1)</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776</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provided (used) by changes in current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6"/>
                <w:szCs w:val="16"/>
                <w:color w:val="auto"/>
              </w:rPr>
              <w:t>Accounts and notes receivable</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8120" w:type="dxa"/>
            <w:vAlign w:val="bottom"/>
          </w:tcPr>
          <w:p>
            <w:pPr>
              <w:ind w:left="600"/>
              <w:spacing w:after="0"/>
              <w:rPr>
                <w:sz w:val="20"/>
                <w:szCs w:val="20"/>
                <w:color w:val="auto"/>
              </w:rPr>
            </w:pPr>
            <w:r>
              <w:rPr>
                <w:rFonts w:ascii="Arial" w:cs="Arial" w:eastAsia="Arial" w:hAnsi="Arial"/>
                <w:sz w:val="16"/>
                <w:szCs w:val="16"/>
                <w:color w:val="auto"/>
              </w:rPr>
              <w:t>Other current assets and deferred charges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8120" w:type="dxa"/>
            <w:vAlign w:val="bottom"/>
          </w:tcPr>
          <w:p>
            <w:pPr>
              <w:ind w:left="60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including changes in noncurrent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Net cash provided (used) by operating activities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3,293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3,089</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(payments of) commercial paper – net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of long-term debt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(5,925)</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 of partial interest in consolidated subsidiary (Note 3)</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Dividends and distributions paid to noncontrolling interests</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for debt issuance costs</w:t>
            </w:r>
          </w:p>
        </w:tc>
        <w:tc>
          <w:tcPr>
            <w:tcW w:w="2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 net</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Net cash provided (used) by financing activities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(2,460)</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Capital expenditures (1)</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r>
      <w:tr>
        <w:trPr>
          <w:trHeight w:val="237"/>
        </w:trPr>
        <w:tc>
          <w:tcPr>
            <w:tcW w:w="8120" w:type="dxa"/>
            <w:vAlign w:val="bottom"/>
          </w:tcPr>
          <w:p>
            <w:pPr>
              <w:ind w:left="420"/>
              <w:spacing w:after="0"/>
              <w:rPr>
                <w:sz w:val="20"/>
                <w:szCs w:val="20"/>
                <w:color w:val="auto"/>
              </w:rPr>
            </w:pPr>
            <w:r>
              <w:rPr>
                <w:rFonts w:ascii="Arial" w:cs="Arial" w:eastAsia="Arial" w:hAnsi="Arial"/>
                <w:sz w:val="16"/>
                <w:szCs w:val="16"/>
                <w:color w:val="auto"/>
              </w:rPr>
              <w:t>Dispositions – net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in aid of construction</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sale of businesses, net of cash divested</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2,067</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businesses, net of cash acquired (Note 3)</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Proceeds from dispositions of equity-method investments (Note 6)</w:t>
            </w:r>
          </w:p>
        </w:tc>
        <w:tc>
          <w:tcPr>
            <w:tcW w:w="26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and contributions to equity-method investments (Note 6)</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 net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(used)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Increase (decrease) in cash and cash equivalents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729</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899</w:t>
            </w:r>
          </w:p>
        </w:tc>
      </w:tr>
      <w:tr>
        <w:trPr>
          <w:trHeight w:val="18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_________</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(1) Increases to property, plant, and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(2,662)</w:t>
            </w: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related accounts payable and 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r>
      <w:tr>
        <w:trPr>
          <w:trHeight w:val="244"/>
        </w:trPr>
        <w:tc>
          <w:tcPr>
            <w:tcW w:w="812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(2,399)</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337" w:right="239" w:bottom="161" w:gutter="0" w:footer="0" w:header="0"/>
        </w:sectPr>
      </w:pPr>
    </w:p>
    <w:p>
      <w:pPr>
        <w:jc w:val="center"/>
        <w:ind w:right="-19"/>
        <w:spacing w:after="0"/>
        <w:rPr>
          <w:sz w:val="20"/>
          <w:szCs w:val="20"/>
          <w:color w:val="auto"/>
        </w:rPr>
      </w:pPr>
      <w:r>
        <w:rPr>
          <w:rFonts w:ascii="Arial" w:cs="Arial" w:eastAsia="Arial" w:hAnsi="Arial"/>
          <w:sz w:val="15"/>
          <w:szCs w:val="15"/>
          <w:color w:val="auto"/>
        </w:rPr>
        <w:t>See accompanying notes</w:t>
      </w:r>
      <w:r>
        <w:rPr>
          <w:rFonts w:ascii="Arial" w:cs="Arial" w:eastAsia="Arial" w:hAnsi="Arial"/>
          <w:sz w:val="9"/>
          <w:szCs w:val="9"/>
          <w:color w:val="auto"/>
        </w:rPr>
        <w:t>.</w:t>
      </w:r>
    </w:p>
    <w:p>
      <w:pPr>
        <w:sectPr>
          <w:pgSz w:w="11900" w:h="16838" w:orient="portrait"/>
          <w:cols w:equalWidth="0" w:num="1">
            <w:col w:w="11420"/>
          </w:cols>
          <w:pgMar w:left="240" w:top="337" w:right="239" w:bottom="161"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9019"/>
          </w:cols>
          <w:pgMar w:left="1440" w:top="125"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740"/>
        <w:spacing w:after="0" w:line="456" w:lineRule="auto"/>
        <w:rPr>
          <w:sz w:val="20"/>
          <w:szCs w:val="20"/>
          <w:color w:val="auto"/>
        </w:rPr>
      </w:pPr>
      <w:r>
        <w:rPr>
          <w:rFonts w:ascii="Arial" w:cs="Arial" w:eastAsia="Arial" w:hAnsi="Arial"/>
          <w:sz w:val="18"/>
          <w:szCs w:val="18"/>
          <w:b w:val="1"/>
          <w:bCs w:val="1"/>
          <w:color w:val="auto"/>
        </w:rPr>
        <w:t xml:space="preserve">Note 1 – General, Description of Business, Basis of Presentation, and Summary of Significant Accounting Policies </w:t>
      </w:r>
      <w:r>
        <w:rPr>
          <w:rFonts w:ascii="Arial" w:cs="Arial" w:eastAsia="Arial" w:hAnsi="Arial"/>
          <w:sz w:val="18"/>
          <w:szCs w:val="18"/>
          <w:b w:val="1"/>
          <w:bCs w:val="1"/>
          <w:i w:val="1"/>
          <w:iCs w:val="1"/>
          <w:color w:val="auto"/>
        </w:rPr>
        <w:t>General</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Unless the context clearly indicates otherwise, references in this report to “Williams,” “we,” “our,” “us,” or like terms refer to The Williams Companies, Inc. and its subsidiaries. Unless the context clearly indicates otherwise, references to “Williams,” “we,” “our,” and “us” include the operations in which we own interests accounted for as equity-method investments that are not consolidated in our financial statements. When we refer to our equity investees by name, we are referring exclusively to their businesses and operations.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WPZ Merger</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August 10, 2018, we completed our merger with Williams Partners L.P. (WPZ), our previously consolidated master limited partnership, pursuant to which we acquired all of the approximately 256 million publicly held outstanding common units of WPZ in exchange for 382 million shares of our common stock (WPZ Merger). Williams continued as the surviving entity. The WPZ Merger was accounted for as a noncash equity transaction resulting in increases to </w:t>
      </w: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of $382 million,</w:t>
      </w:r>
      <w:r>
        <w:rPr>
          <w:rFonts w:ascii="Arial" w:cs="Arial" w:eastAsia="Arial" w:hAnsi="Arial"/>
          <w:sz w:val="18"/>
          <w:szCs w:val="18"/>
          <w:i w:val="1"/>
          <w:iCs w:val="1"/>
          <w:color w:val="auto"/>
        </w:rPr>
        <w:t xml:space="preserve"> Capital in excess of par value </w:t>
      </w:r>
      <w:r>
        <w:rPr>
          <w:rFonts w:ascii="Arial" w:cs="Arial" w:eastAsia="Arial" w:hAnsi="Arial"/>
          <w:sz w:val="18"/>
          <w:szCs w:val="18"/>
          <w:color w:val="auto"/>
        </w:rPr>
        <w:t>of $6.112 billion, and</w:t>
      </w:r>
      <w:r>
        <w:rPr>
          <w:rFonts w:ascii="Arial" w:cs="Arial" w:eastAsia="Arial" w:hAnsi="Arial"/>
          <w:sz w:val="18"/>
          <w:szCs w:val="18"/>
          <w:i w:val="1"/>
          <w:iCs w:val="1"/>
          <w:color w:val="auto"/>
        </w:rPr>
        <w:t xml:space="preserve"> Regulatory assets, deferred charges, and other </w:t>
      </w:r>
      <w:r>
        <w:rPr>
          <w:rFonts w:ascii="Arial" w:cs="Arial" w:eastAsia="Arial" w:hAnsi="Arial"/>
          <w:sz w:val="18"/>
          <w:szCs w:val="18"/>
          <w:color w:val="auto"/>
        </w:rPr>
        <w:t>of $33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decreases to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(AOCI) of $3 million, </w:t>
      </w:r>
      <w:r>
        <w:rPr>
          <w:rFonts w:ascii="Arial" w:cs="Arial" w:eastAsia="Arial" w:hAnsi="Arial"/>
          <w:sz w:val="18"/>
          <w:szCs w:val="18"/>
          <w:i w:val="1"/>
          <w:iCs w:val="1"/>
          <w:color w:val="auto"/>
        </w:rPr>
        <w:t>Noncontrolling interests in consolidated subsidiaries</w:t>
      </w:r>
      <w:r>
        <w:rPr>
          <w:rFonts w:ascii="Arial" w:cs="Arial" w:eastAsia="Arial" w:hAnsi="Arial"/>
          <w:sz w:val="18"/>
          <w:szCs w:val="18"/>
          <w:color w:val="auto"/>
        </w:rPr>
        <w:t xml:space="preserve"> of $4.629 billion, and </w:t>
      </w:r>
      <w:r>
        <w:rPr>
          <w:rFonts w:ascii="Arial" w:cs="Arial" w:eastAsia="Arial" w:hAnsi="Arial"/>
          <w:sz w:val="18"/>
          <w:szCs w:val="18"/>
          <w:i w:val="1"/>
          <w:iCs w:val="1"/>
          <w:color w:val="auto"/>
        </w:rPr>
        <w:t>Deferred income tax liabilities</w:t>
      </w:r>
      <w:r>
        <w:rPr>
          <w:rFonts w:ascii="Arial" w:cs="Arial" w:eastAsia="Arial" w:hAnsi="Arial"/>
          <w:sz w:val="18"/>
          <w:szCs w:val="18"/>
          <w:color w:val="auto"/>
        </w:rPr>
        <w:t xml:space="preserve"> of $1.829 billion in the Consolidated Balance Sheet. Prior to the completion of the WPZ Merger and pursuant to its distribution reinvestment program, WPZ had issued common units to the public in 2018 and 2017 associated with reinvested distributions of $46 million and $61 million, respectively.</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Repositioning</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we entered into agreements with WPZ, wherein we permanently waived the general partner’s incentive distribution rights and converted our 2 percent general partner interest in WPZ to a noneconomic interest in exchange for 289 million newly issued WPZ common units. Pursuant to this agreement, we also purchased approximately 277 thousand WPZ common units for $10 million. Additionally, we purchased approximately 59 million common units of WPZ at a price of $36.08586 per unit in a private placement transaction, funded with proceeds from our equity offering (see Note 16 – Stockholders’ Equity). According to the terms of this agreement, concurrent with WPZ’s quarterly distributions in February 2017 and May 2017, we paid additional consideration totaling $56 million to WPZ for these units.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Delaware corporation whose common stock is listed and traded on the New York Stock Exchange. Our operations are located in the United States and are presented within the following reportable segments: Atlantic-Gulf, Northeast G&amp;P, and West, consistent with the manner in which our chief operating decision maker evaluates performance and allocates resources. All remaining business activities as well as corporate activities are included in Other.</w:t>
      </w:r>
    </w:p>
    <w:p>
      <w:pPr>
        <w:spacing w:after="0" w:line="10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Atlantic-Gulf is comprised of our interstate natural gas pipeline, Transcontinental Gas Pipe Line Company, LLC (Transco), and natural gas gathering and processing and crude oil production handling and transportation assets in the Gulf Coast region, including a 51 percent interest in Gulfstar One LLC (Gulfstar One) (a consolidated variable interest entity, or VIE), which is a proprietary floating production system, as well as a 50 percent equity-method investment in Gulfstream Natural Gas System, L.L.C. (Gulfstream), a 60 percent equity-method investment in Discovery Producer Services LLC (Discovery), and, at December 31, 2019, a 41 percent equity-method investment in Constitution Pipeline Company, LLC (Constitution) (see Note 4 – Variable Interest Entities).</w:t>
      </w:r>
    </w:p>
    <w:p>
      <w:pPr>
        <w:spacing w:after="0" w:line="118" w:lineRule="exact"/>
        <w:rPr>
          <w:sz w:val="20"/>
          <w:szCs w:val="20"/>
          <w:color w:val="auto"/>
        </w:rPr>
      </w:pPr>
    </w:p>
    <w:p>
      <w:pPr>
        <w:jc w:val="both"/>
        <w:ind w:left="60" w:firstLine="324"/>
        <w:spacing w:after="0" w:line="259" w:lineRule="auto"/>
        <w:rPr>
          <w:sz w:val="20"/>
          <w:szCs w:val="20"/>
          <w:color w:val="auto"/>
        </w:rPr>
      </w:pPr>
      <w:r>
        <w:rPr>
          <w:rFonts w:ascii="Arial" w:cs="Arial" w:eastAsia="Arial" w:hAnsi="Arial"/>
          <w:sz w:val="18"/>
          <w:szCs w:val="18"/>
          <w:color w:val="auto"/>
        </w:rPr>
        <w:t>Northeast G&amp;P is comprised of our midstream gathering, processing, and fractionation businesses in the Marcellus Shale region primarily in Pennsylvania and New York, and the Utica Shale region of eastern Ohio, as well as a 66 percent interest in Cardinal Gas Services, L.L.C. (Cardinal) (a consolidated VIE) which operates in Ohio, a 69 percent equity-method investment in Laurel Mountain Midstream, LLC (Laurel Mountain), a 58 percent equity-method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93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investment in Caiman Energy II, LLC (Caiman II), and Appalachia Midstream Services, LLC, which owns equity-method investments with an approximate average 66 percent interest in multiple gas gathering systems in the Marcellus Shale (Appalachia Midstream Investments). Northeast G&amp;P includes a 65 percent interest in Ohio Valley Midstream LLC (Northeast JV) (a consolidated VIE) which operates in West Virginia, Ohio, and Pennsylvania. The Northeast JV includes our Ohio Valley assets and Utica East Ohio Midstream LLC (UEOM), a former equity-method investment in which we acquired the remaining ownership interest in March 2019 (see Note 3 – Acquisitions and Divestitures).</w:t>
      </w:r>
    </w:p>
    <w:p>
      <w:pPr>
        <w:spacing w:after="0" w:line="148" w:lineRule="exact"/>
        <w:rPr>
          <w:sz w:val="20"/>
          <w:szCs w:val="20"/>
          <w:color w:val="auto"/>
        </w:rPr>
      </w:pPr>
    </w:p>
    <w:p>
      <w:pPr>
        <w:jc w:val="both"/>
        <w:ind w:left="60" w:firstLine="324"/>
        <w:spacing w:after="0" w:line="288" w:lineRule="auto"/>
        <w:rPr>
          <w:sz w:val="20"/>
          <w:szCs w:val="20"/>
          <w:color w:val="auto"/>
        </w:rPr>
      </w:pPr>
      <w:r>
        <w:rPr>
          <w:rFonts w:ascii="Arial" w:cs="Arial" w:eastAsia="Arial" w:hAnsi="Arial"/>
          <w:sz w:val="16"/>
          <w:szCs w:val="16"/>
          <w:color w:val="auto"/>
        </w:rPr>
        <w:t>West is comprised of our interstate natural gas pipeline, Northwest Pipeline LLC (Northwest Pipeline), and our gas gathering, processing, and treating operations in the Rocky Mountain region of Colorado and Wyoming, the Barnett Shale region of north-central Texas, the Eagle Ford Shale region of south Texas, the Haynesville Shale region of northwest Louisiana, and the Mid-Continent region which includes the Anadarko, Arkoma, Delaware, and Permian basins. This segment also includes our natural gas liquid (NGL) and natural gas marketing business, storage facilities, an undivided 50 percent interest in an NGL fractionator near Conway, Kansas, a 50 percent equity-method investment in Overland Pass Pipeline Company LLC (OPPL), a 50 percent equity-method investment in Rocky Mountain Midstream Holdings LLC (RMM), and a 15 percent equity-method investment in Brazos Permian II, LLC (Brazos Permian II). West also included our former natural gas gathering and processing assets in the Four Corners area of New Mexico and Colorado, which were sold during the fourth quarter of 2018 (see Note 3 – Acquisitions and Divestitures), our former 50 percent interest in Jackalope Gas Gathering Services, L.L.C. (Jackalope) (an equity-method investment following deconsolidation as of June 30, 2018), which was sold in April 2019, and our previously owned 50 percent equity-method investment in the Delaware basin gas gathering system (DBJV) (see Note 6 – Investing Activities).</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includes minor business activities that are not operating segments, as well as corporate operations. Other also includes our previously owned operations, including an 88.5 percent undivided interest in an olefins production facility in Geismar, Louisiana (Geismar Interest), which was sold in July 2017 (see Note 3 – Acquisitions and Divestitures), and a refinery grade propylene splitter in the Gulf region, which was sold in June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indicated otherwise, the information in the Notes to Consolidated Financial Statements relates to our continuing operations.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the carrying value of certain of our property, plant, and equipment and other identifiable intangible assets, notably certain acquired assets accounted for as business combinations between 2012 and 2014, may be in excess of current fair value. However, the carrying value of these assets, in our judgment, continues to be recoverable based on our evaluation of undiscounted future cash flows. It is reasonably possible that future strategic decisions, including transactions such as monetizing non-core assets or contributing assets to new ventures with third parties, as well as unfavorable changes in expected producer activities could impact our assumptions and ultimately result in impairments of these assets. Such transactions or developments may also indicate that certain of our equity-method investments have experienced other-than-temporary declines in value, which could result in impairment, or that the fair value of the reporting unit for our goodwill is less than its carrying amount, which would result in impairment.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consolidated financial statements include the accounts of all entities that we control and our proportionate interest in the accounts of certain ventures in which we own an undivided interest. Our judgment is required to evaluate whether we control an entity. Key areas of that evaluation include:</w:t>
      </w:r>
    </w:p>
    <w:p>
      <w:pPr>
        <w:spacing w:after="0" w:line="9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Determining whether an entity is a VIE;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93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0" w:hanging="328"/>
        <w:spacing w:after="0" w:line="301" w:lineRule="auto"/>
        <w:tabs>
          <w:tab w:leader="none" w:pos="660" w:val="left"/>
        </w:tabs>
        <w:numPr>
          <w:ilvl w:val="0"/>
          <w:numId w:val="59"/>
        </w:numPr>
        <w:rPr>
          <w:rFonts w:ascii="Arial" w:cs="Arial" w:eastAsia="Arial" w:hAnsi="Arial"/>
          <w:sz w:val="21"/>
          <w:szCs w:val="21"/>
          <w:color w:val="auto"/>
        </w:rPr>
      </w:pPr>
      <w:r>
        <w:rPr>
          <w:rFonts w:ascii="Arial" w:cs="Arial" w:eastAsia="Arial" w:hAnsi="Arial"/>
          <w:sz w:val="17"/>
          <w:szCs w:val="17"/>
          <w:color w:val="auto"/>
        </w:rPr>
        <w:t>Determining whether we are the primary beneficiary of a VIE, including evaluating which activities of the VIE most significantly impact its economic performance and the degree of power that we and our related parties have over those activities through our variable interests;</w:t>
      </w:r>
    </w:p>
    <w:p>
      <w:pPr>
        <w:spacing w:after="0" w:line="181" w:lineRule="exact"/>
        <w:rPr>
          <w:rFonts w:ascii="Arial" w:cs="Arial" w:eastAsia="Arial" w:hAnsi="Arial"/>
          <w:sz w:val="21"/>
          <w:szCs w:val="21"/>
          <w:color w:val="auto"/>
        </w:rPr>
      </w:pPr>
    </w:p>
    <w:p>
      <w:pPr>
        <w:ind w:left="660" w:hanging="328"/>
        <w:spacing w:after="0" w:line="271"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Identifying events that require reconsideration of whether an entity is a VIE and continuously evaluating whether we are a VIE’s primary beneficiary;</w:t>
      </w:r>
    </w:p>
    <w:p>
      <w:pPr>
        <w:spacing w:after="0" w:line="209"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Evaluating whether other owners in entities that are not VIEs are able to effectively participate in significant decisions that would be expected to be made in the ordinary course of business such that we do not have the power to control such entities.</w:t>
      </w:r>
    </w:p>
    <w:p>
      <w:pPr>
        <w:spacing w:after="0" w:line="1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apply the equity method of accounting to investments over which we exercise significant influence but do not control. Distributions received from equity-method investees are presented in the Consolidated Statement of Cash Flows according to the nature of the distributions approach, which classifies distributions received from equity-method investees as either returns on investment (cash inflows from operating activities) or returns of investment (cash inflows from investing activities) based on the nature of the activities of the equity-method investee that generated the distribution.</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Equity-method investment basis differences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Differences between the cost of our equity-method investments and our underlying equity in the net assets of investees are accounted for as if the investees were consolidated subsidiaries. </w:t>
      </w:r>
      <w:r>
        <w:rPr>
          <w:rFonts w:ascii="Arial" w:cs="Arial" w:eastAsia="Arial" w:hAnsi="Arial"/>
          <w:sz w:val="18"/>
          <w:szCs w:val="18"/>
          <w:i w:val="1"/>
          <w:iCs w:val="1"/>
          <w:color w:val="auto"/>
        </w:rPr>
        <w:t>Equity earnings (losses)</w:t>
      </w:r>
      <w:r>
        <w:rPr>
          <w:rFonts w:ascii="Arial" w:cs="Arial" w:eastAsia="Arial" w:hAnsi="Arial"/>
          <w:sz w:val="18"/>
          <w:szCs w:val="18"/>
          <w:color w:val="auto"/>
        </w:rPr>
        <w:t xml:space="preserve"> in the Consolidated Statement of Operations includes our allocable share of net income (loss) of investees adjusted for any depreciation and amortization, as applicable, associated with basis differences.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those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estimates and assumptions include:</w:t>
      </w:r>
    </w:p>
    <w:p>
      <w:pPr>
        <w:spacing w:after="0" w:line="189"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Impairment assessments of investments, property, plant, and equipment, goodwill, and other identifiable intangible assets;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Litigation-related contingencies;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Environmental remediation obligations;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Depreciation and/or amortization of long-lived assets;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Depreciation and/or amortization of equity-method investment basis differences;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Asset retirement obligations (AROs);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Pension and postretirement valuation variables;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Measurement of regulatory liabilities;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93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21"/>
          <w:szCs w:val="21"/>
          <w:color w:val="auto"/>
        </w:rPr>
      </w:pPr>
      <w:r>
        <w:rPr>
          <w:rFonts w:ascii="Arial" w:cs="Arial" w:eastAsia="Arial" w:hAnsi="Arial"/>
          <w:sz w:val="17"/>
          <w:szCs w:val="17"/>
          <w:color w:val="auto"/>
        </w:rPr>
        <w:t>Measurement of deferred income tax assets and liabilities, including assumptions related to the realization of deferred income tax assets;</w:t>
      </w:r>
    </w:p>
    <w:p>
      <w:pPr>
        <w:spacing w:after="0" w:line="165" w:lineRule="exact"/>
        <w:rPr>
          <w:rFonts w:ascii="Arial" w:cs="Arial" w:eastAsia="Arial" w:hAnsi="Arial"/>
          <w:sz w:val="21"/>
          <w:szCs w:val="21"/>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Revenue recognition, including estimates utilized in recognition of deferred revenue;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Purchase price accounting.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estimates are discussed further throughout these notes.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Regulatory accounting</w:t>
      </w:r>
    </w:p>
    <w:p>
      <w:pPr>
        <w:spacing w:after="0" w:line="18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Transco and Northwest Pipeline are regulated by the Federal Energy Regulatory Commission (FERC). Their rates, which are established by the FERC, are designed to recover the costs of providing the regulated services, and their competitive environment makes it probable that such rates can be charged and collected. Therefore, we have determined that it is appropriate under Accounting Standards Codification (ASC) Topic 980, “Regulated Operations,” (ASC</w:t>
      </w:r>
    </w:p>
    <w:p>
      <w:pPr>
        <w:jc w:val="both"/>
        <w:ind w:firstLine="8"/>
        <w:spacing w:after="0" w:line="268" w:lineRule="auto"/>
        <w:tabs>
          <w:tab w:leader="none" w:pos="384"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account for and report regulatory assets and liabilities related to these operations consistent with the economic effect of the way in which their rates are established. Accounting for these operations that are regulated can differ from the accounting requirements for nonregulated operations. For example, for regulated operations, allowance for funds used during construction (AFUDC) represents the estimated cost of debt and equity funds applicable to utility plant in the process of construction and is capitalized as a cost of property, plant, and equipment because it constitutes an actual cost of construction under established regulatory practices; nonregulated operations are only allowed to capitalize the cost of debt funds related to construction activities, while a component for equity is prohibited. The components of our regulatory assets and liabilities relate to the effects of deferred taxes on equity funds used during construction, asset retirement obligations, fuel cost differentials, levelized incremental depreciation, negative salvage, pension and other postretirement benefits, and rate allowances for deferred income taxes at a historically higher federal income tax rate.</w:t>
      </w:r>
    </w:p>
    <w:p>
      <w:pPr>
        <w:spacing w:after="0" w:line="14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December 2017, the Tax Cuts and Jobs Act (Tax Reform) was enacted, which, among other things, reduced the federal corporate income tax rate from 35 percent to 21 percent (see Note 8 – Provision (Benefit) for Income Taxes). In accordance with ASC 980-740-25-2, Transco and Northwest Pipeline have recognized regulatory liabilities to reflect the probable return to customers through future rates of the future decrease in income taxes payable associated with Tax Reform. These liabilities represent an obligation to return amounts directly to our customers. While a majority of our customers have entered into tariff rates based on our cost-of-service proceedings and related rate base therein, certain other contracts with customers reflect contractually-based rates that are designed to recover the cost of providing those services, including an allowance for income taxes, with no expected future rate adjustment for the term of those contracts. This relative mix of contracts for services was considered in determining the probable amount to be returned to customers through future rates. The regulatory liabilities were recorded in December 2017 through regulatory charges to operating income totaling $674 million. Adjustments recorded in 2018 decreased this amount by $17 million. For Transco, the timing and actual amount of the return to the customers is stated in its formal stipulation and agreement that has been filed, subject to FERC approval (See Note 19 – Contingent Liabilities and Commitments).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Certain of our equity-method investees recorded similar regulatory liabilities, for which our </w:t>
      </w:r>
      <w:r>
        <w:rPr>
          <w:rFonts w:ascii="Arial" w:cs="Arial" w:eastAsia="Arial" w:hAnsi="Arial"/>
          <w:sz w:val="18"/>
          <w:szCs w:val="18"/>
          <w:i w:val="1"/>
          <w:iCs w:val="1"/>
          <w:color w:val="auto"/>
        </w:rPr>
        <w:t>Equity earnings (losses)</w:t>
      </w:r>
      <w:r>
        <w:rPr>
          <w:rFonts w:ascii="Arial" w:cs="Arial" w:eastAsia="Arial" w:hAnsi="Arial"/>
          <w:sz w:val="18"/>
          <w:szCs w:val="18"/>
          <w:color w:val="auto"/>
        </w:rPr>
        <w:t xml:space="preserve"> in the Consolidated Statement of Operations for 2017 were reduced by $11 million related to our proportionate share of the associated regulatory charges.</w:t>
      </w:r>
    </w:p>
    <w:p>
      <w:pPr>
        <w:spacing w:after="0" w:line="13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Our regulatory assets associated with the effects of deferred taxes on equity funds used during construction were also impacted by Tax Reform and were reduced by $102 million in December 2017 through a charge to </w:t>
      </w:r>
      <w:r>
        <w:rPr>
          <w:rFonts w:ascii="Arial" w:cs="Arial" w:eastAsia="Arial" w:hAnsi="Arial"/>
          <w:sz w:val="16"/>
          <w:szCs w:val="16"/>
          <w:i w:val="1"/>
          <w:iCs w:val="1"/>
          <w:color w:val="auto"/>
        </w:rPr>
        <w:t>Other income (expense) – net</w:t>
      </w:r>
      <w:r>
        <w:rPr>
          <w:rFonts w:ascii="Arial" w:cs="Arial" w:eastAsia="Arial" w:hAnsi="Arial"/>
          <w:sz w:val="16"/>
          <w:szCs w:val="16"/>
          <w:color w:val="auto"/>
        </w:rPr>
        <w:t xml:space="preserve"> below </w:t>
      </w:r>
      <w:r>
        <w:rPr>
          <w:rFonts w:ascii="Arial" w:cs="Arial" w:eastAsia="Arial" w:hAnsi="Arial"/>
          <w:sz w:val="16"/>
          <w:szCs w:val="16"/>
          <w:i w:val="1"/>
          <w:iCs w:val="1"/>
          <w:color w:val="auto"/>
        </w:rPr>
        <w:t>Operating income (loss)</w:t>
      </w:r>
      <w:r>
        <w:rPr>
          <w:rFonts w:ascii="Arial" w:cs="Arial" w:eastAsia="Arial" w:hAnsi="Arial"/>
          <w:sz w:val="16"/>
          <w:szCs w:val="16"/>
          <w:color w:val="auto"/>
        </w:rPr>
        <w:t xml:space="preserve"> in the Consolidated Statement of Operations (see Note 7 – Other Income and Expenses). This amount, along with the previously described charges for establishing the regulatory liabilities resulting from Tax Reform, is reported within </w:t>
      </w:r>
      <w:r>
        <w:rPr>
          <w:rFonts w:ascii="Arial" w:cs="Arial" w:eastAsia="Arial" w:hAnsi="Arial"/>
          <w:sz w:val="16"/>
          <w:szCs w:val="16"/>
          <w:i w:val="1"/>
          <w:iCs w:val="1"/>
          <w:color w:val="auto"/>
        </w:rPr>
        <w:t>Regulatory charges resulting from Tax Reform</w:t>
      </w:r>
      <w:r>
        <w:rPr>
          <w:rFonts w:ascii="Arial" w:cs="Arial" w:eastAsia="Arial" w:hAnsi="Arial"/>
          <w:sz w:val="16"/>
          <w:szCs w:val="16"/>
          <w:color w:val="auto"/>
        </w:rPr>
        <w:t xml:space="preserve"> within the Consolidated Statement of Cash Flows.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93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current and noncurrent regulatory asset and liability balances for the years ended December 31, 2019 and 2018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(Millions)</w:t>
            </w:r>
          </w:p>
        </w:tc>
        <w:tc>
          <w:tcPr>
            <w:tcW w:w="74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assets reported within </w:t>
            </w:r>
            <w:r>
              <w:rPr>
                <w:rFonts w:ascii="Arial" w:cs="Arial" w:eastAsia="Arial" w:hAnsi="Arial"/>
                <w:sz w:val="18"/>
                <w:szCs w:val="18"/>
                <w:i w:val="1"/>
                <w:iCs w:val="1"/>
                <w:color w:val="auto"/>
              </w:rPr>
              <w:t>Other current assets and deferred charges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 xml:space="preserve">Noncurrent assets reported within </w:t>
            </w:r>
            <w:r>
              <w:rPr>
                <w:rFonts w:ascii="Arial" w:cs="Arial" w:eastAsia="Arial" w:hAnsi="Arial"/>
                <w:sz w:val="18"/>
                <w:szCs w:val="18"/>
                <w:i w:val="1"/>
                <w:iCs w:val="1"/>
                <w:color w:val="auto"/>
              </w:rPr>
              <w:t>Regulatory assets, deferred charges, and other</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495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Current liabilities reported within </w:t>
            </w:r>
            <w:r>
              <w:rPr>
                <w:rFonts w:ascii="Arial" w:cs="Arial" w:eastAsia="Arial" w:hAnsi="Arial"/>
                <w:sz w:val="18"/>
                <w:szCs w:val="18"/>
                <w:i w:val="1"/>
                <w:iCs w:val="1"/>
                <w:color w:val="auto"/>
              </w:rPr>
              <w:t>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 xml:space="preserve">Noncurrent liabilities reported within </w:t>
            </w:r>
            <w:r>
              <w:rPr>
                <w:rFonts w:ascii="Arial" w:cs="Arial" w:eastAsia="Arial" w:hAnsi="Arial"/>
                <w:sz w:val="18"/>
                <w:szCs w:val="18"/>
                <w:i w:val="1"/>
                <w:iCs w:val="1"/>
                <w:color w:val="auto"/>
              </w:rPr>
              <w:t>Regulatory liabilities, deferred income, and other</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1,321</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regulated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in the Consolidated Balance Sheet consist of highly liquid investments with original maturities of three months or less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Accounts receivable are carried on a gross basis, with no discounting, less an allowance for doubtful accounts. We estimate the allowance for doubtful accounts based on existing economic conditions, the financial condition of our customers, and the amount and age of past due accounts. We do not offer extended payment terms and typically receive payment within one month. We consider receivables past due if full payment is not received by the contractual due date. Interest income related to past due accounts receivable is generally recognized at the time full payment is received or collectability is assured. Past due accounts are generally written off against the allowance for doubtful accounts only after all collection attempts have been exhausted.</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 the Consolidated Balance Sheet primarily consist of NGLs, natural gas in underground storage, and materials and supplies and are stated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lower of cost or net realizable value. The cost of inventories is primarily determined using the average-cost method.</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Property, plant, and equipment</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plant, and equipment is initially recorded at cost. We base the carrying value of these assets on estimates, assumptions, and judgments relative to capitalized costs, useful lives, and salvage values.</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regulated entities, Northwest Pipeline and Transco provide for depreciation using the straight-line method at FERC-prescribed rates. Depreciation for nonregulated entities is provided primarily on the straight-line method over estimated useful lives, except for certain offshore facilities that apply an accelerated depreciation method.</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Gains or losses from the ordinary sale or retirement of property, plant, and equipment for regulated pipelines are credited or charged to accumulated depreciation. Other gains or losses are recorded in </w:t>
      </w:r>
      <w:r>
        <w:rPr>
          <w:rFonts w:ascii="Arial" w:cs="Arial" w:eastAsia="Arial" w:hAnsi="Arial"/>
          <w:sz w:val="18"/>
          <w:szCs w:val="18"/>
          <w:i w:val="1"/>
          <w:iCs w:val="1"/>
          <w:color w:val="auto"/>
        </w:rPr>
        <w:t>Other (income) expense – net</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Operating income (loss)</w:t>
      </w:r>
      <w:r>
        <w:rPr>
          <w:rFonts w:ascii="Arial" w:cs="Arial" w:eastAsia="Arial" w:hAnsi="Arial"/>
          <w:sz w:val="18"/>
          <w:szCs w:val="18"/>
          <w:color w:val="auto"/>
        </w:rPr>
        <w:t xml:space="preserve"> in the Consolidated Statement of Operations.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Ordinary maintenance and repair costs are generally expensed as incurred. Costs of major renewals and replacements are capitalized as property, plant, and equipment.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 a liability and increase the basis in the underlying asset for the present value of each expected future ARO at the time the liability is initially incurred, typically when the asset is acquired or constructed. As regulated</w:t>
      </w:r>
    </w:p>
    <w:p>
      <w:pPr>
        <w:sectPr>
          <w:pgSz w:w="11900" w:h="16838" w:orient="portrait"/>
          <w:cols w:equalWidth="0" w:num="1">
            <w:col w:w="11420"/>
          </w:cols>
          <w:pgMar w:left="240" w:top="932"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932" w:right="2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entities, Northwest Pipeline and Transco offset the depreciation of the underlying asset that is attributable to capitalized ARO cost to a regulatory asset as we expect to recover these amounts in future rates. We measure changes in the liability due to passage of time by applying an interest rate to the liability balance. This amount is recognized as an increase in the carrying amount of the liability and as a corresponding accretion expense included in </w:t>
      </w:r>
      <w:r>
        <w:rPr>
          <w:rFonts w:ascii="Arial" w:cs="Arial" w:eastAsia="Arial" w:hAnsi="Arial"/>
          <w:sz w:val="18"/>
          <w:szCs w:val="18"/>
          <w:i w:val="1"/>
          <w:iCs w:val="1"/>
          <w:color w:val="auto"/>
        </w:rPr>
        <w:t>Operating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maintenance expenses </w:t>
      </w:r>
      <w:r>
        <w:rPr>
          <w:rFonts w:ascii="Arial" w:cs="Arial" w:eastAsia="Arial" w:hAnsi="Arial"/>
          <w:sz w:val="18"/>
          <w:szCs w:val="18"/>
          <w:color w:val="auto"/>
        </w:rPr>
        <w:t>in the Consolidated Statement of Operations, except for regulated entities, for which the liability is offset by a regulatory asset.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asset is amortized commensurate with our collection of those costs in rates.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Measurements of AROs include, as a component of future expected costs, an estimate of the price that a third party would demand, and could expect to receive, for bearing the uncertainties inherent in the obligations, sometimes referred to as a market-risk premium.</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Goodwill included within </w:t>
      </w:r>
      <w:r>
        <w:rPr>
          <w:rFonts w:ascii="Arial" w:cs="Arial" w:eastAsia="Arial" w:hAnsi="Arial"/>
          <w:sz w:val="18"/>
          <w:szCs w:val="18"/>
          <w:i w:val="1"/>
          <w:iCs w:val="1"/>
          <w:color w:val="auto"/>
        </w:rPr>
        <w:t>Intangible assets – net of accumulated amortization</w:t>
      </w:r>
      <w:r>
        <w:rPr>
          <w:rFonts w:ascii="Arial" w:cs="Arial" w:eastAsia="Arial" w:hAnsi="Arial"/>
          <w:sz w:val="18"/>
          <w:szCs w:val="18"/>
          <w:color w:val="auto"/>
        </w:rPr>
        <w:t xml:space="preserve"> in the Consolidated Balance Sheet represents the excess of the consideration, plus the fair value of any noncontrolling interest or any previously held equity interest, over the fair value of the net assets acquired. It is not subject to amortization but is evaluated annually as of October 1 for impairment or more frequently if impairment indicators are present that would indicate it is more likely than not that the fair value of the reporting unit is less than its carrying amount. As part of the evaluation, we compare our estimate of the fair value of the reporting unit with its carrying value, including goodwill. If the carrying value of the reporting unit exceeds its fair value, an impairment charge is recorded for the difference (not to exceed the carrying value of goodwill). Judgments and assumptions are inherent in our management’s estimates of fair value.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intangible assets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identifiable intangible assets included within </w:t>
      </w:r>
      <w:r>
        <w:rPr>
          <w:rFonts w:ascii="Arial" w:cs="Arial" w:eastAsia="Arial" w:hAnsi="Arial"/>
          <w:sz w:val="18"/>
          <w:szCs w:val="18"/>
          <w:i w:val="1"/>
          <w:iCs w:val="1"/>
          <w:color w:val="auto"/>
        </w:rPr>
        <w:t>Intangible assets – net of accumulated amortization</w:t>
      </w:r>
      <w:r>
        <w:rPr>
          <w:rFonts w:ascii="Arial" w:cs="Arial" w:eastAsia="Arial" w:hAnsi="Arial"/>
          <w:sz w:val="18"/>
          <w:szCs w:val="18"/>
          <w:color w:val="auto"/>
        </w:rPr>
        <w:t xml:space="preserve"> in the Consolidated Balance Sheet are primarily related to gas gathering, processing, and fractionation contractual customer relationships. Our intangible assets are amortized on a straight-line basis over the period in which these assets contribute to our cash flows. We evaluate these assets for changes in the expected remaining useful lives and would reflect any changes prospectively through amortization over the revised remaining useful life.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of property, plant, and equipment, other identifiable intangible assets, and investments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our property, plant, and equipment and other identifiable intangible assets for impairment when events or changes in circumstances indicate, in our judgment, that the carrying value of such assets may not be recoverable. When an indicator of impairment has occurred, we compare our estimate of undiscounted future cash flows attributable to the assets to the carrying value of the assets to determine whether an impairment has occurred and we may apply a probability-weighted approach to consider the likelihood of different cash flow assumptions and possible outcomes including selling in the near term or holding for the remaining estimated useful life. If an impairment of the carrying value has occurred, we determine the amount of the impairment recognized in the financial statements by estimating the fair value of the assets and recording a loss for the amount that the carrying value exceeds the estimated fair value. This evaluation is performed at the lowest level for which separately identifiable cash flows exist.</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assets identified to be disposed of in the future and considered held for sale, we compare the carrying value to the estimated fair value less the cost to sell to determine if recognition of an impairment is required. Until the assets are disposed of, the estimated fair value, which includes estimated cash flows from operations until the assumed date of sale, is recalculated when related events or circumstances change.</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evaluate our investments for impairment when events or changes in circumstances indicate, in our judgment, that the carrying value of such investments may have experienced an other-than-temporary decline in value. When evidence of loss in value has occurred, we compare our estimate of fair value of the investment to the carrying value of the investment to determine whether an impairment has occurred. If the estimated fair value is less than the carrying value and we consider the decline in value to be other-than-temporary, the excess of the carrying value over the fair value is recognized in the consolidated financial statements as an impairment charge.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932"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Judgments and assumptions are inherent in our estimate of undiscounted future cash flows and an asset’s or investment’s fair value. Additionally, judgment is used to determine the probability of sale with respect to assets considered for disposal.</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Contingent liabilities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liabilities for estimated loss contingencies, including environmental matters, when we assess that a loss is probable, and the amount of the loss can be reasonably estimated. These liabilities are calculated based upon our assumptions and estimates with respect to the likelihood or amount of loss and upon advice of legal counsel, engineers, or other third parties regarding the probable outcomes of the matters. These calculations are made without consideration of any potential recovery from third parties. We recognize insurance recoveries or reimbursements from others when realizable. Revisions to these liabilities are generally reflected in income when new or different facts or information become known or circumstances change that affect the previous assumptions or estimates.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flows from revolving credit facilities and commercial paper program</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Proceeds and payments related to borrowings under our credit facilities are reflected in the financing activities in the Consolidated Statement of Cash Flows on a gross basis. Proceeds and payments related to borrowings under our commercial paper program are reflected in the financing activities in the Consolidated Statement of Cash Flows on a net basis, as the outstanding notes generally have maturity dates less than three months from the date of issuance. (See Note 15 – Debt and Banking Arrangements.)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Treasury stock</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Treasury stock purchases are accounted for under the cost method whereby the entire cost of the acquired stock is recorded as </w:t>
      </w:r>
      <w:r>
        <w:rPr>
          <w:rFonts w:ascii="Arial" w:cs="Arial" w:eastAsia="Arial" w:hAnsi="Arial"/>
          <w:sz w:val="18"/>
          <w:szCs w:val="18"/>
          <w:i w:val="1"/>
          <w:iCs w:val="1"/>
          <w:color w:val="auto"/>
        </w:rPr>
        <w:t>Treasury stock, at cost</w:t>
      </w:r>
      <w:r>
        <w:rPr>
          <w:rFonts w:ascii="Arial" w:cs="Arial" w:eastAsia="Arial" w:hAnsi="Arial"/>
          <w:sz w:val="18"/>
          <w:szCs w:val="18"/>
          <w:color w:val="auto"/>
        </w:rPr>
        <w:t xml:space="preserve"> in the Consolidated Balance Sheet. Gains and losses on the subsequent reissuance of shares are credited or charged to </w:t>
      </w:r>
      <w:r>
        <w:rPr>
          <w:rFonts w:ascii="Arial" w:cs="Arial" w:eastAsia="Arial" w:hAnsi="Arial"/>
          <w:sz w:val="18"/>
          <w:szCs w:val="18"/>
          <w:i w:val="1"/>
          <w:iCs w:val="1"/>
          <w:color w:val="auto"/>
        </w:rPr>
        <w:t>Capital in excess of par value</w:t>
      </w:r>
      <w:r>
        <w:rPr>
          <w:rFonts w:ascii="Arial" w:cs="Arial" w:eastAsia="Arial" w:hAnsi="Arial"/>
          <w:sz w:val="18"/>
          <w:szCs w:val="18"/>
          <w:color w:val="auto"/>
        </w:rPr>
        <w:t xml:space="preserve"> in the Consolidated Balance Sheet using the average-cost method.</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may utilize derivatives to manage a portion of our commodity price risk. These instruments consist primarily of swaps, futures, and forward contracts involving short- and long-term purchases and sales of energy commodities. We report the fair value of derivatives, except those for which the normal purchases and normal sales exception has been elected, in </w:t>
      </w:r>
      <w:r>
        <w:rPr>
          <w:rFonts w:ascii="Arial" w:cs="Arial" w:eastAsia="Arial" w:hAnsi="Arial"/>
          <w:sz w:val="18"/>
          <w:szCs w:val="18"/>
          <w:i w:val="1"/>
          <w:iCs w:val="1"/>
          <w:color w:val="auto"/>
        </w:rPr>
        <w:t>Other current assets and deferred charges; Regulatory assets, deferred charges,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Accrued liabilities</w:t>
      </w:r>
      <w:r>
        <w:rPr>
          <w:rFonts w:ascii="Arial" w:cs="Arial" w:eastAsia="Arial" w:hAnsi="Arial"/>
          <w:sz w:val="18"/>
          <w:szCs w:val="18"/>
          <w:color w:val="auto"/>
        </w:rPr>
        <w:t>; or</w:t>
      </w:r>
      <w:r>
        <w:rPr>
          <w:rFonts w:ascii="Arial" w:cs="Arial" w:eastAsia="Arial" w:hAnsi="Arial"/>
          <w:sz w:val="18"/>
          <w:szCs w:val="18"/>
          <w:i w:val="1"/>
          <w:iCs w:val="1"/>
          <w:color w:val="auto"/>
        </w:rPr>
        <w:t xml:space="preserve"> Regulatory liabilities, deferred income, and other </w:t>
      </w:r>
      <w:r>
        <w:rPr>
          <w:rFonts w:ascii="Arial" w:cs="Arial" w:eastAsia="Arial" w:hAnsi="Arial"/>
          <w:sz w:val="18"/>
          <w:szCs w:val="18"/>
          <w:color w:val="auto"/>
        </w:rPr>
        <w:t>in the Consolidated Balance Sheet. We determine the current and noncurrent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based on the timing of expected future cash flows of individual trades. We report these amounts on a gross basis. Additionally, we report cash collateral receivables and payables with our counterparties on a gross basis. (See Note 18 – Fair Value Measurements, Guarantees, and Concentration of Credit Risk.)</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accounting for the changes in fair value of a commodity derivative can be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ind w:left="1920"/>
              <w:spacing w:after="0"/>
              <w:rPr>
                <w:sz w:val="20"/>
                <w:szCs w:val="20"/>
                <w:color w:val="auto"/>
              </w:rPr>
            </w:pPr>
            <w:r>
              <w:rPr>
                <w:rFonts w:ascii="Arial" w:cs="Arial" w:eastAsia="Arial" w:hAnsi="Arial"/>
                <w:sz w:val="18"/>
                <w:szCs w:val="18"/>
                <w:b w:val="1"/>
                <w:bCs w:val="1"/>
                <w:color w:val="auto"/>
              </w:rPr>
              <w:t>Derivative Treatment</w:t>
            </w:r>
          </w:p>
        </w:tc>
        <w:tc>
          <w:tcPr>
            <w:tcW w:w="5600" w:type="dxa"/>
            <w:vAlign w:val="bottom"/>
          </w:tcPr>
          <w:p>
            <w:pPr>
              <w:ind w:left="2040"/>
              <w:spacing w:after="0"/>
              <w:rPr>
                <w:sz w:val="20"/>
                <w:szCs w:val="20"/>
                <w:color w:val="auto"/>
              </w:rPr>
            </w:pPr>
            <w:r>
              <w:rPr>
                <w:rFonts w:ascii="Arial" w:cs="Arial" w:eastAsia="Arial" w:hAnsi="Arial"/>
                <w:sz w:val="18"/>
                <w:szCs w:val="18"/>
                <w:b w:val="1"/>
                <w:bCs w:val="1"/>
                <w:color w:val="auto"/>
              </w:rPr>
              <w:t>Accounting Method</w:t>
            </w: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Normal purchases and normal sales exception</w:t>
            </w:r>
          </w:p>
        </w:tc>
        <w:tc>
          <w:tcPr>
            <w:tcW w:w="5600" w:type="dxa"/>
            <w:vAlign w:val="bottom"/>
          </w:tcPr>
          <w:p>
            <w:pPr>
              <w:ind w:left="40"/>
              <w:spacing w:after="0"/>
              <w:rPr>
                <w:sz w:val="20"/>
                <w:szCs w:val="20"/>
                <w:color w:val="auto"/>
              </w:rPr>
            </w:pPr>
            <w:r>
              <w:rPr>
                <w:rFonts w:ascii="Arial" w:cs="Arial" w:eastAsia="Arial" w:hAnsi="Arial"/>
                <w:sz w:val="18"/>
                <w:szCs w:val="18"/>
                <w:color w:val="auto"/>
              </w:rPr>
              <w:t>Accrual accounting</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Designated in a qualifying hedging relationship</w:t>
            </w:r>
          </w:p>
        </w:tc>
        <w:tc>
          <w:tcPr>
            <w:tcW w:w="5600" w:type="dxa"/>
            <w:vAlign w:val="bottom"/>
          </w:tcPr>
          <w:p>
            <w:pPr>
              <w:ind w:left="40"/>
              <w:spacing w:after="0"/>
              <w:rPr>
                <w:sz w:val="20"/>
                <w:szCs w:val="20"/>
                <w:color w:val="auto"/>
              </w:rPr>
            </w:pPr>
            <w:r>
              <w:rPr>
                <w:rFonts w:ascii="Arial" w:cs="Arial" w:eastAsia="Arial" w:hAnsi="Arial"/>
                <w:sz w:val="18"/>
                <w:szCs w:val="18"/>
                <w:color w:val="auto"/>
              </w:rPr>
              <w:t>Hedge accounting</w:t>
            </w: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All other derivatives</w:t>
            </w:r>
          </w:p>
        </w:tc>
        <w:tc>
          <w:tcPr>
            <w:tcW w:w="5600" w:type="dxa"/>
            <w:vAlign w:val="bottom"/>
          </w:tcPr>
          <w:p>
            <w:pPr>
              <w:ind w:left="40"/>
              <w:spacing w:after="0"/>
              <w:rPr>
                <w:sz w:val="20"/>
                <w:szCs w:val="20"/>
                <w:color w:val="auto"/>
              </w:rPr>
            </w:pPr>
            <w:r>
              <w:rPr>
                <w:rFonts w:ascii="Arial" w:cs="Arial" w:eastAsia="Arial" w:hAnsi="Arial"/>
                <w:sz w:val="18"/>
                <w:szCs w:val="18"/>
                <w:color w:val="auto"/>
              </w:rPr>
              <w:t>Mark-to-market accounting</w:t>
            </w: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may elect the normal purchases and normal sales exception for certain short- and long-term purchases and sales of physical energy commodities.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accrual accounting, any change in the fair value of these derivatives is not reflected on the balance sheet after the initial election of the exception.</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also designate a hedging relationship for certain commodity derivatives. For a derivative to qualify for designation in a hedging relationship, it must meet specific criteria and we must maintain appropriate documentation.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93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establish hedging relationships pursuant to our risk management policies. We evaluate the hedging relationships at the inception of the hedge and on an ongoing basis to determine whether the hedging relationship is, and is expected to remain, highly effective in achieving offsetting changes in fair value or cash flows attributable to the underlying risk being hedged. We also regularly assess whether the hedged forecasted transaction is probable of occurring. If a derivative ceases to be or is no longer expected to be highly effective, or if we believe the likelihood of occurrence of the hedged forecasted transaction is no longer probable, hedge accounting is discontinued prospectively, and future changes in the fair value of the derivative are recognized currently in </w:t>
      </w:r>
      <w:r>
        <w:rPr>
          <w:rFonts w:ascii="Arial" w:cs="Arial" w:eastAsia="Arial" w:hAnsi="Arial"/>
          <w:sz w:val="17"/>
          <w:szCs w:val="17"/>
          <w:i w:val="1"/>
          <w:iCs w:val="1"/>
          <w:color w:val="auto"/>
        </w:rPr>
        <w:t>Product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sales </w:t>
      </w:r>
      <w:r>
        <w:rPr>
          <w:rFonts w:ascii="Arial" w:cs="Arial" w:eastAsia="Arial" w:hAnsi="Arial"/>
          <w:sz w:val="17"/>
          <w:szCs w:val="17"/>
          <w:color w:val="auto"/>
        </w:rPr>
        <w:t>or</w:t>
      </w:r>
      <w:r>
        <w:rPr>
          <w:rFonts w:ascii="Arial" w:cs="Arial" w:eastAsia="Arial" w:hAnsi="Arial"/>
          <w:sz w:val="17"/>
          <w:szCs w:val="17"/>
          <w:i w:val="1"/>
          <w:iCs w:val="1"/>
          <w:color w:val="auto"/>
        </w:rPr>
        <w:t xml:space="preserve"> Product costs </w:t>
      </w:r>
      <w:r>
        <w:rPr>
          <w:rFonts w:ascii="Arial" w:cs="Arial" w:eastAsia="Arial" w:hAnsi="Arial"/>
          <w:sz w:val="17"/>
          <w:szCs w:val="17"/>
          <w:color w:val="auto"/>
        </w:rPr>
        <w:t>in the Consolidated Statement of Operations.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For commodity derivatives designated as a cash flow hedge, the change in fair value of the derivative is reported in AOCI in the Consolidated Balance Sheet and reclassified into earnings in the period in which the hedged item affects earnings. Gains or losses deferred in AOCI associated with terminated derivatives, derivatives that cease to be highly effective hedges, derivatives for which the forecasted transaction is reasonably possible but no longer probable of occurring, and cash flow hedges that have been otherwise discontinued remain in AOCI until the hedged item affects earnings. If it becomes probable that the forecasted transaction designated as the hedged item in a cash flow hedge will not occur, any gain or loss deferred in AOCI is recognized in </w:t>
      </w:r>
      <w:r>
        <w:rPr>
          <w:rFonts w:ascii="Arial" w:cs="Arial" w:eastAsia="Arial" w:hAnsi="Arial"/>
          <w:sz w:val="17"/>
          <w:szCs w:val="17"/>
          <w:i w:val="1"/>
          <w:iCs w:val="1"/>
          <w:color w:val="auto"/>
        </w:rPr>
        <w:t>Product sales</w:t>
      </w:r>
      <w:r>
        <w:rPr>
          <w:rFonts w:ascii="Arial" w:cs="Arial" w:eastAsia="Arial" w:hAnsi="Arial"/>
          <w:sz w:val="17"/>
          <w:szCs w:val="17"/>
          <w:color w:val="auto"/>
        </w:rPr>
        <w:t xml:space="preserve"> or </w:t>
      </w:r>
      <w:r>
        <w:rPr>
          <w:rFonts w:ascii="Arial" w:cs="Arial" w:eastAsia="Arial" w:hAnsi="Arial"/>
          <w:sz w:val="17"/>
          <w:szCs w:val="17"/>
          <w:i w:val="1"/>
          <w:iCs w:val="1"/>
          <w:color w:val="auto"/>
        </w:rPr>
        <w:t>Product costs</w:t>
      </w:r>
      <w:r>
        <w:rPr>
          <w:rFonts w:ascii="Arial" w:cs="Arial" w:eastAsia="Arial" w:hAnsi="Arial"/>
          <w:sz w:val="17"/>
          <w:szCs w:val="17"/>
          <w:color w:val="auto"/>
        </w:rPr>
        <w:t xml:space="preserve"> in the Consolidated Statement of Operations at that time. The change in likelihood of a forecasted transaction is a judgmental decision that includes qualitative assessments made by us.</w:t>
      </w:r>
    </w:p>
    <w:p>
      <w:pPr>
        <w:spacing w:after="0" w:line="1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For commodity derivatives that are not designated in a hedging relationship, and for which we have not elected the normal purchases and normal sales exception, we report changes in fair value currently in </w:t>
      </w:r>
      <w:r>
        <w:rPr>
          <w:rFonts w:ascii="Arial" w:cs="Arial" w:eastAsia="Arial" w:hAnsi="Arial"/>
          <w:sz w:val="17"/>
          <w:szCs w:val="17"/>
          <w:i w:val="1"/>
          <w:iCs w:val="1"/>
          <w:color w:val="auto"/>
        </w:rPr>
        <w:t>Product sales</w:t>
      </w:r>
      <w:r>
        <w:rPr>
          <w:rFonts w:ascii="Arial" w:cs="Arial" w:eastAsia="Arial" w:hAnsi="Arial"/>
          <w:sz w:val="17"/>
          <w:szCs w:val="17"/>
          <w:color w:val="auto"/>
        </w:rPr>
        <w:t xml:space="preserve"> or </w:t>
      </w:r>
      <w:r>
        <w:rPr>
          <w:rFonts w:ascii="Arial" w:cs="Arial" w:eastAsia="Arial" w:hAnsi="Arial"/>
          <w:sz w:val="17"/>
          <w:szCs w:val="17"/>
          <w:i w:val="1"/>
          <w:iCs w:val="1"/>
          <w:color w:val="auto"/>
        </w:rPr>
        <w:t>Product costs</w:t>
      </w:r>
      <w:r>
        <w:rPr>
          <w:rFonts w:ascii="Arial" w:cs="Arial" w:eastAsia="Arial" w:hAnsi="Arial"/>
          <w:sz w:val="17"/>
          <w:szCs w:val="17"/>
          <w:color w:val="auto"/>
        </w:rPr>
        <w:t xml:space="preserve"> in the Consolidated Statement of Operations</w:t>
      </w:r>
      <w:r>
        <w:rPr>
          <w:rFonts w:ascii="Arial" w:cs="Arial" w:eastAsia="Arial" w:hAnsi="Arial"/>
          <w:sz w:val="17"/>
          <w:szCs w:val="17"/>
          <w:i w:val="1"/>
          <w:iCs w:val="1"/>
          <w:color w:val="auto"/>
        </w:rPr>
        <w:t>.</w:t>
      </w:r>
    </w:p>
    <w:p>
      <w:pPr>
        <w:spacing w:after="0" w:line="1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gains and losses on derivative instruments included in the Consolidated Statement of Operations are netted together to a single net gain or loss, while other gains and losses are reported on a gross basis. Gains and losses recorded on a net basis include unrealized gains and losses on all derivatives that are not designated as hedges and for which we have not elected the normal purchases and normal sales exception.</w:t>
      </w:r>
    </w:p>
    <w:p>
      <w:pPr>
        <w:spacing w:after="0" w:line="1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Realized gains and losses on derivatives that require physical delivery, as well as natural gas derivatives for NGL processing activities and which are not held for trading purposes nor were entered into as a pre-contemplated buy/sell arrangement, are recorded on a gross basis.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 (subsequent to the adoption of ASC 606 effective January 1, 2018)</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Customers in our gas pipeline businesses are comprised of public utilities, municipalities, gas marketers and producers, intrastate pipelines, direct industrial users, and electrical generators. Customers in our midstream businesses are comprised of oil and natural gas producer counterparties. Customers for our product sales are comprised of public utilities, gas marketers, and direct industrial users.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Service revenue contracts from our gas pipeline and midstream businesses contain a series of distinct services, with the majority of our contracts having a single performance obligation that is satisfied over time as the customer simultaneously receives and consumes the benefits provided by our performance. Most of our product sales contracts have a single performance obligation with revenue recognized at a point in time when the products have been sold and delivered to the customer.</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customers reimburse us for costs we incur associated with construction of property, plant, and equipment utilized in our operations. For our rate-regulated gas pipeline businesses that apply ASC 980, we follow FERC guidelines with respect to reimbursement of construction costs. FERC tariffs only allow for cost reimbursement and are non-negotiable in nature; thus, in our judgment, the construction activities do not represent an ongoing major and central operation of our gas pipeline businesses and are not within the scope of ASC Topic 606, “Revenue from Contracts with Customers” (ASC 606). Accordingly, cost reimbursements are treated as a reduction to the cost of the constructed asset. For our midstream businesses, reimbursement and service contracts with customers are viewed together as providing the same commercial objective, as we have the ability to negotiate the mix of consideration between reimbursements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93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amounts billed over time. Accordingly, we generally recognize reimbursements of construction costs from customers on a gross basis as a contract liability separate from the associated costs included within property, plant, and equipment. The contract liability is recognized into service revenues as the underlying performance obligations are satisfied.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Service Revenues</w:t>
      </w:r>
    </w:p>
    <w:p>
      <w:pPr>
        <w:spacing w:after="0" w:line="185"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i w:val="1"/>
          <w:iCs w:val="1"/>
          <w:u w:val="single" w:color="auto"/>
          <w:color w:val="auto"/>
        </w:rPr>
        <w:t>Gas pipeline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from our regulated interstate natural gas pipeline businesses, which are subject to regulation by certain state and</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authorities, including the FERC, include both firm and interruptible transportation and storage contracts. Firm transportation and storage agreements provide for a fixed reservation charge based on the pipeline or storage capacity reserved, and a commodity charge based on the volume of natural gas delivered/stored, each at rates specified in our FERC tariffs or based on negotiated contractual rates, with contract terms that are generally long-term in nature. Most of our long-term contracts contain an evergreen provision, which allows the contracts to be extended for periods primarily up to one year in length an indefinite number of times following the specified contract term and until terminated generally by either us or the customer. Interruptible transportation and storage agreements provide for a volumetric charge based on actual commodity transportation or storage utilized in the period in which those services are provided, and the contracts are generally limited to one-month periods or less. Our performance obligations related to our interstate natural gas pipeline businesses include the following:</w:t>
      </w:r>
    </w:p>
    <w:p>
      <w:pPr>
        <w:spacing w:after="0" w:line="168" w:lineRule="exact"/>
        <w:rPr>
          <w:sz w:val="20"/>
          <w:szCs w:val="20"/>
          <w:color w:val="auto"/>
        </w:rPr>
      </w:pPr>
    </w:p>
    <w:p>
      <w:pPr>
        <w:jc w:val="both"/>
        <w:ind w:left="660" w:hanging="328"/>
        <w:spacing w:after="0" w:line="280" w:lineRule="auto"/>
        <w:tabs>
          <w:tab w:leader="none" w:pos="660" w:val="left"/>
        </w:tabs>
        <w:numPr>
          <w:ilvl w:val="0"/>
          <w:numId w:val="63"/>
        </w:numPr>
        <w:rPr>
          <w:rFonts w:ascii="Arial" w:cs="Arial" w:eastAsia="Arial" w:hAnsi="Arial"/>
          <w:sz w:val="22"/>
          <w:szCs w:val="22"/>
          <w:i w:val="1"/>
          <w:iCs w:val="1"/>
          <w:color w:val="auto"/>
        </w:rPr>
      </w:pPr>
      <w:r>
        <w:rPr>
          <w:rFonts w:ascii="Arial" w:cs="Arial" w:eastAsia="Arial" w:hAnsi="Arial"/>
          <w:sz w:val="18"/>
          <w:szCs w:val="18"/>
          <w:color w:val="auto"/>
        </w:rPr>
        <w:t>Firm transportation or storage under firm transportation and storage contracts—an integrated package of services typically constituting a single performance obligation, which includes standing ready to provide such services and receiving, transporting or storing (as applicable), and redelivering commodities;</w:t>
      </w:r>
    </w:p>
    <w:p>
      <w:pPr>
        <w:spacing w:after="0" w:line="167" w:lineRule="exact"/>
        <w:rPr>
          <w:rFonts w:ascii="Arial" w:cs="Arial" w:eastAsia="Arial" w:hAnsi="Arial"/>
          <w:sz w:val="22"/>
          <w:szCs w:val="22"/>
          <w:i w:val="1"/>
          <w:iCs w:val="1"/>
          <w:color w:val="auto"/>
        </w:rPr>
      </w:pPr>
    </w:p>
    <w:p>
      <w:pPr>
        <w:jc w:val="both"/>
        <w:ind w:left="660" w:hanging="328"/>
        <w:spacing w:after="0" w:line="280" w:lineRule="auto"/>
        <w:tabs>
          <w:tab w:leader="none" w:pos="660" w:val="left"/>
        </w:tabs>
        <w:numPr>
          <w:ilvl w:val="0"/>
          <w:numId w:val="63"/>
        </w:numPr>
        <w:rPr>
          <w:rFonts w:ascii="Arial" w:cs="Arial" w:eastAsia="Arial" w:hAnsi="Arial"/>
          <w:sz w:val="22"/>
          <w:szCs w:val="22"/>
          <w:i w:val="1"/>
          <w:iCs w:val="1"/>
          <w:color w:val="auto"/>
        </w:rPr>
      </w:pPr>
      <w:r>
        <w:rPr>
          <w:rFonts w:ascii="Arial" w:cs="Arial" w:eastAsia="Arial" w:hAnsi="Arial"/>
          <w:sz w:val="18"/>
          <w:szCs w:val="18"/>
          <w:color w:val="auto"/>
        </w:rPr>
        <w:t>Interruptible transportation and storage under interruptible transportation and storage contracts—an integrated package of services typically constituting a single performance obligation once scheduled, which includes receiving, transporting or storing (as applicable), and redelivering commodities.</w:t>
      </w:r>
    </w:p>
    <w:p>
      <w:pPr>
        <w:spacing w:after="0" w:line="140"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In situations where, in our judgment, we consider the integrated package of services as a single performance obligation, which represents a majority of our interstate natural gas pipeline contracts with customers, we do not consider there to be multiple performance obligations because the nature of the overall promise in the contract is to stand ready (with regard to firm transportation and storage contracts), receive, transport or store, and redeliver natural gas to the customer; therefore, revenue is recognized over time upon satisfaction of our daily stand ready performance obligation.</w:t>
      </w:r>
    </w:p>
    <w:p>
      <w:pPr>
        <w:spacing w:after="0" w:line="114"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We recognize revenues for reservation charges over the performance obligation period, which is the contract term, regardless of the volume of natural gas that is transported or stored. Revenues for commodity charges from both firm and interruptible transportation services and storage services are recognized when natural gas is delivered at the agreed upon delivery point or when natural gas is injected or withdrawn from the storage facility because they specifically relate to our efforts to provide these distinct services. Generally, reservation charges and commodity charges in our interstate natural gas pipeline businesses are recognized as revenue in the same period they are invoiced to our customers. As a result of the ratemaking process, certain amounts collected by us may be subject to refund upon the issuance of final orders by the FERC in pending rate proceedings. We use judgment to record estimates of rate refund liabilities considering our and other third-party regulatory proceedings, advice of counsel, and other risks.</w:t>
      </w:r>
    </w:p>
    <w:p>
      <w:pPr>
        <w:spacing w:after="0" w:line="12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i w:val="1"/>
          <w:iCs w:val="1"/>
          <w:u w:val="single" w:color="auto"/>
          <w:color w:val="auto"/>
        </w:rPr>
        <w:t>Midstream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our non-regulated gathering, processing, transportation, and storage midstream businesses include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for natural gas gathering, processing, treating, compression, transportation, and other related services with contract terms that are generally long-term in nature and may extend up to the production life of the associated reservoir. Additionally, our midstream businesses generate revenues from fees charged for storing customers’ natural gas and NGLs, generally under prepaid contracted storage capacity contracts. In situations where, in our judgment, we provide an integrated package of services combined into a single performance obligation, which represents a majority of this class of contracts with customers, we do not consider there to be multiple performance obligations because the nature of the overall promise in the contract is to provide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931" w:right="239" w:bottom="1440" w:gutter="0" w:footer="0" w:header="0"/>
        </w:sectPr>
      </w:pPr>
    </w:p>
    <w:bookmarkStart w:id="91" w:name="page92"/>
    <w:bookmarkEnd w:id="91"/>
    <w:p>
      <w:pPr>
        <w:jc w:val="center"/>
        <w:ind w:right="320"/>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gathering, processing, transportation, storage, and related services resulting in the delivery, or redelivery in the context of storage services, of pipeline-quality natural gas and NGLs to the customer. As such, revenue is recognized at the daily completion of the integrated package of services as the integrated package represents a single performance obligation. Additionally, certain contracts in our midstream businesses contain fixed or upfront payment terms that result in the deferral of revenues until such services have been performed or such capacity has been made available.</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earn revenues from offshore crude oil and natural gas gathering and transportation and offshore production handling. These services represent an integrated package of services and are considered a single distinct performance obligation for which we recognize revenues as the services are provided to the customer.</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generally earn a contractually stated fee per unit for the volume of product transported, gathered, processed, or stored. The rate is generally fixed; however, certain contracts contain variable rates that are subject to change based on commodity prices, levels of throughput, or an annual adjustment based on a formulaic cost of service calculation. In addition, we have contracts with contractually stated fees that decline over the contract term, such as declines based on the passage of time periods or achievement of cumulative throughput amounts. For all of our contracts, we allocate the transaction price to each performance obligation based on the judgmentally determined relative standalone selling price. The excess of consideration received over revenue recognized results in the deferral of those amounts until future periods based on a units of production or straight-line methodology as these methods appropriately match the consumption of services provided to the customer. The units of production methodology requires the use of production estimates that are uncertain and the use of judgment when developing estimates of future production volumes, thus impacting the rate of revenue recognition. Production estimates are monitored as circumstances and events warrant. Certain of our gas gathering and processing agreements have minimum volume commitments (MVC). If a customer under such an agreement fails to meet its MVC for a specified period (thus not exercising all the contractual rights to gathering and processing services within the specified period, herein referred to as “breakage”), it is obligated to pay a contractually determined fee based upon the shortfall between the actual gathered or processed volumes and the MVC for the period contained in the contract. When we conclude, based on management’s judgment, it is probable that the customer will not exercise all or a portion of its remaining rights, we recognize revenue associated with such breakage amount in proportion to the pattern of exercised rights within the respective MVC period.</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Under keep-whole and percent-of-liquids processing contracts, we receive commodity consideration in the form of NGLs and take title to the NGLs at the tailgate of the plant. We recognize such commodity consideration as service revenue based on the market value of the NGLs retained at the time the processing is provided. The current market value, as opposed to the market value at the contract inception date, is used due to a combination of factors, including the fact that the volume, mix, and market price of NGL consideration to be received is unknown at the time of contract execution and is not specified in our contracts with customers. Additionally, product sales revenue (discussed below) is recognized upon the sale of the NGLs to a third party based on the sales price at the time of sale. As a result, revenue is recognized in the Consolidated Statement of Operations both at the time the processing service is provided in </w:t>
      </w:r>
      <w:r>
        <w:rPr>
          <w:rFonts w:ascii="Arial" w:cs="Arial" w:eastAsia="Arial" w:hAnsi="Arial"/>
          <w:sz w:val="17"/>
          <w:szCs w:val="17"/>
          <w:i w:val="1"/>
          <w:iCs w:val="1"/>
          <w:color w:val="auto"/>
        </w:rPr>
        <w:t>Service revenues – commodity consideration</w:t>
      </w:r>
      <w:r>
        <w:rPr>
          <w:rFonts w:ascii="Arial" w:cs="Arial" w:eastAsia="Arial" w:hAnsi="Arial"/>
          <w:sz w:val="17"/>
          <w:szCs w:val="17"/>
          <w:color w:val="auto"/>
        </w:rPr>
        <w:t xml:space="preserve"> and at the time the NGLs retained as part of the processing service are sold in </w:t>
      </w:r>
      <w:r>
        <w:rPr>
          <w:rFonts w:ascii="Arial" w:cs="Arial" w:eastAsia="Arial" w:hAnsi="Arial"/>
          <w:sz w:val="17"/>
          <w:szCs w:val="17"/>
          <w:i w:val="1"/>
          <w:iCs w:val="1"/>
          <w:color w:val="auto"/>
        </w:rPr>
        <w:t>Product</w:t>
      </w:r>
      <w:r>
        <w:rPr>
          <w:rFonts w:ascii="Arial" w:cs="Arial" w:eastAsia="Arial" w:hAnsi="Arial"/>
          <w:sz w:val="17"/>
          <w:szCs w:val="17"/>
          <w:color w:val="auto"/>
        </w:rPr>
        <w:t xml:space="preserve"> </w:t>
      </w:r>
      <w:r>
        <w:rPr>
          <w:rFonts w:ascii="Arial" w:cs="Arial" w:eastAsia="Arial" w:hAnsi="Arial"/>
          <w:sz w:val="17"/>
          <w:szCs w:val="17"/>
          <w:i w:val="1"/>
          <w:iCs w:val="1"/>
          <w:color w:val="auto"/>
        </w:rPr>
        <w:t>sales</w:t>
      </w:r>
      <w:r>
        <w:rPr>
          <w:rFonts w:ascii="Arial" w:cs="Arial" w:eastAsia="Arial" w:hAnsi="Arial"/>
          <w:sz w:val="17"/>
          <w:szCs w:val="17"/>
          <w:color w:val="auto"/>
        </w:rPr>
        <w:t>. The recognition of revenue related to commodity consideration has the impact of increasing the book value of NGL inventory, resulting in higher</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goods sold at the time of sale. Given that most inventory is sold in the same period that it is generated, the impact of these transactions is expected to have little impact to operating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Sales</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course of providing transportation services to customers of our gas pipeline businesses and gathering and processing services to customers of our midstream businesses, we may receive different quantities of natural gas from customers than the quantities delivered on behalf of those customers. The resulting imbalances are primarily settled through the purchase or sale of natural gas with each customer under terms provided for in our FERC tariffs or gathering and processing agreements, respectively. Revenue is recognized from the sale of natural gas upon settlement of imbalances.</w:t>
      </w:r>
    </w:p>
    <w:p>
      <w:pPr>
        <w:spacing w:after="0" w:line="3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580" w:top="932" w:right="239" w:bottom="1440" w:gutter="0" w:footer="0" w:header="0"/>
        </w:sectPr>
      </w:pPr>
    </w:p>
    <w:bookmarkStart w:id="92" w:name="page93"/>
    <w:bookmarkEnd w:id="92"/>
    <w:p>
      <w:pPr>
        <w:jc w:val="center"/>
        <w:ind w:right="160"/>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160" w:firstLine="324"/>
        <w:spacing w:after="0" w:line="259" w:lineRule="auto"/>
        <w:rPr>
          <w:sz w:val="20"/>
          <w:szCs w:val="20"/>
          <w:color w:val="auto"/>
        </w:rPr>
      </w:pPr>
      <w:r>
        <w:rPr>
          <w:rFonts w:ascii="Arial" w:cs="Arial" w:eastAsia="Arial" w:hAnsi="Arial"/>
          <w:sz w:val="18"/>
          <w:szCs w:val="18"/>
          <w:color w:val="auto"/>
        </w:rPr>
        <w:t>In certain instances, we purchase NGLs, crude oil, and natural gas from our oil and natural gas producer customers. In addition, we retain NGLs as consideration in certain processing arrangements, as discussed above in the Service Revenues - Midstream businesses section. We recognize revenue from the sale of these commodities when the products have been sold and delivered. Our product sales contracts are primarily short-term contracts based on prevailing market rates at the time of the transaction.</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Contract Assets</w:t>
      </w:r>
    </w:p>
    <w:p>
      <w:pPr>
        <w:spacing w:after="0" w:line="185" w:lineRule="exact"/>
        <w:rPr>
          <w:sz w:val="20"/>
          <w:szCs w:val="20"/>
          <w:color w:val="auto"/>
        </w:rPr>
      </w:pPr>
    </w:p>
    <w:p>
      <w:pPr>
        <w:jc w:val="both"/>
        <w:ind w:left="160" w:firstLine="324"/>
        <w:spacing w:after="0" w:line="276" w:lineRule="auto"/>
        <w:rPr>
          <w:sz w:val="20"/>
          <w:szCs w:val="20"/>
          <w:color w:val="auto"/>
        </w:rPr>
      </w:pPr>
      <w:r>
        <w:rPr>
          <w:rFonts w:ascii="Arial" w:cs="Arial" w:eastAsia="Arial" w:hAnsi="Arial"/>
          <w:sz w:val="17"/>
          <w:szCs w:val="17"/>
          <w:color w:val="auto"/>
        </w:rPr>
        <w:t xml:space="preserve">Our contract assets primarily consist of revenue recognized under contracts containing MVC features whereby management has concluded it is probable there will be a short-fall payment at the end of the current MVC period, which typically follows the calendar year, and that a significant reversal of revenue recognized currently for the future MVC payment will not occur. As a result, our contract assets related to our future MVC payments are generally expected to be collected within the next 12 months and are included within </w:t>
      </w:r>
      <w:r>
        <w:rPr>
          <w:rFonts w:ascii="Arial" w:cs="Arial" w:eastAsia="Arial" w:hAnsi="Arial"/>
          <w:sz w:val="17"/>
          <w:szCs w:val="17"/>
          <w:i w:val="1"/>
          <w:iCs w:val="1"/>
          <w:color w:val="auto"/>
        </w:rPr>
        <w:t>Other current assets and deferred charges</w:t>
      </w:r>
      <w:r>
        <w:rPr>
          <w:rFonts w:ascii="Arial" w:cs="Arial" w:eastAsia="Arial" w:hAnsi="Arial"/>
          <w:sz w:val="17"/>
          <w:szCs w:val="17"/>
          <w:color w:val="auto"/>
        </w:rPr>
        <w:t xml:space="preserve"> in our Consolidated Balance Sheet until such time as the MVC short-fall payments are invoiced to the customer.</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Contract Liabilities</w:t>
      </w:r>
    </w:p>
    <w:p>
      <w:pPr>
        <w:spacing w:after="0" w:line="185" w:lineRule="exact"/>
        <w:rPr>
          <w:sz w:val="20"/>
          <w:szCs w:val="20"/>
          <w:color w:val="auto"/>
        </w:rPr>
      </w:pPr>
    </w:p>
    <w:p>
      <w:pPr>
        <w:jc w:val="both"/>
        <w:ind w:left="160" w:firstLine="324"/>
        <w:spacing w:after="0" w:line="255" w:lineRule="auto"/>
        <w:rPr>
          <w:sz w:val="20"/>
          <w:szCs w:val="20"/>
          <w:color w:val="auto"/>
        </w:rPr>
      </w:pPr>
      <w:r>
        <w:rPr>
          <w:rFonts w:ascii="Arial" w:cs="Arial" w:eastAsia="Arial" w:hAnsi="Arial"/>
          <w:sz w:val="18"/>
          <w:szCs w:val="18"/>
          <w:color w:val="auto"/>
        </w:rPr>
        <w:t xml:space="preserve">Our contract liabilities consist of advance payments primarily from midstream business customers which include construction reimbursements, prepayments, and other billings for which future services are to be provided under the contract. These amounts are deferred until recognized in revenue when the associated performance obligation has been satisfied, which is primarily based on a units of production methodology over the remaining contractual service periods, and are classified as current or noncurrent according to when such amounts are expected to be recognized. Current and noncurrent contract liabilities are included within </w:t>
      </w:r>
      <w:r>
        <w:rPr>
          <w:rFonts w:ascii="Arial" w:cs="Arial" w:eastAsia="Arial" w:hAnsi="Arial"/>
          <w:sz w:val="18"/>
          <w:szCs w:val="18"/>
          <w:i w:val="1"/>
          <w:iCs w:val="1"/>
          <w:color w:val="auto"/>
        </w:rPr>
        <w:t>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Regulatory liabilities, deferred income, and other</w:t>
      </w:r>
      <w:r>
        <w:rPr>
          <w:rFonts w:ascii="Arial" w:cs="Arial" w:eastAsia="Arial" w:hAnsi="Arial"/>
          <w:sz w:val="18"/>
          <w:szCs w:val="18"/>
          <w:color w:val="auto"/>
        </w:rPr>
        <w:t>, respectively, in our Consolidated Balance Sheet.</w:t>
      </w:r>
    </w:p>
    <w:p>
      <w:pPr>
        <w:spacing w:after="0" w:line="153" w:lineRule="exact"/>
        <w:rPr>
          <w:sz w:val="20"/>
          <w:szCs w:val="20"/>
          <w:color w:val="auto"/>
        </w:rPr>
      </w:pPr>
    </w:p>
    <w:p>
      <w:pPr>
        <w:jc w:val="both"/>
        <w:ind w:left="160" w:firstLine="324"/>
        <w:spacing w:after="0" w:line="272" w:lineRule="auto"/>
        <w:rPr>
          <w:sz w:val="20"/>
          <w:szCs w:val="20"/>
          <w:color w:val="auto"/>
        </w:rPr>
      </w:pPr>
      <w:r>
        <w:rPr>
          <w:rFonts w:ascii="Arial" w:cs="Arial" w:eastAsia="Arial" w:hAnsi="Arial"/>
          <w:sz w:val="17"/>
          <w:szCs w:val="17"/>
          <w:color w:val="auto"/>
        </w:rPr>
        <w:t>Contracts requiring advance payments and the recognition of contract liabilities are evaluated to determine whether the advance payments provide us with a significant financing benefit. This determination is based on the combined effect of the expected length of time between when we transfer the promised good or service to the customer, when the customer pays for those goods or services, and the prevailing interest rates. We have assessed our contracts for significant financing components and determined, in our judgment, that one group of contracts entered into in contemplation of one another for certain capital reimbursements contains a significant financing component. As a result, we recognize noncash interest expense based on the effective interest method and revenue (noncash) is recognized when the underlying asset is placed into service utilizing a units of production or straight-line methodology over the life of the corresponding customer contract.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(prior to the adoption of ASC 606)</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Revenues</w:t>
      </w:r>
    </w:p>
    <w:p>
      <w:pPr>
        <w:spacing w:after="0" w:line="185" w:lineRule="exact"/>
        <w:rPr>
          <w:sz w:val="20"/>
          <w:szCs w:val="20"/>
          <w:color w:val="auto"/>
        </w:rPr>
      </w:pPr>
    </w:p>
    <w:p>
      <w:pPr>
        <w:jc w:val="both"/>
        <w:ind w:left="160" w:firstLine="324"/>
        <w:spacing w:after="0" w:line="264" w:lineRule="auto"/>
        <w:rPr>
          <w:sz w:val="20"/>
          <w:szCs w:val="20"/>
          <w:color w:val="auto"/>
        </w:rPr>
      </w:pPr>
      <w:r>
        <w:rPr>
          <w:rFonts w:ascii="Arial" w:cs="Arial" w:eastAsia="Arial" w:hAnsi="Arial"/>
          <w:sz w:val="18"/>
          <w:szCs w:val="18"/>
          <w:color w:val="auto"/>
        </w:rPr>
        <w:t>As a result of the ratemaking process, certain revenues collected by us may be subject to refunds upon the issuance of final orders by the FERC in pending rate proceedings. We record estimates of rate refund liabilities considering our and other third-party regulatory proceedings, advice of counsel, and other risks.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Service revenues</w:t>
      </w:r>
    </w:p>
    <w:p>
      <w:pPr>
        <w:spacing w:after="0" w:line="185" w:lineRule="exact"/>
        <w:rPr>
          <w:sz w:val="20"/>
          <w:szCs w:val="20"/>
          <w:color w:val="auto"/>
        </w:rPr>
      </w:pPr>
    </w:p>
    <w:p>
      <w:pPr>
        <w:jc w:val="both"/>
        <w:ind w:left="160" w:firstLine="324"/>
        <w:spacing w:after="0" w:line="255" w:lineRule="auto"/>
        <w:rPr>
          <w:sz w:val="20"/>
          <w:szCs w:val="20"/>
          <w:color w:val="auto"/>
        </w:rPr>
      </w:pPr>
      <w:r>
        <w:rPr>
          <w:rFonts w:ascii="Arial" w:cs="Arial" w:eastAsia="Arial" w:hAnsi="Arial"/>
          <w:sz w:val="18"/>
          <w:szCs w:val="18"/>
          <w:color w:val="auto"/>
        </w:rPr>
        <w:t>Revenues from our interstate natural gas pipeline businesses include services pursuant to long-term firm transportation and storage agreements. These agreements provide for a reservation charge based on the volume of contracted capacity and a commodity charge based on the volume of gas delivered, both at rates specified in our FERC tariffs. We recognize revenues for reservation charges ratably over the contract period regardless of the volume of natural gas that is transported or stored. Revenues for commodity charges, from both firm and interruptible transportation services and storage injection and withdrawal services, are recognized when natural gas is delivered at the agreed upon delivery point or when natural gas is injected or withdrawn from the storage facility.</w:t>
      </w:r>
    </w:p>
    <w:p>
      <w:pPr>
        <w:spacing w:after="0" w:line="200" w:lineRule="exact"/>
        <w:rPr>
          <w:sz w:val="20"/>
          <w:szCs w:val="20"/>
          <w:color w:val="auto"/>
        </w:rPr>
      </w:pP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420" w:top="93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Certain revenues from our midstream operations include those derived from natural gas gathering, processing, treating, and compression services and are performed under volumetric-based fee contracts. These revenues are recorded when services have been performed.</w:t>
      </w:r>
    </w:p>
    <w:p>
      <w:pPr>
        <w:spacing w:after="0" w:line="106"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Certain of our gas gathering and processing agreements have MVCs. If a customer under such an agreement fails to meet its MVC for a specified period, generally measured on an annual basis, it is obligated to pay a contractually determined fee based upon the shortfall between actual production volumes and the MVC for that period. The revenue associated with MVCs is recognized in the period that the actual shortfall is determined and is no longer subject to future reduction or offset, which is generally at the end of the annual period or fourth quarter.</w:t>
      </w:r>
    </w:p>
    <w:p>
      <w:pPr>
        <w:spacing w:after="0" w:line="13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Crude oil gathering and transportation revenues and offshore production handling fees are recognized when the services have been performed. Certain offshore production handling contracts contain fixed payment terms that result in the deferral of revenues until such services have been performed or such capacity has been made available.</w:t>
      </w:r>
    </w:p>
    <w:p>
      <w:pPr>
        <w:spacing w:after="0" w:line="141"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Storage revenues from our midstream operations associated with prepaid contracted storage capacity contracts are recognized on a straight-line basis over the life of the contract as services are provided.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Product sales</w:t>
      </w:r>
    </w:p>
    <w:p>
      <w:pPr>
        <w:spacing w:after="0" w:line="185"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In the course of providing transportation services to customers of our interstate natural gas pipeline businesses, we may receive different quantities of gas from shippers than the quantities delivered on behalf of those shippers. The resulting imbalances are primarily settled through the purchase and sale of gas with our customers under terms provided for in our FERC tariffs. Revenue is recognized from the sale of gas upon settlement of the transportation and exchange imbalances.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market NGLs, crude oil, and natural gas that we purchase from our producer customers as part of the overall service provided to producers.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from marketing activities are recognized when the products have been sold and delivered.</w:t>
      </w:r>
    </w:p>
    <w:p>
      <w:pPr>
        <w:spacing w:after="0" w:line="17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Under our keep-whole and percent-of-liquids processing contracts, we retain the rights to all or a portion of the NGLs extracted from the producers’ natural gas stream and recognize revenues when the extracted NGLs are sold and delivered.</w:t>
      </w:r>
    </w:p>
    <w:p>
      <w:pPr>
        <w:spacing w:after="0" w:line="13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Our former domestic olefins business produced olefins from purchased or produced feedstock and we recognized revenues when the olefins were sold and delivered.</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Leases (subsequent to the adoption of ASU 2016-02 effective January 1, 2019)</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recognize a lease liability with an offsetting right-of-use asset in our Consolidated Balance Sheet for operating leases based on the present value of the future lease payments. We have elected to combine lease and nonlease components for all classes of leased assets in our calculation of the lease liability and the offsetting right-of-use asset.</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lease agreements require both fixed and variable periodic payments, with initial terms typically ranging from one year to 15 years, but a certain land lease has a term of 108 years. Payment provisions in certain of our lease agreements contain escalation factors which may be based on stated rates or a change in a published index at a future time. The amount by which a lease escalates based on the change in a published index, which is not known at lease commencement, is considered a variable payment and is not included in the present value of the future lease payments, which only includes those that are stated or can be calculated based on the lease agreement at lease commencement. In addition to the noncancellable periods, many of our lease agreements provide for one or more extensions of the lease agreement for periods ranging from one year in length to an indefinite number of times following the specified contract term. Other lease agreements provide for extension terms that allow us to utilize the identified leased asset for an indefinite period of time so long as the asset continues to be utilized in our operations. In consideration of these renewal features, we assess the term of the lease agreements, which includes using judgment in the determination of which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93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renewal periods and termination provisions, when at our sole election, will be reasonably certain of being exercised. Periods after the initial term or extension terms that allow for either party to the lease to cancel the lease are not considered in the assessment of the lease term. Additionally, we have elected to exclude leases with an original term of one year or less, including renewal periods, from the calculation of the lease liability and the offsetting right-of-use asset.</w:t>
      </w:r>
    </w:p>
    <w:p>
      <w:pPr>
        <w:spacing w:after="0" w:line="13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use judgment in determining the discount rate upon which the present value of the future lease payments is determined. This rate is based on a collateralized interest rate corresponding to the term of the lease agreement using company, industry, and market information available.</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permitted under our lease agreements, we may sublease certain unused office space for fixed periods that could extend up to the length of the original lease agreement.</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capitalized</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capitalize interest during construction on major projects with construction periods of at least 3 months and a total project cost in excess of $1 million. Interest is capitalized on borrowed funds and, where regulation by the FERC exists, on internally generated funds (equity AFUDC). The latter is included in </w:t>
      </w:r>
      <w:r>
        <w:rPr>
          <w:rFonts w:ascii="Arial" w:cs="Arial" w:eastAsia="Arial" w:hAnsi="Arial"/>
          <w:sz w:val="17"/>
          <w:szCs w:val="17"/>
          <w:i w:val="1"/>
          <w:iCs w:val="1"/>
          <w:color w:val="auto"/>
        </w:rPr>
        <w:t xml:space="preserve">Other income (expense) – net </w:t>
      </w:r>
      <w:r>
        <w:rPr>
          <w:rFonts w:ascii="Arial" w:cs="Arial" w:eastAsia="Arial" w:hAnsi="Arial"/>
          <w:sz w:val="17"/>
          <w:szCs w:val="17"/>
          <w:color w:val="auto"/>
        </w:rPr>
        <w:t>below</w:t>
      </w:r>
      <w:r>
        <w:rPr>
          <w:rFonts w:ascii="Arial" w:cs="Arial" w:eastAsia="Arial" w:hAnsi="Arial"/>
          <w:sz w:val="17"/>
          <w:szCs w:val="17"/>
          <w:i w:val="1"/>
          <w:iCs w:val="1"/>
          <w:color w:val="auto"/>
        </w:rPr>
        <w:t xml:space="preserve"> Operating income (loss) </w:t>
      </w:r>
      <w:r>
        <w:rPr>
          <w:rFonts w:ascii="Arial" w:cs="Arial" w:eastAsia="Arial" w:hAnsi="Arial"/>
          <w:sz w:val="17"/>
          <w:szCs w:val="17"/>
          <w:color w:val="auto"/>
        </w:rPr>
        <w:t>in the Consolidated Statement of Operations. The rates used by regulated companies are</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in accordance with FERC rules. Rates used by nonregulated companies are based on our average interest rate on debt.</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stock-based awards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compensation expense on employee stock-based awards on a straight-line basis; forfeitures are recognized when they occur. (See Note 17 – Equity-Based Compensation.)</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Pension and other postretirement benefits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funded status of each of the pension and other postretirement benefit plans is recognized separately in the Consolidated Balance Sheet as either an asset or liability. The funded status is the difference between the fair value of plan assets and the plan’s benefit obligation. The plans’ benefit obligations and net periodic benefit costs (credits) are actuarially determined and impacted by various assumptions and estimates. (See Note 10 – Employee Benefit Plans.)</w:t>
      </w:r>
    </w:p>
    <w:p>
      <w:pPr>
        <w:spacing w:after="0" w:line="1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discount rates are determined separately for each of our pension and other postretirement benefit plans based on an approach specific to our plans. The year-end discount rates are determined considering a yield curve comprised of high-quality corporate bonds and the timing of the expected benefit cash flows of each plan.</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expected long-term rates of return on plan assets are determined by combining a review of the historical returns within the portfolio, the investment strategy included in the plans’ investment policy statement, and capital market projections for the asset classes in which the portfolio is invested, as well as the weighting of each asset class.</w:t>
      </w:r>
    </w:p>
    <w:p>
      <w:pPr>
        <w:spacing w:after="0" w:line="14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Unrecognized actuarial gains and losses and unrecognized prior service costs and credits are deferred and recorded in AOCI or, for Transco and Northwest Pipeline, as a regulatory asset or liability, until amortized as a component of net periodic benefit cost (credit). Unrecognized actuarial gains and losses in excess of 10 percent of the greater of the benefit obligation or the market-related value of plan assets are amortized over the participants’ average remaining future years of service, which is approximately 13 years for our pension plans and approximately 7 years for our other postretirement benefit plan.</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expected return on plan assets component of net periodic benefit cost (credit) is calculated using the market-related value of plan assets. For our pension plans, the market-related value of plan assets is equal to the fair value of plan assets adjusted to reflect the amortization of gains or losses associated with the difference between the expected and actual return on plan assets over a 5-year period. Additionally, the market-related value of assets may be no more than 110 percent or less than 90 percent of the fair value of plan assets at the beginning of the year. The market-related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932"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value of plan assets for our other postretirement benefit plan is equal to the unadjusted fair value of plan assets at the beginning of the year.</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72727"/>
        </w:rPr>
        <w:t xml:space="preserve">We include the operations </w:t>
      </w:r>
      <w:r>
        <w:rPr>
          <w:rFonts w:ascii="Arial" w:cs="Arial" w:eastAsia="Arial" w:hAnsi="Arial"/>
          <w:sz w:val="18"/>
          <w:szCs w:val="18"/>
          <w:color w:val="363636"/>
        </w:rPr>
        <w:t>of our</w:t>
      </w:r>
      <w:r>
        <w:rPr>
          <w:rFonts w:ascii="Arial" w:cs="Arial" w:eastAsia="Arial" w:hAnsi="Arial"/>
          <w:sz w:val="18"/>
          <w:szCs w:val="18"/>
          <w:color w:val="272727"/>
        </w:rPr>
        <w:t xml:space="preserve"> domestic </w:t>
      </w:r>
      <w:r>
        <w:rPr>
          <w:rFonts w:ascii="Arial" w:cs="Arial" w:eastAsia="Arial" w:hAnsi="Arial"/>
          <w:sz w:val="18"/>
          <w:szCs w:val="18"/>
          <w:color w:val="363636"/>
        </w:rPr>
        <w:t>corporate</w:t>
      </w:r>
      <w:r>
        <w:rPr>
          <w:rFonts w:ascii="Arial" w:cs="Arial" w:eastAsia="Arial" w:hAnsi="Arial"/>
          <w:sz w:val="18"/>
          <w:szCs w:val="18"/>
          <w:color w:val="272727"/>
        </w:rPr>
        <w:t xml:space="preserve"> subsidiaries and income </w:t>
      </w:r>
      <w:r>
        <w:rPr>
          <w:rFonts w:ascii="Arial" w:cs="Arial" w:eastAsia="Arial" w:hAnsi="Arial"/>
          <w:sz w:val="18"/>
          <w:szCs w:val="18"/>
          <w:color w:val="363636"/>
        </w:rPr>
        <w:t>from our subsidiary</w:t>
      </w:r>
      <w:r>
        <w:rPr>
          <w:rFonts w:ascii="Arial" w:cs="Arial" w:eastAsia="Arial" w:hAnsi="Arial"/>
          <w:sz w:val="18"/>
          <w:szCs w:val="18"/>
          <w:color w:val="272727"/>
        </w:rPr>
        <w:t xml:space="preserve"> partnerships in </w:t>
      </w:r>
      <w:r>
        <w:rPr>
          <w:rFonts w:ascii="Arial" w:cs="Arial" w:eastAsia="Arial" w:hAnsi="Arial"/>
          <w:sz w:val="18"/>
          <w:szCs w:val="18"/>
          <w:color w:val="363636"/>
        </w:rPr>
        <w:t>our consolidated</w:t>
      </w:r>
      <w:r>
        <w:rPr>
          <w:rFonts w:ascii="Arial" w:cs="Arial" w:eastAsia="Arial" w:hAnsi="Arial"/>
          <w:sz w:val="18"/>
          <w:szCs w:val="18"/>
          <w:color w:val="272727"/>
        </w:rPr>
        <w:t xml:space="preserve"> fed</w:t>
      </w:r>
      <w:r>
        <w:rPr>
          <w:rFonts w:ascii="Arial" w:cs="Arial" w:eastAsia="Arial" w:hAnsi="Arial"/>
          <w:sz w:val="18"/>
          <w:szCs w:val="18"/>
          <w:color w:val="454545"/>
        </w:rPr>
        <w:t>e</w:t>
      </w:r>
      <w:r>
        <w:rPr>
          <w:rFonts w:ascii="Arial" w:cs="Arial" w:eastAsia="Arial" w:hAnsi="Arial"/>
          <w:sz w:val="18"/>
          <w:szCs w:val="18"/>
          <w:color w:val="272727"/>
        </w:rPr>
        <w:t xml:space="preserve">ral income tax return </w:t>
      </w:r>
      <w:r>
        <w:rPr>
          <w:rFonts w:ascii="Arial" w:cs="Arial" w:eastAsia="Arial" w:hAnsi="Arial"/>
          <w:sz w:val="18"/>
          <w:szCs w:val="18"/>
          <w:color w:val="363636"/>
        </w:rPr>
        <w:t>and also file</w:t>
      </w:r>
      <w:r>
        <w:rPr>
          <w:rFonts w:ascii="Arial" w:cs="Arial" w:eastAsia="Arial" w:hAnsi="Arial"/>
          <w:sz w:val="18"/>
          <w:szCs w:val="18"/>
          <w:color w:val="272727"/>
        </w:rPr>
        <w:t xml:space="preserve"> tax return</w:t>
      </w:r>
      <w:r>
        <w:rPr>
          <w:rFonts w:ascii="Arial" w:cs="Arial" w:eastAsia="Arial" w:hAnsi="Arial"/>
          <w:sz w:val="18"/>
          <w:szCs w:val="18"/>
          <w:color w:val="454545"/>
        </w:rPr>
        <w:t>s</w:t>
      </w:r>
      <w:r>
        <w:rPr>
          <w:rFonts w:ascii="Arial" w:cs="Arial" w:eastAsia="Arial" w:hAnsi="Arial"/>
          <w:sz w:val="18"/>
          <w:szCs w:val="18"/>
          <w:color w:val="272727"/>
        </w:rPr>
        <w:t xml:space="preserve"> in </w:t>
      </w:r>
      <w:r>
        <w:rPr>
          <w:rFonts w:ascii="Arial" w:cs="Arial" w:eastAsia="Arial" w:hAnsi="Arial"/>
          <w:sz w:val="18"/>
          <w:szCs w:val="18"/>
          <w:color w:val="363636"/>
        </w:rPr>
        <w:t>various</w:t>
      </w:r>
      <w:r>
        <w:rPr>
          <w:rFonts w:ascii="Arial" w:cs="Arial" w:eastAsia="Arial" w:hAnsi="Arial"/>
          <w:sz w:val="18"/>
          <w:szCs w:val="18"/>
          <w:color w:val="272727"/>
        </w:rPr>
        <w:t xml:space="preserve"> foreign and </w:t>
      </w:r>
      <w:r>
        <w:rPr>
          <w:rFonts w:ascii="Arial" w:cs="Arial" w:eastAsia="Arial" w:hAnsi="Arial"/>
          <w:sz w:val="18"/>
          <w:szCs w:val="18"/>
          <w:color w:val="363636"/>
        </w:rPr>
        <w:t>state</w:t>
      </w:r>
      <w:r>
        <w:rPr>
          <w:rFonts w:ascii="Arial" w:cs="Arial" w:eastAsia="Arial" w:hAnsi="Arial"/>
          <w:sz w:val="18"/>
          <w:szCs w:val="18"/>
          <w:color w:val="272727"/>
        </w:rPr>
        <w:t xml:space="preserve"> jurisdictions as required</w:t>
      </w:r>
      <w:r>
        <w:rPr>
          <w:rFonts w:ascii="Arial" w:cs="Arial" w:eastAsia="Arial" w:hAnsi="Arial"/>
          <w:sz w:val="18"/>
          <w:szCs w:val="18"/>
          <w:color w:val="454545"/>
        </w:rPr>
        <w:t>.</w:t>
      </w:r>
      <w:r>
        <w:rPr>
          <w:rFonts w:ascii="Arial" w:cs="Arial" w:eastAsia="Arial" w:hAnsi="Arial"/>
          <w:sz w:val="18"/>
          <w:szCs w:val="18"/>
          <w:color w:val="272727"/>
        </w:rPr>
        <w:t xml:space="preserve"> Deferred income taxes are </w:t>
      </w:r>
      <w:r>
        <w:rPr>
          <w:rFonts w:ascii="Arial" w:cs="Arial" w:eastAsia="Arial" w:hAnsi="Arial"/>
          <w:sz w:val="18"/>
          <w:szCs w:val="18"/>
          <w:color w:val="363636"/>
        </w:rPr>
        <w:t>computed</w:t>
      </w:r>
      <w:r>
        <w:rPr>
          <w:rFonts w:ascii="Arial" w:cs="Arial" w:eastAsia="Arial" w:hAnsi="Arial"/>
          <w:sz w:val="18"/>
          <w:szCs w:val="18"/>
          <w:color w:val="272727"/>
        </w:rPr>
        <w:t xml:space="preserve"> using the liability </w:t>
      </w:r>
      <w:r>
        <w:rPr>
          <w:rFonts w:ascii="Arial" w:cs="Arial" w:eastAsia="Arial" w:hAnsi="Arial"/>
          <w:sz w:val="18"/>
          <w:szCs w:val="18"/>
          <w:color w:val="363636"/>
        </w:rPr>
        <w:t>method</w:t>
      </w:r>
      <w:r>
        <w:rPr>
          <w:rFonts w:ascii="Arial" w:cs="Arial" w:eastAsia="Arial" w:hAnsi="Arial"/>
          <w:sz w:val="18"/>
          <w:szCs w:val="18"/>
          <w:color w:val="272727"/>
        </w:rPr>
        <w:t xml:space="preserve"> and are provided </w:t>
      </w:r>
      <w:r>
        <w:rPr>
          <w:rFonts w:ascii="Arial" w:cs="Arial" w:eastAsia="Arial" w:hAnsi="Arial"/>
          <w:sz w:val="18"/>
          <w:szCs w:val="18"/>
          <w:color w:val="363636"/>
        </w:rPr>
        <w:t>on all</w:t>
      </w:r>
      <w:r>
        <w:rPr>
          <w:rFonts w:ascii="Arial" w:cs="Arial" w:eastAsia="Arial" w:hAnsi="Arial"/>
          <w:sz w:val="18"/>
          <w:szCs w:val="18"/>
          <w:color w:val="272727"/>
        </w:rPr>
        <w:t xml:space="preserve"> temporary differences between the </w:t>
      </w:r>
      <w:r>
        <w:rPr>
          <w:rFonts w:ascii="Arial" w:cs="Arial" w:eastAsia="Arial" w:hAnsi="Arial"/>
          <w:sz w:val="18"/>
          <w:szCs w:val="18"/>
          <w:color w:val="363636"/>
        </w:rPr>
        <w:t>financial</w:t>
      </w:r>
      <w:r>
        <w:rPr>
          <w:rFonts w:ascii="Arial" w:cs="Arial" w:eastAsia="Arial" w:hAnsi="Arial"/>
          <w:sz w:val="18"/>
          <w:szCs w:val="18"/>
          <w:color w:val="272727"/>
        </w:rPr>
        <w:t xml:space="preserve"> basis and the tax basis </w:t>
      </w:r>
      <w:r>
        <w:rPr>
          <w:rFonts w:ascii="Arial" w:cs="Arial" w:eastAsia="Arial" w:hAnsi="Arial"/>
          <w:sz w:val="18"/>
          <w:szCs w:val="18"/>
          <w:color w:val="363636"/>
        </w:rPr>
        <w:t>of our assets</w:t>
      </w:r>
      <w:r>
        <w:rPr>
          <w:rFonts w:ascii="Arial" w:cs="Arial" w:eastAsia="Arial" w:hAnsi="Arial"/>
          <w:sz w:val="18"/>
          <w:szCs w:val="18"/>
          <w:color w:val="272727"/>
        </w:rPr>
        <w:t xml:space="preserve"> and </w:t>
      </w:r>
      <w:r>
        <w:rPr>
          <w:rFonts w:ascii="Arial" w:cs="Arial" w:eastAsia="Arial" w:hAnsi="Arial"/>
          <w:sz w:val="18"/>
          <w:szCs w:val="18"/>
          <w:color w:val="363636"/>
        </w:rPr>
        <w:t>liabilities. Our</w:t>
      </w:r>
      <w:r>
        <w:rPr>
          <w:rFonts w:ascii="Arial" w:cs="Arial" w:eastAsia="Arial" w:hAnsi="Arial"/>
          <w:sz w:val="18"/>
          <w:szCs w:val="18"/>
          <w:color w:val="272727"/>
        </w:rPr>
        <w:t xml:space="preserve"> judgment </w:t>
      </w:r>
      <w:r>
        <w:rPr>
          <w:rFonts w:ascii="Arial" w:cs="Arial" w:eastAsia="Arial" w:hAnsi="Arial"/>
          <w:sz w:val="18"/>
          <w:szCs w:val="18"/>
          <w:color w:val="363636"/>
        </w:rPr>
        <w:t>and income</w:t>
      </w:r>
      <w:r>
        <w:rPr>
          <w:rFonts w:ascii="Arial" w:cs="Arial" w:eastAsia="Arial" w:hAnsi="Arial"/>
          <w:sz w:val="18"/>
          <w:szCs w:val="18"/>
          <w:color w:val="272727"/>
        </w:rPr>
        <w:t xml:space="preserve"> tax </w:t>
      </w:r>
      <w:r>
        <w:rPr>
          <w:rFonts w:ascii="Arial" w:cs="Arial" w:eastAsia="Arial" w:hAnsi="Arial"/>
          <w:sz w:val="18"/>
          <w:szCs w:val="18"/>
          <w:color w:val="363636"/>
        </w:rPr>
        <w:t>assumptions</w:t>
      </w:r>
      <w:r>
        <w:rPr>
          <w:rFonts w:ascii="Arial" w:cs="Arial" w:eastAsia="Arial" w:hAnsi="Arial"/>
          <w:sz w:val="18"/>
          <w:szCs w:val="18"/>
          <w:color w:val="272727"/>
        </w:rPr>
        <w:t xml:space="preserve"> are used </w:t>
      </w:r>
      <w:r>
        <w:rPr>
          <w:rFonts w:ascii="Arial" w:cs="Arial" w:eastAsia="Arial" w:hAnsi="Arial"/>
          <w:sz w:val="18"/>
          <w:szCs w:val="18"/>
          <w:color w:val="363636"/>
        </w:rPr>
        <w:t>to</w:t>
      </w:r>
      <w:r>
        <w:rPr>
          <w:rFonts w:ascii="Arial" w:cs="Arial" w:eastAsia="Arial" w:hAnsi="Arial"/>
          <w:sz w:val="18"/>
          <w:szCs w:val="18"/>
          <w:color w:val="272727"/>
        </w:rPr>
        <w:t xml:space="preserve"> determine the </w:t>
      </w:r>
      <w:r>
        <w:rPr>
          <w:rFonts w:ascii="Arial" w:cs="Arial" w:eastAsia="Arial" w:hAnsi="Arial"/>
          <w:sz w:val="18"/>
          <w:szCs w:val="18"/>
          <w:color w:val="363636"/>
        </w:rPr>
        <w:t>levels, if</w:t>
      </w:r>
      <w:r>
        <w:rPr>
          <w:rFonts w:ascii="Arial" w:cs="Arial" w:eastAsia="Arial" w:hAnsi="Arial"/>
          <w:sz w:val="18"/>
          <w:szCs w:val="18"/>
          <w:color w:val="272727"/>
        </w:rPr>
        <w:t xml:space="preserve"> any, of </w:t>
      </w:r>
      <w:r>
        <w:rPr>
          <w:rFonts w:ascii="Arial" w:cs="Arial" w:eastAsia="Arial" w:hAnsi="Arial"/>
          <w:sz w:val="18"/>
          <w:szCs w:val="18"/>
          <w:color w:val="454545"/>
        </w:rPr>
        <w:t>v</w:t>
      </w:r>
      <w:r>
        <w:rPr>
          <w:rFonts w:ascii="Arial" w:cs="Arial" w:eastAsia="Arial" w:hAnsi="Arial"/>
          <w:sz w:val="18"/>
          <w:szCs w:val="18"/>
          <w:color w:val="272727"/>
        </w:rPr>
        <w:t xml:space="preserve">aluation </w:t>
      </w:r>
      <w:r>
        <w:rPr>
          <w:rFonts w:ascii="Arial" w:cs="Arial" w:eastAsia="Arial" w:hAnsi="Arial"/>
          <w:sz w:val="18"/>
          <w:szCs w:val="18"/>
          <w:color w:val="363636"/>
        </w:rPr>
        <w:t>allowances associated with</w:t>
      </w:r>
      <w:r>
        <w:rPr>
          <w:rFonts w:ascii="Arial" w:cs="Arial" w:eastAsia="Arial" w:hAnsi="Arial"/>
          <w:sz w:val="18"/>
          <w:szCs w:val="18"/>
          <w:color w:val="272727"/>
        </w:rPr>
        <w:t xml:space="preserve"> deferred tax assets.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per common share</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Basic earnings (loss) per common share </w:t>
      </w:r>
      <w:r>
        <w:rPr>
          <w:rFonts w:ascii="Arial" w:cs="Arial" w:eastAsia="Arial" w:hAnsi="Arial"/>
          <w:sz w:val="18"/>
          <w:szCs w:val="18"/>
          <w:color w:val="auto"/>
        </w:rPr>
        <w:t>in the Consolidated Statement of Operations is based on the sum of the weighted-average number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shares outstanding and vested restricted stock units. </w:t>
      </w:r>
      <w:r>
        <w:rPr>
          <w:rFonts w:ascii="Arial" w:cs="Arial" w:eastAsia="Arial" w:hAnsi="Arial"/>
          <w:sz w:val="18"/>
          <w:szCs w:val="18"/>
          <w:i w:val="1"/>
          <w:iCs w:val="1"/>
          <w:color w:val="auto"/>
        </w:rPr>
        <w:t>Diluted earnings (loss) per common share</w:t>
      </w:r>
      <w:r>
        <w:rPr>
          <w:rFonts w:ascii="Arial" w:cs="Arial" w:eastAsia="Arial" w:hAnsi="Arial"/>
          <w:sz w:val="18"/>
          <w:szCs w:val="18"/>
          <w:color w:val="auto"/>
        </w:rPr>
        <w:t xml:space="preserve"> in the Consolidated Statement of Operations includes any dilutive effect of stock options, nonvested restricted stock units, and convertible debt, unless otherwise noted. </w:t>
      </w:r>
      <w:r>
        <w:rPr>
          <w:rFonts w:ascii="Arial" w:cs="Arial" w:eastAsia="Arial" w:hAnsi="Arial"/>
          <w:sz w:val="18"/>
          <w:szCs w:val="18"/>
          <w:i w:val="1"/>
          <w:iCs w:val="1"/>
          <w:color w:val="auto"/>
        </w:rPr>
        <w:t>Diluted earnings (loss) per common share</w:t>
      </w:r>
      <w:r>
        <w:rPr>
          <w:rFonts w:ascii="Arial" w:cs="Arial" w:eastAsia="Arial" w:hAnsi="Arial"/>
          <w:sz w:val="18"/>
          <w:szCs w:val="18"/>
          <w:color w:val="auto"/>
        </w:rPr>
        <w:t xml:space="preserve"> are calculated using the treasury-stock method.</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standards issued and adopted</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(ASU 2016-02). ASU 2016-02 establishes a comprehensive new lease accounting model. ASU 2016-02 modifies the definition of a lease, requires a dual approach to lease classification similar to prior lease accounting, and causes lessees to recognize operating leases on the balance sheet as a lease liability measured as the present value of the future lease payments with a corresponding right-of-use asset, with an exception for leases with a term of one year or less. Additional disclosures are required regarding the amount, timing, and uncertainty of cash flows arising from leases. In January 2018, the FASB issued ASU 2018-01 “Leases (Topic 842): Land Easement Practical Expedient for Transition to Topic 842” (ASU 2018-01). Per ASU 2018-01, land easements and rights-of-way are required to be assessed under ASU 2016-02 to determine whether the arrangements are or contain a lease. ASU 2018-01 permits an entity to elect a transition practical expedient to not apply ASU 2016-02 to land easements that exist or expired before the effective date of ASU 2016-02 and that were not previously assessed under the previous lease guidance in ASC Topic 840 “Leases.”</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July 2018, the FASB issued ASU 2018-11 “Leases (Topic 842): Targeted Improvements” (ASU 2018-11). Prior to ASU 2018-11, a modified retrospective transition was required for financing or operating leases existing at or entered into after the beginning of the earliest comparative period presented in the financial statements. ASU 2018-11 allows entities an additional transition method to the existing requirements whereby an entity could adopt the provisions of ASU 2016-02 by recognizing a cumulative-effect adjustment to the opening balance of retained earnings in the period of adoption without adjustment to the financial statements for periods prior to adoption. ASU 2018-11 also allows a practical expedient that permits lessors to not separate nonlease components from the associated lease component if certain conditions are present. ASU 2016-02 is effective for interim and annual periods beginning after December 15, 2018. We prospectively adopted ASU 2016-02 effective January 1, 2019, and did not adjust prior periods as permitted by ASU 2018-11 (see Note 11 – Leases).</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completed our review of contracts to identify leases based on the modified definition of a lease and implemented changes to our internal controls to support management in the accounting for and disclosure of leasing activities upon adoption of ASU 2016-02. We implemented a financial lease accounting system to assist management in the accounting for leases upon adoption. The most significant changes to our financial statements as a result of adopting ASU 2016-02 relate to the recognition of a $225 million lease liability and offsetting right-of-use asset in our Consolidated Balance Sheet for operating leases. We also evaluated ASU 2016-02’s available practical expedients on adoption and have generally elected to adopt the practical expedients, which includes the practical expedient to not separate lease and nonlease components by both lessees and lessors by class of underlying assets and the land easements practical expedient.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931"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ASU 2016-13 changes the impairment model for most financial assets and certain other instruments. For trade and other receivables, held-to-maturity debt securities, loans, and other instruments, entities will be required to use a new forward-looking “expected loss” model that generally will result in the earlier recognition of allowances for losses. The guidance also requires increased disclosures. ASU 2016-13 is effective for us for interim and annual periods beginning after December 15, 2019. We are adopting ASU 2016-13 effective January 1, 2020. We anticipate that ASU 2016-13 will primarily apply to our trade receivables. While we do not expect a significant financial impact, we have analyzed our historical credit loss experience, and considered current conditions and reasonable forecasts, in developing our expected credit loss rate, and continue to develop and implement processes, procedures, and internal controls in order to make the necessary credit loss assessments and required disclosures upon adoption.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93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disaggregated by major service line:</w:t>
      </w:r>
    </w:p>
    <w:p>
      <w:pPr>
        <w:spacing w:after="0" w:line="160"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0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Northwest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Atlantic-</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Northeast</w:t>
            </w: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2"/>
        </w:trPr>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Transco</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Pipeline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Gulf Midstream</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Midstream</w:t>
            </w: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West Midstream</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Other</w:t>
            </w: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Eliminations</w:t>
            </w: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Total</w:t>
            </w:r>
          </w:p>
        </w:tc>
      </w:tr>
    </w:tbl>
    <w:p>
      <w:pPr>
        <w:spacing w:after="0" w:line="58"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2019</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 revenues: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Non-regulated gathering, processing,</w:t>
      </w:r>
    </w:p>
    <w:tbl>
      <w:tblPr>
        <w:tblLayout w:type="fixed"/>
        <w:tblInd w:w="0" w:type="dxa"/>
        <w:tblCellMar>
          <w:top w:w="0" w:type="dxa"/>
          <w:left w:w="0" w:type="dxa"/>
          <w:bottom w:w="0" w:type="dxa"/>
          <w:right w:w="0" w:type="dxa"/>
        </w:tblCellMar>
      </w:tblPr>
      <w:tr>
        <w:trPr>
          <w:trHeight w:val="173"/>
        </w:trPr>
        <w:tc>
          <w:tcPr>
            <w:tcW w:w="2640" w:type="dxa"/>
            <w:vAlign w:val="bottom"/>
          </w:tcPr>
          <w:p>
            <w:pPr>
              <w:ind w:left="420"/>
              <w:spacing w:after="0"/>
              <w:rPr>
                <w:sz w:val="20"/>
                <w:szCs w:val="20"/>
                <w:color w:val="auto"/>
              </w:rPr>
            </w:pPr>
            <w:r>
              <w:rPr>
                <w:rFonts w:ascii="Arial" w:cs="Arial" w:eastAsia="Arial" w:hAnsi="Arial"/>
                <w:sz w:val="14"/>
                <w:szCs w:val="14"/>
                <w:color w:val="auto"/>
              </w:rPr>
              <w:t>transportation, and storage:</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71"/>
        </w:trPr>
        <w:tc>
          <w:tcPr>
            <w:tcW w:w="2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Monetary consideration</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2,884</w:t>
            </w:r>
          </w:p>
        </w:tc>
      </w:tr>
      <w:tr>
        <w:trPr>
          <w:trHeight w:val="263"/>
        </w:trPr>
        <w:tc>
          <w:tcPr>
            <w:tcW w:w="2640" w:type="dxa"/>
            <w:vAlign w:val="bottom"/>
          </w:tcPr>
          <w:p>
            <w:pPr>
              <w:ind w:left="580"/>
              <w:spacing w:after="0"/>
              <w:rPr>
                <w:sz w:val="20"/>
                <w:szCs w:val="20"/>
                <w:color w:val="auto"/>
              </w:rPr>
            </w:pPr>
            <w:r>
              <w:rPr>
                <w:rFonts w:ascii="Arial" w:cs="Arial" w:eastAsia="Arial" w:hAnsi="Arial"/>
                <w:sz w:val="14"/>
                <w:szCs w:val="14"/>
                <w:color w:val="auto"/>
              </w:rPr>
              <w:t>Commodity consideration</w:t>
            </w:r>
          </w:p>
        </w:tc>
        <w:tc>
          <w:tcPr>
            <w:tcW w:w="24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203</w:t>
            </w:r>
          </w:p>
        </w:tc>
      </w:tr>
      <w:tr>
        <w:trPr>
          <w:trHeight w:val="172"/>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Regulated interstate natural gas</w:t>
            </w: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86"/>
        </w:trPr>
        <w:tc>
          <w:tcPr>
            <w:tcW w:w="26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transportation and storage</w:t>
            </w: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2,780</w:t>
            </w:r>
          </w:p>
        </w:tc>
      </w:tr>
      <w:tr>
        <w:trPr>
          <w:trHeight w:val="264"/>
        </w:trPr>
        <w:tc>
          <w:tcPr>
            <w:tcW w:w="2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210</w:t>
            </w:r>
          </w:p>
        </w:tc>
      </w:tr>
      <w:tr>
        <w:trPr>
          <w:trHeight w:val="257"/>
        </w:trPr>
        <w:tc>
          <w:tcPr>
            <w:tcW w:w="2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service revenues</w:t>
            </w:r>
          </w:p>
        </w:tc>
        <w:tc>
          <w:tcPr>
            <w:tcW w:w="2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6,077</w:t>
            </w:r>
          </w:p>
        </w:tc>
      </w:tr>
      <w:tr>
        <w:trPr>
          <w:trHeight w:val="257"/>
        </w:trPr>
        <w:tc>
          <w:tcPr>
            <w:tcW w:w="2640" w:type="dxa"/>
            <w:vAlign w:val="bottom"/>
          </w:tcPr>
          <w:p>
            <w:pPr>
              <w:ind w:left="200"/>
              <w:spacing w:after="0"/>
              <w:rPr>
                <w:sz w:val="20"/>
                <w:szCs w:val="20"/>
                <w:color w:val="auto"/>
              </w:rPr>
            </w:pPr>
            <w:r>
              <w:rPr>
                <w:rFonts w:ascii="Arial" w:cs="Arial" w:eastAsia="Arial" w:hAnsi="Arial"/>
                <w:sz w:val="14"/>
                <w:szCs w:val="14"/>
                <w:color w:val="auto"/>
              </w:rPr>
              <w:t>Product Sales:</w:t>
            </w:r>
          </w:p>
        </w:tc>
        <w:tc>
          <w:tcPr>
            <w:tcW w:w="2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271"/>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NGL and natural gas</w:t>
            </w: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2,063</w:t>
            </w:r>
          </w:p>
        </w:tc>
      </w:tr>
      <w:tr>
        <w:trPr>
          <w:trHeight w:val="250"/>
        </w:trPr>
        <w:tc>
          <w:tcPr>
            <w:tcW w:w="2640" w:type="dxa"/>
            <w:vAlign w:val="bottom"/>
          </w:tcPr>
          <w:p>
            <w:pPr>
              <w:ind w:left="40"/>
              <w:spacing w:after="0"/>
              <w:rPr>
                <w:sz w:val="20"/>
                <w:szCs w:val="20"/>
                <w:color w:val="auto"/>
              </w:rPr>
            </w:pPr>
            <w:r>
              <w:rPr>
                <w:rFonts w:ascii="Arial" w:cs="Arial" w:eastAsia="Arial" w:hAnsi="Arial"/>
                <w:sz w:val="14"/>
                <w:szCs w:val="14"/>
                <w:color w:val="auto"/>
                <w:w w:val="91"/>
              </w:rPr>
              <w:t>Total revenues from contracts with customers</w:t>
            </w:r>
          </w:p>
        </w:tc>
        <w:tc>
          <w:tcPr>
            <w:tcW w:w="24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2,453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3,296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8,140</w:t>
            </w:r>
          </w:p>
        </w:tc>
      </w:tr>
      <w:tr>
        <w:trPr>
          <w:trHeight w:val="271"/>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revenues (1)</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w:t>
            </w:r>
          </w:p>
        </w:tc>
      </w:tr>
      <w:tr>
        <w:trPr>
          <w:trHeight w:val="283"/>
        </w:trPr>
        <w:tc>
          <w:tcPr>
            <w:tcW w:w="26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2,454</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450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739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1,500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3,310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8,201</w:t>
            </w:r>
          </w:p>
        </w:tc>
      </w:tr>
      <w:tr>
        <w:trPr>
          <w:trHeight w:val="224"/>
        </w:trPr>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bl>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Revenues from contracts with customers: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Service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Non-regulated gathering, processing,</w:t>
      </w:r>
    </w:p>
    <w:p>
      <w:pPr>
        <w:ind w:left="420"/>
        <w:spacing w:after="0"/>
        <w:rPr>
          <w:sz w:val="20"/>
          <w:szCs w:val="20"/>
          <w:color w:val="auto"/>
        </w:rPr>
      </w:pPr>
      <w:r>
        <w:rPr>
          <w:rFonts w:ascii="Arial" w:cs="Arial" w:eastAsia="Arial" w:hAnsi="Arial"/>
          <w:sz w:val="14"/>
          <w:szCs w:val="14"/>
          <w:color w:val="auto"/>
        </w:rPr>
        <w:t>transportation, and storage: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40" w:type="dxa"/>
            <w:vAlign w:val="bottom"/>
          </w:tcPr>
          <w:p>
            <w:pPr>
              <w:ind w:left="580"/>
              <w:spacing w:after="0"/>
              <w:rPr>
                <w:sz w:val="20"/>
                <w:szCs w:val="20"/>
                <w:color w:val="auto"/>
              </w:rPr>
            </w:pPr>
            <w:r>
              <w:rPr>
                <w:rFonts w:ascii="Arial" w:cs="Arial" w:eastAsia="Arial" w:hAnsi="Arial"/>
                <w:sz w:val="14"/>
                <w:szCs w:val="14"/>
                <w:color w:val="auto"/>
              </w:rPr>
              <w:t>Monetary consideration</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420" w:type="dxa"/>
            <w:vAlign w:val="bottom"/>
          </w:tcPr>
          <w:p>
            <w:pPr>
              <w:jc w:val="right"/>
              <w:ind w:right="2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2,921</w:t>
            </w:r>
          </w:p>
        </w:tc>
      </w:tr>
      <w:tr>
        <w:trPr>
          <w:trHeight w:val="277"/>
        </w:trPr>
        <w:tc>
          <w:tcPr>
            <w:tcW w:w="2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Commodity consideration</w:t>
            </w:r>
          </w:p>
        </w:tc>
        <w:tc>
          <w:tcPr>
            <w:tcW w:w="2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400</w:t>
            </w:r>
          </w:p>
        </w:tc>
      </w:tr>
      <w:tr>
        <w:trPr>
          <w:trHeight w:val="165"/>
        </w:trPr>
        <w:tc>
          <w:tcPr>
            <w:tcW w:w="2640" w:type="dxa"/>
            <w:vAlign w:val="bottom"/>
          </w:tcPr>
          <w:p>
            <w:pPr>
              <w:ind w:left="340"/>
              <w:spacing w:after="0"/>
              <w:rPr>
                <w:sz w:val="20"/>
                <w:szCs w:val="20"/>
                <w:color w:val="auto"/>
              </w:rPr>
            </w:pPr>
            <w:r>
              <w:rPr>
                <w:rFonts w:ascii="Arial" w:cs="Arial" w:eastAsia="Arial" w:hAnsi="Arial"/>
                <w:sz w:val="14"/>
                <w:szCs w:val="14"/>
                <w:color w:val="auto"/>
              </w:rPr>
              <w:t>Regulated interstate natural gas</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9"/>
        </w:trPr>
        <w:tc>
          <w:tcPr>
            <w:tcW w:w="2640" w:type="dxa"/>
            <w:vAlign w:val="bottom"/>
          </w:tcPr>
          <w:p>
            <w:pPr>
              <w:ind w:left="420"/>
              <w:spacing w:after="0"/>
              <w:rPr>
                <w:sz w:val="20"/>
                <w:szCs w:val="20"/>
                <w:color w:val="auto"/>
              </w:rPr>
            </w:pPr>
            <w:r>
              <w:rPr>
                <w:rFonts w:ascii="Arial" w:cs="Arial" w:eastAsia="Arial" w:hAnsi="Arial"/>
                <w:sz w:val="14"/>
                <w:szCs w:val="14"/>
                <w:color w:val="auto"/>
              </w:rPr>
              <w:t>transportation and storage</w:t>
            </w:r>
          </w:p>
        </w:tc>
        <w:tc>
          <w:tcPr>
            <w:tcW w:w="24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1,921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2,362</w:t>
            </w:r>
          </w:p>
        </w:tc>
      </w:tr>
      <w:tr>
        <w:trPr>
          <w:trHeight w:val="271"/>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144</w:t>
            </w:r>
          </w:p>
        </w:tc>
      </w:tr>
      <w:tr>
        <w:trPr>
          <w:trHeight w:val="250"/>
        </w:trPr>
        <w:tc>
          <w:tcPr>
            <w:tcW w:w="264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service revenues</w:t>
            </w:r>
          </w:p>
        </w:tc>
        <w:tc>
          <w:tcPr>
            <w:tcW w:w="24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1,923</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617</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975</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1,957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5,827</w:t>
            </w:r>
          </w:p>
        </w:tc>
      </w:tr>
      <w:tr>
        <w:trPr>
          <w:trHeight w:val="270"/>
        </w:trPr>
        <w:tc>
          <w:tcPr>
            <w:tcW w:w="26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 Sales:</w:t>
            </w: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3"/>
        </w:trPr>
        <w:tc>
          <w:tcPr>
            <w:tcW w:w="2640" w:type="dxa"/>
            <w:vAlign w:val="bottom"/>
          </w:tcPr>
          <w:p>
            <w:pPr>
              <w:ind w:left="340"/>
              <w:spacing w:after="0"/>
              <w:rPr>
                <w:sz w:val="20"/>
                <w:szCs w:val="20"/>
                <w:color w:val="auto"/>
              </w:rPr>
            </w:pPr>
            <w:r>
              <w:rPr>
                <w:rFonts w:ascii="Arial" w:cs="Arial" w:eastAsia="Arial" w:hAnsi="Arial"/>
                <w:sz w:val="14"/>
                <w:szCs w:val="14"/>
                <w:color w:val="auto"/>
              </w:rPr>
              <w:t>NGL and natural gas</w:t>
            </w:r>
          </w:p>
        </w:tc>
        <w:tc>
          <w:tcPr>
            <w:tcW w:w="24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2,760</w:t>
            </w:r>
          </w:p>
        </w:tc>
      </w:tr>
      <w:tr>
        <w:trPr>
          <w:trHeight w:val="271"/>
        </w:trPr>
        <w:tc>
          <w:tcPr>
            <w:tcW w:w="2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r>
      <w:tr>
        <w:trPr>
          <w:trHeight w:val="250"/>
        </w:trPr>
        <w:tc>
          <w:tcPr>
            <w:tcW w:w="2640" w:type="dxa"/>
            <w:vAlign w:val="bottom"/>
          </w:tcPr>
          <w:p>
            <w:pPr>
              <w:ind w:left="440"/>
              <w:spacing w:after="0"/>
              <w:rPr>
                <w:sz w:val="20"/>
                <w:szCs w:val="20"/>
                <w:color w:val="auto"/>
              </w:rPr>
            </w:pPr>
            <w:r>
              <w:rPr>
                <w:rFonts w:ascii="Arial" w:cs="Arial" w:eastAsia="Arial" w:hAnsi="Arial"/>
                <w:sz w:val="14"/>
                <w:szCs w:val="14"/>
                <w:color w:val="auto"/>
              </w:rPr>
              <w:t>Total product sales</w:t>
            </w:r>
          </w:p>
        </w:tc>
        <w:tc>
          <w:tcPr>
            <w:tcW w:w="240" w:type="dxa"/>
            <w:vAlign w:val="bottom"/>
          </w:tcPr>
          <w:p>
            <w:pPr>
              <w:spacing w:after="0"/>
              <w:rPr>
                <w:sz w:val="21"/>
                <w:szCs w:val="21"/>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2,777</w:t>
            </w:r>
          </w:p>
        </w:tc>
      </w:tr>
      <w:tr>
        <w:trPr>
          <w:trHeight w:val="270"/>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1"/>
              </w:rPr>
              <w:t>Total revenues from contracts with customers</w:t>
            </w:r>
          </w:p>
        </w:tc>
        <w:tc>
          <w:tcPr>
            <w:tcW w:w="2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2,050</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443</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924</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1,262</w:t>
            </w:r>
          </w:p>
        </w:tc>
        <w:tc>
          <w:tcPr>
            <w:tcW w:w="12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4,399</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(476)</w:t>
            </w: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8,604</w:t>
            </w:r>
          </w:p>
        </w:tc>
      </w:tr>
      <w:tr>
        <w:trPr>
          <w:trHeight w:val="264"/>
        </w:trPr>
        <w:tc>
          <w:tcPr>
            <w:tcW w:w="2640" w:type="dxa"/>
            <w:vAlign w:val="bottom"/>
          </w:tcPr>
          <w:p>
            <w:pPr>
              <w:ind w:left="260"/>
              <w:spacing w:after="0"/>
              <w:rPr>
                <w:sz w:val="20"/>
                <w:szCs w:val="20"/>
                <w:color w:val="auto"/>
              </w:rPr>
            </w:pPr>
            <w:r>
              <w:rPr>
                <w:rFonts w:ascii="Arial" w:cs="Arial" w:eastAsia="Arial" w:hAnsi="Arial"/>
                <w:sz w:val="14"/>
                <w:szCs w:val="14"/>
                <w:color w:val="auto"/>
              </w:rPr>
              <w:t>Other revenues (1)</w:t>
            </w:r>
          </w:p>
        </w:tc>
        <w:tc>
          <w:tcPr>
            <w:tcW w:w="240" w:type="dxa"/>
            <w:vAlign w:val="bottom"/>
          </w:tcPr>
          <w:p>
            <w:pPr>
              <w:spacing w:after="0"/>
              <w:rPr>
                <w:sz w:val="22"/>
                <w:szCs w:val="22"/>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82</w:t>
            </w:r>
          </w:p>
        </w:tc>
      </w:tr>
      <w:tr>
        <w:trPr>
          <w:trHeight w:val="243"/>
        </w:trPr>
        <w:tc>
          <w:tcPr>
            <w:tcW w:w="26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revenues</w:t>
            </w: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8,686</w:t>
            </w:r>
          </w:p>
        </w:tc>
      </w:tr>
      <w:tr>
        <w:trPr>
          <w:trHeight w:val="20"/>
        </w:trPr>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w:t>
      </w:r>
    </w:p>
    <w:p>
      <w:pPr>
        <w:spacing w:after="0" w:line="5" w:lineRule="exact"/>
        <w:rPr>
          <w:sz w:val="20"/>
          <w:szCs w:val="20"/>
          <w:color w:val="auto"/>
        </w:rPr>
      </w:pPr>
    </w:p>
    <w:p>
      <w:pPr>
        <w:jc w:val="both"/>
        <w:ind w:left="340" w:hanging="332"/>
        <w:spacing w:after="0" w:line="253"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Revenues not within the scope of ASC 606, “Revenue from Contracts with Customers,” consist of leasing revenues associated with our headquarters building and management fees that we receive for certain services we provide to operated equity-method investments, which are reported in </w:t>
      </w:r>
      <w:r>
        <w:rPr>
          <w:rFonts w:ascii="Arial" w:cs="Arial" w:eastAsia="Arial" w:hAnsi="Arial"/>
          <w:sz w:val="18"/>
          <w:szCs w:val="18"/>
          <w:i w:val="1"/>
          <w:iCs w:val="1"/>
          <w:color w:val="auto"/>
        </w:rPr>
        <w:t>Service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revenues </w:t>
      </w:r>
      <w:r>
        <w:rPr>
          <w:rFonts w:ascii="Arial" w:cs="Arial" w:eastAsia="Arial" w:hAnsi="Arial"/>
          <w:sz w:val="18"/>
          <w:szCs w:val="18"/>
          <w:color w:val="auto"/>
        </w:rPr>
        <w:t>in our Consolidated Statement of Operations, and amounts associated with our derivative contracts, which are reported in</w:t>
      </w:r>
      <w:r>
        <w:rPr>
          <w:rFonts w:ascii="Arial" w:cs="Arial" w:eastAsia="Arial" w:hAnsi="Arial"/>
          <w:sz w:val="18"/>
          <w:szCs w:val="18"/>
          <w:i w:val="1"/>
          <w:iCs w:val="1"/>
          <w:color w:val="auto"/>
        </w:rPr>
        <w:t xml:space="preserve"> Product sales </w:t>
      </w:r>
      <w:r>
        <w:rPr>
          <w:rFonts w:ascii="Arial" w:cs="Arial" w:eastAsia="Arial" w:hAnsi="Arial"/>
          <w:sz w:val="18"/>
          <w:szCs w:val="18"/>
          <w:color w:val="auto"/>
        </w:rPr>
        <w:t>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 of Operations</w:t>
      </w:r>
      <w:r>
        <w:rPr>
          <w:rFonts w:ascii="Arial" w:cs="Arial" w:eastAsia="Arial" w:hAnsi="Arial"/>
          <w:sz w:val="18"/>
          <w:szCs w:val="18"/>
          <w:b w:val="1"/>
          <w:bCs w:val="1"/>
          <w:color w:val="auto"/>
        </w:rPr>
        <w:t>.</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931"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our contract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8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7"/>
              </w:rPr>
              <w:t>(Millions)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Revenue recognized in excess of amounts invoiced</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Minimum volume commitments invoiced</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Contract Liabilities</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3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40" w:type="dxa"/>
            <w:vAlign w:val="bottom"/>
          </w:tcPr>
          <w:p>
            <w:pPr>
              <w:ind w:left="340"/>
              <w:spacing w:after="0"/>
              <w:rPr>
                <w:sz w:val="20"/>
                <w:szCs w:val="20"/>
                <w:color w:val="auto"/>
              </w:rPr>
            </w:pPr>
            <w:r>
              <w:rPr>
                <w:rFonts w:ascii="Arial" w:cs="Arial" w:eastAsia="Arial" w:hAnsi="Arial"/>
                <w:sz w:val="18"/>
                <w:szCs w:val="18"/>
                <w:color w:val="auto"/>
              </w:rPr>
              <w:t>The following table presents a reconciliation of our contract liabilities: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252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80" w:type="dxa"/>
            <w:vAlign w:val="bottom"/>
            <w:gridSpan w:val="3"/>
          </w:tcPr>
          <w:p>
            <w:pPr>
              <w:jc w:val="center"/>
              <w:ind w:right="256"/>
              <w:spacing w:after="0"/>
              <w:rPr>
                <w:sz w:val="20"/>
                <w:szCs w:val="20"/>
                <w:color w:val="auto"/>
              </w:rPr>
            </w:pPr>
            <w:r>
              <w:rPr>
                <w:rFonts w:ascii="Arial" w:cs="Arial" w:eastAsia="Arial" w:hAnsi="Arial"/>
                <w:sz w:val="14"/>
                <w:szCs w:val="14"/>
                <w:b w:val="1"/>
                <w:bCs w:val="1"/>
                <w:color w:val="auto"/>
                <w:w w:val="97"/>
              </w:rPr>
              <w:t>(Millions)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1,397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1,596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received and deferred</w:t>
            </w: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financing component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Deconsolidation of Jackalope interest (Note 6)</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Deconsolidation of certain Permian assets (Note 6)</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Recognized in revenue</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1,397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Remaining performance obligations primarily include reservation charges on contracted capacity for our gas pipeline firm transportation contracts with customers, storage capacity contracts, long-term contracts containing minimum volume commitments associated with our midstream businesses, and fixed payments associated with offshore production handling. For our interstate natural gas pipeline businesses, remaining performance obligations reflect the rates for such services in our current FERC tariffs for the life of the related contracts; however, these rates may change based on future tariffs approved by the FERC and the amount and timing of these changes are not currently known.</w:t>
      </w:r>
    </w:p>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remaining performance obligations exclude variable consideration, including contracts with variable consideration for which we have elected the practical expedient for consideration recognized in revenue as billed. Certain of our contracts contain evergreen and other renewal provisions for periods beyond the initial term of the contract. The remaining performance obligation amounts as of December 31, 2019, do not consider potential future performance obligations for which the renewal has not been exercised and excludes contracts with customers for which the underlying facilities have not received FERC authorization to be placed into service. Consideration received prior to December 31, 2019, that will be recognized in future periods is also excluded from our remaining performance obligations and is instead reflected in contract liabilities.</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table presents the amount of the contract liabilities balance expected to be recognized as revenue when performance obligations are satisfied and the transaction price allocated to the remaining performance obligations under certain contracts as of December 31, 2019.</w:t>
      </w:r>
    </w:p>
    <w:p>
      <w:pPr>
        <w:sectPr>
          <w:pgSz w:w="11900" w:h="16838" w:orient="portrait"/>
          <w:cols w:equalWidth="0" w:num="1">
            <w:col w:w="11420"/>
          </w:cols>
          <w:pgMar w:left="240" w:top="93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931" w:right="2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Contract Liabilities</w:t>
            </w:r>
          </w:p>
        </w:tc>
        <w:tc>
          <w:tcPr>
            <w:tcW w:w="260" w:type="dxa"/>
            <w:vAlign w:val="bottom"/>
          </w:tcPr>
          <w:p>
            <w:pPr>
              <w:spacing w:after="0"/>
              <w:rPr>
                <w:sz w:val="12"/>
                <w:szCs w:val="12"/>
                <w:color w:val="auto"/>
              </w:rPr>
            </w:pPr>
          </w:p>
        </w:tc>
        <w:tc>
          <w:tcPr>
            <w:tcW w:w="1100" w:type="dxa"/>
            <w:vAlign w:val="bottom"/>
          </w:tcPr>
          <w:p>
            <w:pPr>
              <w:jc w:val="center"/>
              <w:ind w:right="175"/>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18,815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33,454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UEOM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2018, we owned a 62 percent interest in UEOM which we accounted for as an equity-method investment. On March 18, 2019, we signed and closed the acquisition of the remaining 38 percent interest in UEOM. Total consideration paid, including post-closing adjustments, was $741 million in cash funded through credit facility borrowings and cash on hand. As a result of acquiring this additional interest, we obtained control of and now consolidate UEOM.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UEOM is involved primarily in the processing and fractionation of natural gas and natural gas liquids in the Utica Shale play in eastern Ohio. The purpose of the acquisition was to enhance our position in the region. We expect synergies through common ownership of UEOM and our Ohio Valley midstream systems to create a more efficient platform for capital spending in the region, resulting in reduced operating and maintenance expenses and creating enhanced capabilities and benefits for producers in the area.</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acquisition of UEOM was accounted for as a business combination, which requires, among other things, that identifiable assets acquired and liabilities assumed be recognized at their acquisition date fair values. In March 2019, based on the transaction price for our purchase of the remaining interest in UEOM as finalized just prior to the acquisition, we recognized a $74 million noncash impairment loss related to our existing 62 percent interest (see Note 18 – Fair Value Measurements, Guarantees, and Concentration of Credit Risk). Thus, there was no gain or loss on remeasuring our existing equity-method investment to fair value due to the impairment recognized just prior to closing the acquisition of the additional interest.</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valuation techniques used to measure the acquisition date fair value of the UEOM acquisition consisted of the market approach for our previous equity-method investment in UEOM and the income approach (excess earnings method) for valuation of intangible assets and depreciated replacement costs for property, plant, and equipment.</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following table presents the allocation of the acquisition date fair value of the major classes of the assets acquired, which are presented in the Northeast G&amp;P segment, and liabilities assumed at March 18, 2019. The net assets acquired reflect the sum of the consideration transferred and the noncash elimination of the fair value of our existing equity-method investment upon our acquisition of the additional interest. The fair value of accounts receivable acquired, presented in current assets in the table, equals contractual amounts receivable. After the March 31, 2019 financial statements were issued, we received an updated valuation report from a third-party valuation firm. Significant changes from the preliminary allocation disclosed in the first quarter to the final allocation, which were recorded in the second quarter of 2019, reflect an increase of $169 million in goodwill, and decreases of $106 million in property, plant, and equipment and $61 million in other intangible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93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(Millions)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including $13 million cash acquired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1,387</w:t>
            </w:r>
          </w:p>
        </w:tc>
      </w:tr>
      <w:tr>
        <w:trPr>
          <w:trHeight w:val="27"/>
        </w:trPr>
        <w:tc>
          <w:tcPr>
            <w:tcW w:w="10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r>
      <w:tr>
        <w:trPr>
          <w:trHeight w:val="237"/>
        </w:trPr>
        <w:tc>
          <w:tcPr>
            <w:tcW w:w="10060" w:type="dxa"/>
            <w:vAlign w:val="bottom"/>
          </w:tcPr>
          <w:p>
            <w:pPr>
              <w:ind w:left="200"/>
              <w:spacing w:after="0"/>
              <w:rPr>
                <w:sz w:val="20"/>
                <w:szCs w:val="20"/>
                <w:color w:val="auto"/>
              </w:rPr>
            </w:pPr>
            <w:r>
              <w:rPr>
                <w:rFonts w:ascii="Arial" w:cs="Arial" w:eastAsia="Arial" w:hAnsi="Arial"/>
                <w:sz w:val="18"/>
                <w:szCs w:val="18"/>
                <w:color w:val="auto"/>
              </w:rPr>
              <w:t>Total identifiable assets acquired</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1,770</w:t>
            </w:r>
          </w:p>
        </w:tc>
      </w:tr>
      <w:tr>
        <w:trPr>
          <w:trHeight w:val="27"/>
        </w:trPr>
        <w:tc>
          <w:tcPr>
            <w:tcW w:w="10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10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84"/>
        </w:trPr>
        <w:tc>
          <w:tcPr>
            <w:tcW w:w="100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4"/>
        </w:trPr>
        <w:tc>
          <w:tcPr>
            <w:tcW w:w="10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identifiable assets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w:t>
            </w:r>
          </w:p>
        </w:tc>
      </w:tr>
      <w:tr>
        <w:trPr>
          <w:trHeight w:val="284"/>
        </w:trPr>
        <w:tc>
          <w:tcPr>
            <w:tcW w:w="10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r>
      <w:tr>
        <w:trPr>
          <w:trHeight w:val="257"/>
        </w:trPr>
        <w:tc>
          <w:tcPr>
            <w:tcW w:w="10060" w:type="dxa"/>
            <w:vAlign w:val="bottom"/>
          </w:tcPr>
          <w:p>
            <w:pPr>
              <w:ind w:left="200"/>
              <w:spacing w:after="0"/>
              <w:rPr>
                <w:sz w:val="20"/>
                <w:szCs w:val="20"/>
                <w:color w:val="auto"/>
              </w:rPr>
            </w:pPr>
            <w:r>
              <w:rPr>
                <w:rFonts w:ascii="Arial" w:cs="Arial" w:eastAsia="Arial" w:hAnsi="Arial"/>
                <w:sz w:val="18"/>
                <w:szCs w:val="18"/>
                <w:color w:val="auto"/>
              </w:rPr>
              <w:t>Net assets acquired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1,951</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goodwill recognized in the acquisition relates primarily to enhancing and diversifying our basin positions and is reported within the Northeast G&amp;P segment. Substantially all of the goodwill is expected to be deductible for tax purposes. Goodwill is included within </w:t>
      </w:r>
      <w:r>
        <w:rPr>
          <w:rFonts w:ascii="Arial" w:cs="Arial" w:eastAsia="Arial" w:hAnsi="Arial"/>
          <w:sz w:val="18"/>
          <w:szCs w:val="18"/>
          <w:i w:val="1"/>
          <w:iCs w:val="1"/>
          <w:color w:val="auto"/>
        </w:rPr>
        <w:t>Intangible assets – net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in the Consolidated Balance Sheet and represents the excess of the consideration, plus the fair value of any previously held equity interest,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net assets acquired.</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Other intangible assets recognized in the acquisition are related to contractual customer relationships from gas gathering, processing, and fractionation agreements with our customers.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 period of 20 years which represents the term over which the contractual customer relationships are expected to contribute to our cash flows. Approximately 49 percent of the expected future revenues from these contractual customer relationships are impacted by our ability and intent to renew or renegotiate existing customer contracts. We expense costs incurred to renew or extend the terms of our gas gathering, processing, and fractionation contracts with customers. Based on the estimated future revenues during the current contract periods (as estimated at the time of the acquisition), the weighted-average period prior to the next renewal or extension of the existing contractual customer relationships was approximately 10 years.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following unaudited pro forma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income (loss) attributable to The Williams Companies, Inc.</w:t>
      </w:r>
      <w:r>
        <w:rPr>
          <w:rFonts w:ascii="Arial" w:cs="Arial" w:eastAsia="Arial" w:hAnsi="Arial"/>
          <w:sz w:val="18"/>
          <w:szCs w:val="18"/>
          <w:color w:val="auto"/>
        </w:rPr>
        <w:t xml:space="preserve"> for the years ended December 31, 2019 and 2018, respectively, are presented as if the UEOM acquisition had been completed on January 1, 2018. These pro forma amounts are not necessarily indicative of what the actual results would have been if the acquisition had in fact occurred on the date or for the periods indicated, nor do they purport to project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or </w:t>
      </w:r>
      <w:r>
        <w:rPr>
          <w:rFonts w:ascii="Arial" w:cs="Arial" w:eastAsia="Arial" w:hAnsi="Arial"/>
          <w:sz w:val="18"/>
          <w:szCs w:val="18"/>
          <w:i w:val="1"/>
          <w:iCs w:val="1"/>
          <w:color w:val="auto"/>
        </w:rPr>
        <w:t>Net income (loss) attributable to The Williams Companies, Inc.</w:t>
      </w:r>
      <w:r>
        <w:rPr>
          <w:rFonts w:ascii="Arial" w:cs="Arial" w:eastAsia="Arial" w:hAnsi="Arial"/>
          <w:sz w:val="18"/>
          <w:szCs w:val="18"/>
          <w:color w:val="auto"/>
        </w:rPr>
        <w:t xml:space="preserve"> for any future periods or as of any date. These amounts do not give effect to any potential cost savings, operating synergies, or revenue enhancements to result from the transaction or the potential costs to achieve these cost savings, operating synergies, and revenue enhancements.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4"/>
                <w:szCs w:val="14"/>
                <w:b w:val="1"/>
                <w:bCs w:val="1"/>
                <w:color w:val="auto"/>
                <w:w w:val="93"/>
              </w:rPr>
              <w:t>Year Ended December 31,</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left="481"/>
              <w:spacing w:after="0"/>
              <w:rPr>
                <w:sz w:val="20"/>
                <w:szCs w:val="20"/>
                <w:color w:val="auto"/>
              </w:rPr>
            </w:pPr>
            <w:r>
              <w:rPr>
                <w:rFonts w:ascii="Arial" w:cs="Arial" w:eastAsia="Arial" w:hAnsi="Arial"/>
                <w:sz w:val="14"/>
                <w:szCs w:val="14"/>
                <w:b w:val="1"/>
                <w:bCs w:val="1"/>
                <w:color w:val="auto"/>
                <w:w w:val="97"/>
              </w:rPr>
              <w:t>(Millions)</w:t>
            </w:r>
          </w:p>
        </w:tc>
        <w:tc>
          <w:tcPr>
            <w:tcW w:w="80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8,233</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8,836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 (loss) attributable to The Williams Companies, Inc.</w:t>
            </w:r>
          </w:p>
        </w:tc>
        <w:tc>
          <w:tcPr>
            <w:tcW w:w="280" w:type="dxa"/>
            <w:vAlign w:val="bottom"/>
          </w:tcPr>
          <w:p>
            <w:pPr>
              <w:spacing w:after="0"/>
              <w:rPr>
                <w:sz w:val="21"/>
                <w:szCs w:val="21"/>
                <w:color w:val="auto"/>
              </w:rPr>
            </w:pPr>
          </w:p>
        </w:tc>
        <w:tc>
          <w:tcPr>
            <w:tcW w:w="900" w:type="dxa"/>
            <w:vAlign w:val="bottom"/>
          </w:tcPr>
          <w:p>
            <w:pPr>
              <w:jc w:val="right"/>
              <w:ind w:right="61"/>
              <w:spacing w:after="0"/>
              <w:rPr>
                <w:sz w:val="20"/>
                <w:szCs w:val="20"/>
                <w:color w:val="auto"/>
              </w:rPr>
            </w:pPr>
            <w:r>
              <w:rPr>
                <w:rFonts w:ascii="Arial" w:cs="Arial" w:eastAsia="Arial" w:hAnsi="Arial"/>
                <w:sz w:val="18"/>
                <w:szCs w:val="18"/>
                <w:color w:val="auto"/>
              </w:rPr>
              <w:t>928</w:t>
            </w: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Adjustments to pro forma </w:t>
      </w:r>
      <w:r>
        <w:rPr>
          <w:rFonts w:ascii="Arial" w:cs="Arial" w:eastAsia="Arial" w:hAnsi="Arial"/>
          <w:sz w:val="18"/>
          <w:szCs w:val="18"/>
          <w:i w:val="1"/>
          <w:iCs w:val="1"/>
          <w:color w:val="auto"/>
        </w:rPr>
        <w:t>Net income (loss) attributable to The Williams Companies, Inc.</w:t>
      </w:r>
      <w:r>
        <w:rPr>
          <w:rFonts w:ascii="Arial" w:cs="Arial" w:eastAsia="Arial" w:hAnsi="Arial"/>
          <w:sz w:val="18"/>
          <w:szCs w:val="18"/>
          <w:color w:val="auto"/>
        </w:rPr>
        <w:t xml:space="preserve"> include the removal of the previously described $74 million impairment loss recognized in March 2019 just prior to the acquisition.</w:t>
      </w:r>
    </w:p>
    <w:p>
      <w:pPr>
        <w:sectPr>
          <w:pgSz w:w="11900" w:h="16838" w:orient="portrait"/>
          <w:cols w:equalWidth="0" w:num="1">
            <w:col w:w="11420"/>
          </w:cols>
          <w:pgMar w:left="240" w:top="93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931" w:right="2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During the period from the acquisition date of March 18, 2019 to December 31, 2019, UEOM contributed </w:t>
      </w:r>
      <w:r>
        <w:rPr>
          <w:rFonts w:ascii="Arial" w:cs="Arial" w:eastAsia="Arial" w:hAnsi="Arial"/>
          <w:sz w:val="18"/>
          <w:szCs w:val="18"/>
          <w:i w:val="1"/>
          <w:iCs w:val="1"/>
          <w:color w:val="auto"/>
        </w:rPr>
        <w:t>Revenues</w:t>
      </w:r>
      <w:r>
        <w:rPr>
          <w:rFonts w:ascii="Arial" w:cs="Arial" w:eastAsia="Arial" w:hAnsi="Arial"/>
          <w:sz w:val="18"/>
          <w:szCs w:val="18"/>
          <w:color w:val="auto"/>
        </w:rPr>
        <w:t xml:space="preserve"> of $179 million and </w:t>
      </w:r>
      <w:r>
        <w:rPr>
          <w:rFonts w:ascii="Arial" w:cs="Arial" w:eastAsia="Arial" w:hAnsi="Arial"/>
          <w:sz w:val="18"/>
          <w:szCs w:val="18"/>
          <w:i w:val="1"/>
          <w:iCs w:val="1"/>
          <w:color w:val="auto"/>
        </w:rPr>
        <w:t>Net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 attributable to The Williams Companies, Inc. </w:t>
      </w:r>
      <w:r>
        <w:rPr>
          <w:rFonts w:ascii="Arial" w:cs="Arial" w:eastAsia="Arial" w:hAnsi="Arial"/>
          <w:sz w:val="18"/>
          <w:szCs w:val="18"/>
          <w:color w:val="auto"/>
        </w:rPr>
        <w:t>of $53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Costs related to this acquisition are $4 million and are reported within our Northeast G&amp;P segment and included in </w:t>
      </w: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expenses </w:t>
      </w:r>
      <w:r>
        <w:rPr>
          <w:rFonts w:ascii="Arial" w:cs="Arial" w:eastAsia="Arial" w:hAnsi="Arial"/>
          <w:sz w:val="18"/>
          <w:szCs w:val="18"/>
          <w:color w:val="auto"/>
        </w:rPr>
        <w:t>in our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Northeast JV</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Concurrent with the UEOM acquisition, we executed an agreement whereby we contributed our consolidated interests in UEOM and our Ohio Valley midstream business to a newly formed partnership. In June 2019, our partner invested approximately $1.33 billion for a 35 percent ownership interest, and we retained 65 percent ownership of, as well as operate and consolidate, the Northeast JV business. The change in ownership due to this transaction increased </w:t>
      </w:r>
      <w:r>
        <w:rPr>
          <w:rFonts w:ascii="Arial" w:cs="Arial" w:eastAsia="Arial" w:hAnsi="Arial"/>
          <w:sz w:val="17"/>
          <w:szCs w:val="17"/>
          <w:i w:val="1"/>
          <w:iCs w:val="1"/>
          <w:color w:val="auto"/>
        </w:rPr>
        <w:t xml:space="preserve">Noncontrolling interests in consolidated subsidiaries </w:t>
      </w:r>
      <w:r>
        <w:rPr>
          <w:rFonts w:ascii="Arial" w:cs="Arial" w:eastAsia="Arial" w:hAnsi="Arial"/>
          <w:sz w:val="17"/>
          <w:szCs w:val="17"/>
          <w:color w:val="auto"/>
        </w:rPr>
        <w:t>by $567 million, and decreased</w:t>
      </w:r>
      <w:r>
        <w:rPr>
          <w:rFonts w:ascii="Arial" w:cs="Arial" w:eastAsia="Arial" w:hAnsi="Arial"/>
          <w:sz w:val="17"/>
          <w:szCs w:val="17"/>
          <w:i w:val="1"/>
          <w:iCs w:val="1"/>
          <w:color w:val="auto"/>
        </w:rPr>
        <w:t xml:space="preserve"> Capital in excess of par value </w:t>
      </w:r>
      <w:r>
        <w:rPr>
          <w:rFonts w:ascii="Arial" w:cs="Arial" w:eastAsia="Arial" w:hAnsi="Arial"/>
          <w:sz w:val="17"/>
          <w:szCs w:val="17"/>
          <w:color w:val="auto"/>
        </w:rPr>
        <w:t>by $426 million and</w:t>
      </w:r>
      <w:r>
        <w:rPr>
          <w:rFonts w:ascii="Arial" w:cs="Arial" w:eastAsia="Arial" w:hAnsi="Arial"/>
          <w:sz w:val="17"/>
          <w:szCs w:val="17"/>
          <w:i w:val="1"/>
          <w:iCs w:val="1"/>
          <w:color w:val="auto"/>
        </w:rPr>
        <w:t xml:space="preserve"> Deferred income tax liabilities </w:t>
      </w:r>
      <w:r>
        <w:rPr>
          <w:rFonts w:ascii="Arial" w:cs="Arial" w:eastAsia="Arial" w:hAnsi="Arial"/>
          <w:sz w:val="17"/>
          <w:szCs w:val="17"/>
          <w:color w:val="auto"/>
        </w:rPr>
        <w:t>by $141 million in the Consolidated Balance Sheet. Costs related to this transaction are $6 million and are reported within our Northeast G&amp;P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segment and included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our Consolidated Statement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Gulf Coast Pipeline Systems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November 2018, we completed the sale of certain assets and operations located in the Gulf Coast area for $177 million in cash. As a result of this sale, we recorded a gain of approximately $101 million in the fourth quarter of 2018, consisting of $81 million in our Atlantic-Gulf segment and $20 million in Other.</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Previous impairments made to a portion of these assets and operations include $66 million related to certain idle pipelines in the second quarter of 2018, as well as $68 million and $23 million related to an NGL pipeline near the Houston Ship Channel region and project development costs associated with an olefins pipeline project, respectively, in 2017. These impairments are reflected in </w:t>
      </w:r>
      <w:r>
        <w:rPr>
          <w:rFonts w:ascii="Arial" w:cs="Arial" w:eastAsia="Arial" w:hAnsi="Arial"/>
          <w:sz w:val="18"/>
          <w:szCs w:val="18"/>
          <w:i w:val="1"/>
          <w:iCs w:val="1"/>
          <w:color w:val="auto"/>
        </w:rPr>
        <w:t>Impairment of certain assets</w:t>
      </w:r>
      <w:r>
        <w:rPr>
          <w:rFonts w:ascii="Arial" w:cs="Arial" w:eastAsia="Arial" w:hAnsi="Arial"/>
          <w:sz w:val="18"/>
          <w:szCs w:val="18"/>
          <w:color w:val="auto"/>
        </w:rPr>
        <w:t xml:space="preserve"> in the Consolidated Statement of Operations. (See Note 18 – Fair Value Measurements, Guarantees, and Concentration of Credit Risk.) The results of operations for this disposal group, excluding the impairments and gains noted, were not significant for the reporting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Four Corners Assets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2018, we completed the sale of our natural gas gathering and processing assets in the Four Corners area of New Mexico and Colorado for total consideration of $1.125 billion. As a result of this sale, we recorded a gain of approximately $591 million within the West segment in the fourth quarter of 2018.</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for the Four Corners area, excluding the gain noted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r>
      <w:tr>
        <w:trPr>
          <w:trHeight w:val="250"/>
        </w:trPr>
        <w:tc>
          <w:tcPr>
            <w:tcW w:w="9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(Millions)</w:t>
            </w:r>
          </w:p>
        </w:tc>
        <w:tc>
          <w:tcPr>
            <w:tcW w:w="34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 of Four Corners area</w:t>
            </w:r>
          </w:p>
        </w:tc>
        <w:tc>
          <w:tcPr>
            <w:tcW w:w="80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52</w:t>
            </w:r>
          </w:p>
        </w:tc>
        <w:tc>
          <w:tcPr>
            <w:tcW w:w="8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(loss) before income taxes of Four Corners area attributable to The Williams Companies, Inc.</w:t>
            </w:r>
          </w:p>
        </w:tc>
        <w:tc>
          <w:tcPr>
            <w:tcW w:w="800" w:type="dxa"/>
            <w:vAlign w:val="bottom"/>
          </w:tcPr>
          <w:p>
            <w:pPr>
              <w:spacing w:after="0"/>
              <w:rPr>
                <w:sz w:val="21"/>
                <w:szCs w:val="21"/>
                <w:color w:val="auto"/>
              </w:rPr>
            </w:pPr>
          </w:p>
        </w:tc>
        <w:tc>
          <w:tcPr>
            <w:tcW w:w="380" w:type="dxa"/>
            <w:vAlign w:val="bottom"/>
          </w:tcPr>
          <w:p>
            <w:pPr>
              <w:jc w:val="right"/>
              <w:ind w:right="56"/>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Geismar Interest</w:t>
      </w:r>
    </w:p>
    <w:p>
      <w:pPr>
        <w:spacing w:after="0" w:line="18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July 2017, we completed the sale of Williams Olefins, L.L.C., a wholly owned subsidiary which owned our Geismar Interest, for total consideration of $2.084 billion in cash. We received a final working capital adjustment of $12 million in October 2017. Upon closing of the sale, we entered into a long-term supply and transportation agreement with the purchaser to provide feedstock to the plant via its Bayou Ethane pipeline system. As a result of this sale, we recorded a gain of $1.095 billion in the third quarter of 2017 in our Other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932"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operations for the Geismar Interest, excluding the gain noted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Year Ended</w:t>
            </w:r>
          </w:p>
        </w:tc>
      </w:tr>
      <w:tr>
        <w:trPr>
          <w:trHeight w:val="192"/>
        </w:trPr>
        <w:tc>
          <w:tcPr>
            <w:tcW w:w="10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100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10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2"/>
              <w:spacing w:after="0"/>
              <w:rPr>
                <w:sz w:val="20"/>
                <w:szCs w:val="20"/>
                <w:color w:val="auto"/>
              </w:rPr>
            </w:pPr>
            <w:r>
              <w:rPr>
                <w:rFonts w:ascii="Arial" w:cs="Arial" w:eastAsia="Arial" w:hAnsi="Arial"/>
                <w:sz w:val="14"/>
                <w:szCs w:val="14"/>
                <w:b w:val="1"/>
                <w:bCs w:val="1"/>
                <w:color w:val="auto"/>
                <w:w w:val="97"/>
              </w:rPr>
              <w:t>(Millions)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before income taxes of the Geismar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26</w:t>
            </w:r>
          </w:p>
        </w:tc>
      </w:tr>
      <w:tr>
        <w:trPr>
          <w:trHeight w:val="243"/>
        </w:trPr>
        <w:tc>
          <w:tcPr>
            <w:tcW w:w="10060" w:type="dxa"/>
            <w:vAlign w:val="bottom"/>
          </w:tcPr>
          <w:p>
            <w:pPr>
              <w:ind w:left="40"/>
              <w:spacing w:after="0"/>
              <w:rPr>
                <w:sz w:val="20"/>
                <w:szCs w:val="20"/>
                <w:color w:val="auto"/>
              </w:rPr>
            </w:pPr>
            <w:r>
              <w:rPr>
                <w:rFonts w:ascii="Arial" w:cs="Arial" w:eastAsia="Arial" w:hAnsi="Arial"/>
                <w:sz w:val="17"/>
                <w:szCs w:val="17"/>
                <w:color w:val="auto"/>
              </w:rPr>
              <w:t>Income (loss) before income taxes of the Geismar Interest attributable to The Williams Companies, Inc.</w:t>
            </w:r>
          </w:p>
        </w:tc>
        <w:tc>
          <w:tcPr>
            <w:tcW w:w="180" w:type="dxa"/>
            <w:vAlign w:val="bottom"/>
          </w:tcPr>
          <w:p>
            <w:pPr>
              <w:spacing w:after="0"/>
              <w:rPr>
                <w:sz w:val="21"/>
                <w:szCs w:val="21"/>
                <w:color w:val="auto"/>
              </w:rPr>
            </w:pPr>
          </w:p>
        </w:tc>
        <w:tc>
          <w:tcPr>
            <w:tcW w:w="1180" w:type="dxa"/>
            <w:vAlign w:val="bottom"/>
          </w:tcPr>
          <w:p>
            <w:pPr>
              <w:jc w:val="right"/>
              <w:ind w:right="22"/>
              <w:spacing w:after="0"/>
              <w:rPr>
                <w:sz w:val="20"/>
                <w:szCs w:val="20"/>
                <w:color w:val="auto"/>
              </w:rPr>
            </w:pPr>
            <w:r>
              <w:rPr>
                <w:rFonts w:ascii="Arial" w:cs="Arial" w:eastAsia="Arial" w:hAnsi="Arial"/>
                <w:sz w:val="18"/>
                <w:szCs w:val="18"/>
                <w:color w:val="auto"/>
              </w:rPr>
              <w:t>19</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Variable Interest Entities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we consolidate the following VIEs: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Gulfstar One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51 percent interest in Gulfstar One, a subsidiary that, due to certain risk-sharing provisions in its customer contracts, is a VIE. Gulfstar One includes a proprietary floating-production system, Gulfstar FPS, and associated pipelines which provide production handling and gathering services in the eastern deepwater Gulf of Mexico. We are the primary beneficiary because we have the power to direct the activities that most significantly impact Gulfstar One’s economic performance.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Cardinal</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own a 66 percent interest in Cardinal, a subsidiary that provides gathering services for the Utica Shale region and is a VIE due to certain risks shared with customers. We are the primary beneficiary because we have the power to direct the activities that most significantly impact Cardinal’s economic performance. Future expansion activity is expected to be funded with capital contributions from us and the other equity partner on a proportional basis.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Northeast JV</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a result of the June 2019 sale of a 35 percent interest in the Northeast JV (Note 3 – Acquisitions and Divestitures), we now own a 65 percent interest in the Northeast JV, a subsidiary that is a VIE due to certain of our voting rights being disproportionate to our obligation to absorb losses and substantially all of the Northeast JV’s activities being performed on our behalf. We are the primary beneficiary because we have the power to direct the activities that most significantly impact the Northeast JV’s economic performance. The Northeast JV provides midstream services for producers in the Marcellus Shale and Utica Shale regions. Future expansion activity is expected to be funded with capital contributions from us and the other equity partner on a proportional basis.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93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amounts included in our Consolidated Balance Sheet that are only for the use or obligation of our consolidated VIEs: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14"/>
                <w:szCs w:val="14"/>
                <w:b w:val="1"/>
                <w:bCs w:val="1"/>
                <w:color w:val="auto"/>
                <w:w w:val="92"/>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Pr>
          <w:p>
            <w:pPr>
              <w:spacing w:after="0"/>
              <w:rPr>
                <w:sz w:val="22"/>
                <w:szCs w:val="22"/>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2018</w:t>
            </w:r>
          </w:p>
        </w:tc>
      </w:tr>
      <w:tr>
        <w:trPr>
          <w:trHeight w:val="250"/>
        </w:trPr>
        <w:tc>
          <w:tcPr>
            <w:tcW w:w="79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4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7"/>
              </w:rPr>
              <w:t>(Millions)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i w:val="1"/>
                <w:iCs w:val="1"/>
                <w:color w:val="auto"/>
              </w:rPr>
              <w:t>Cash and cash equivalents</w:t>
            </w:r>
          </w:p>
        </w:tc>
        <w:tc>
          <w:tcPr>
            <w:tcW w:w="1120" w:type="dxa"/>
            <w:vAlign w:val="bottom"/>
          </w:tcPr>
          <w:p>
            <w:pPr>
              <w:jc w:val="right"/>
              <w:ind w:right="943"/>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102</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33</w:t>
            </w:r>
          </w:p>
        </w:tc>
      </w:tr>
      <w:tr>
        <w:trPr>
          <w:trHeight w:val="47"/>
        </w:trPr>
        <w:tc>
          <w:tcPr>
            <w:tcW w:w="7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Trade accounts and other receivables – net</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167</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i w:val="1"/>
                <w:iCs w:val="1"/>
                <w:color w:val="auto"/>
              </w:rPr>
              <w:t>Other current assets and deferred charges</w:t>
            </w:r>
          </w:p>
        </w:tc>
        <w:tc>
          <w:tcPr>
            <w:tcW w:w="112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47"/>
        </w:trPr>
        <w:tc>
          <w:tcPr>
            <w:tcW w:w="7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Property, plant, and equipment – net</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5,745</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2,363</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i w:val="1"/>
                <w:iCs w:val="1"/>
                <w:color w:val="auto"/>
              </w:rPr>
              <w:t>Intangible assets – net of accumulated amortization</w:t>
            </w:r>
          </w:p>
        </w:tc>
        <w:tc>
          <w:tcPr>
            <w:tcW w:w="1120" w:type="dxa"/>
            <w:vAlign w:val="bottom"/>
          </w:tcPr>
          <w:p>
            <w:pPr>
              <w:spacing w:after="0"/>
              <w:rPr>
                <w:sz w:val="19"/>
                <w:szCs w:val="19"/>
                <w:color w:val="auto"/>
              </w:rPr>
            </w:pPr>
          </w:p>
        </w:tc>
        <w:tc>
          <w:tcPr>
            <w:tcW w:w="640" w:type="dxa"/>
            <w:vAlign w:val="bottom"/>
          </w:tcPr>
          <w:p>
            <w:pPr>
              <w:jc w:val="right"/>
              <w:ind w:right="81"/>
              <w:spacing w:after="0"/>
              <w:rPr>
                <w:sz w:val="20"/>
                <w:szCs w:val="20"/>
                <w:color w:val="auto"/>
              </w:rPr>
            </w:pPr>
            <w:r>
              <w:rPr>
                <w:rFonts w:ascii="Arial" w:cs="Arial" w:eastAsia="Arial" w:hAnsi="Arial"/>
                <w:sz w:val="16"/>
                <w:szCs w:val="16"/>
                <w:color w:val="auto"/>
              </w:rPr>
              <w:t>2,669</w:t>
            </w:r>
          </w:p>
        </w:tc>
        <w:tc>
          <w:tcPr>
            <w:tcW w:w="600" w:type="dxa"/>
            <w:vAlign w:val="bottom"/>
          </w:tcPr>
          <w:p>
            <w:pPr>
              <w:spacing w:after="0"/>
              <w:rPr>
                <w:sz w:val="19"/>
                <w:szCs w:val="19"/>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1,177</w:t>
            </w:r>
          </w:p>
        </w:tc>
      </w:tr>
      <w:tr>
        <w:trPr>
          <w:trHeight w:val="47"/>
        </w:trPr>
        <w:tc>
          <w:tcPr>
            <w:tcW w:w="7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Regulatory assets, deferred charges, and other</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i w:val="1"/>
                <w:iCs w:val="1"/>
                <w:color w:val="auto"/>
              </w:rPr>
              <w:t>Accounts payable</w:t>
            </w:r>
          </w:p>
        </w:tc>
        <w:tc>
          <w:tcPr>
            <w:tcW w:w="11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(58)</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7"/>
        </w:trPr>
        <w:tc>
          <w:tcPr>
            <w:tcW w:w="79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Accrued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c>
          <w:tcPr>
            <w:tcW w:w="6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4"/>
        </w:trPr>
        <w:tc>
          <w:tcPr>
            <w:tcW w:w="7900" w:type="dxa"/>
            <w:vAlign w:val="bottom"/>
          </w:tcPr>
          <w:p>
            <w:pPr>
              <w:ind w:left="280"/>
              <w:spacing w:after="0"/>
              <w:rPr>
                <w:sz w:val="20"/>
                <w:szCs w:val="20"/>
                <w:color w:val="auto"/>
              </w:rPr>
            </w:pPr>
            <w:r>
              <w:rPr>
                <w:rFonts w:ascii="Arial" w:cs="Arial" w:eastAsia="Arial" w:hAnsi="Arial"/>
                <w:sz w:val="16"/>
                <w:szCs w:val="16"/>
                <w:i w:val="1"/>
                <w:iCs w:val="1"/>
                <w:color w:val="auto"/>
              </w:rPr>
              <w:t>Regulatory liabilities, deferred income, and other</w:t>
            </w:r>
          </w:p>
        </w:tc>
        <w:tc>
          <w:tcPr>
            <w:tcW w:w="1120" w:type="dxa"/>
            <w:vAlign w:val="bottom"/>
          </w:tcPr>
          <w:p>
            <w:pPr>
              <w:spacing w:after="0"/>
              <w:rPr>
                <w:sz w:val="19"/>
                <w:szCs w:val="19"/>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(283)</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Nonconsolidated VIEs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Jackalope</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we owned a 50 percent interest in Jackalope, which provides gathering and processing services for the Powder River basin and was a VIE due to certain risks shared with customers. In April 2019, we sold our interest in Jackalope for $485 million in cash (see Note 6 – Investing Activities).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Brazos Permian II</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own a 15 percent interest in Brazos Permian II (see Note 6 – Investing Activities), which provides gathering and processing services in the Delaware basin and is a VIE due primarily to our limited participating rights as the minority equity holder. At December 31, 2019, the carrying value of our investment in Brazos Permian II was $194 million. Our maximum exposure to loss is limited to the carrying value of our investment.</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Constitution</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2019, we own a 41 percent interest in Constitution, a subsidiary which proposed a pipeline project extending from Susquehanna County, Pennsylvania, to the Iroquois Gas Transmission and the Tennessee Gas Pipeline systems in New York. Constitution was considered a VIE due to shipper fixed-payment commitments under its long-term firm transportation contracts, and we were the primary beneficiary because we had the power to direct the activities that most significantly impacted Constitution’s economic performance during its construction phase. Thus, prior to December 31, 2019, we consolidated Constitution.</w:t>
      </w:r>
    </w:p>
    <w:p>
      <w:pPr>
        <w:spacing w:after="0" w:line="161" w:lineRule="exact"/>
        <w:rPr>
          <w:sz w:val="20"/>
          <w:szCs w:val="20"/>
          <w:color w:val="auto"/>
        </w:rPr>
      </w:pPr>
    </w:p>
    <w:p>
      <w:pPr>
        <w:jc w:val="both"/>
        <w:ind w:firstLine="324"/>
        <w:spacing w:after="0" w:line="309" w:lineRule="auto"/>
        <w:rPr>
          <w:sz w:val="20"/>
          <w:szCs w:val="20"/>
          <w:color w:val="auto"/>
        </w:rPr>
      </w:pPr>
      <w:r>
        <w:rPr>
          <w:rFonts w:ascii="Arial" w:cs="Arial" w:eastAsia="Arial" w:hAnsi="Arial"/>
          <w:sz w:val="16"/>
          <w:szCs w:val="16"/>
          <w:color w:val="auto"/>
        </w:rPr>
        <w:t xml:space="preserve">Although Constitution received a certificate of public convenience and necessity from the FERC to construct and operate the proposed pipeline and obtained, among other approvals, a waiver of the water quality certification under Section 401 of the Clean Water Act for the New York portion of the project, the members of Constitution, following extensive evaluation and discussion, recently determined that the underlying risk-adjusted return for this greenfield pipeline project has diminished in such a way that further development is no longer supported. Accordingly, we recognized a $354 million impairment of the consolidated capitalized project costs in the fourth quarter of 2019, which considered our estimate of the fair value of the disposal group under various probability-weighted disposal alternatives. (See Note 18 – Fair Value Measurements, Guarantees, and Concentration of Credit Risk.) Our partners’ $209 million share of this impairment is reflected within </w:t>
      </w:r>
      <w:r>
        <w:rPr>
          <w:rFonts w:ascii="Arial" w:cs="Arial" w:eastAsia="Arial" w:hAnsi="Arial"/>
          <w:sz w:val="16"/>
          <w:szCs w:val="16"/>
          <w:i w:val="1"/>
          <w:iCs w:val="1"/>
          <w:color w:val="auto"/>
        </w:rPr>
        <w:t>Net income (loss) attributable to noncontrolling interests</w:t>
      </w:r>
      <w:r>
        <w:rPr>
          <w:rFonts w:ascii="Arial" w:cs="Arial" w:eastAsia="Arial" w:hAnsi="Arial"/>
          <w:sz w:val="16"/>
          <w:szCs w:val="16"/>
          <w:color w:val="auto"/>
        </w:rPr>
        <w:t xml:space="preserve"> in the Consolidated Statement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93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Constitution is still considered a VIE due to insufficient equity at risk, but we are no longer the primary beneficiary. As a result, we deconsolidated Constitution as of December 31, 2019, recognizing a loss on deconsolidation of $27 million in the fourth quarter of 2019, which is included in </w:t>
      </w:r>
      <w:r>
        <w:rPr>
          <w:rFonts w:ascii="Arial" w:cs="Arial" w:eastAsia="Arial" w:hAnsi="Arial"/>
          <w:sz w:val="18"/>
          <w:szCs w:val="18"/>
          <w:i w:val="1"/>
          <w:iCs w:val="1"/>
          <w:color w:val="auto"/>
        </w:rPr>
        <w:t>Other investing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(loss) - net </w:t>
      </w:r>
      <w:r>
        <w:rPr>
          <w:rFonts w:ascii="Arial" w:cs="Arial" w:eastAsia="Arial" w:hAnsi="Arial"/>
          <w:sz w:val="18"/>
          <w:szCs w:val="18"/>
          <w:color w:val="auto"/>
        </w:rPr>
        <w:t>in the Consolidated Statement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Equity-Method Investees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have purchases from our equity-method investees included in </w:t>
      </w:r>
      <w:r>
        <w:rPr>
          <w:rFonts w:ascii="Arial" w:cs="Arial" w:eastAsia="Arial" w:hAnsi="Arial"/>
          <w:sz w:val="18"/>
          <w:szCs w:val="18"/>
          <w:i w:val="1"/>
          <w:iCs w:val="1"/>
          <w:color w:val="auto"/>
        </w:rPr>
        <w:t>Product costs</w:t>
      </w:r>
      <w:r>
        <w:rPr>
          <w:rFonts w:ascii="Arial" w:cs="Arial" w:eastAsia="Arial" w:hAnsi="Arial"/>
          <w:sz w:val="18"/>
          <w:szCs w:val="18"/>
          <w:color w:val="auto"/>
        </w:rPr>
        <w:t xml:space="preserve"> in the Consolidated Statement of Operations of $304 million, $236 million, and $226 million for the years ended 2019, 2018, and 2017, respectively. We have $36 million and $18 million included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in the Consolidated Balance Sheet with our equity-method investees at December 31, 2019 and 2018, respectively.</w:t>
      </w:r>
    </w:p>
    <w:p>
      <w:pPr>
        <w:spacing w:after="0" w:line="14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operating agreements with certain equity-method investees. These operating agreements typically provide for reimbursement or payment to us for certain direct operational payroll and employee benefit costs, materials, supplies, and other charges and also for management services. The total charges to equity-method investees for these fees are $103 million, $75 million, and $67 million for the years ended 2019, 2018, and 2017,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Investing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investing income (loss) –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certain items reflected in </w:t>
      </w:r>
      <w:r>
        <w:rPr>
          <w:rFonts w:ascii="Arial" w:cs="Arial" w:eastAsia="Arial" w:hAnsi="Arial"/>
          <w:sz w:val="17"/>
          <w:szCs w:val="17"/>
          <w:i w:val="1"/>
          <w:iCs w:val="1"/>
          <w:color w:val="auto"/>
        </w:rPr>
        <w:t>Other investing income (loss) – net</w:t>
      </w:r>
      <w:r>
        <w:rPr>
          <w:rFonts w:ascii="Arial" w:cs="Arial" w:eastAsia="Arial" w:hAnsi="Arial"/>
          <w:sz w:val="18"/>
          <w:szCs w:val="18"/>
          <w:color w:val="auto"/>
        </w:rPr>
        <w:t xml:space="preserve"> in the Consolidated Statement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equity-method investments (Note 18)</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(186)</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 (loss) on deconsolidation of businesses</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equity-method investments</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investing income (loss) </w:t>
            </w:r>
            <w:r>
              <w:rPr>
                <w:rFonts w:ascii="Arial" w:cs="Arial" w:eastAsia="Arial" w:hAnsi="Arial"/>
                <w:sz w:val="17"/>
                <w:szCs w:val="17"/>
                <w:i w:val="1"/>
                <w:iCs w:val="1"/>
                <w:color w:val="auto"/>
              </w:rPr>
              <w:t>–</w:t>
            </w:r>
            <w:r>
              <w:rPr>
                <w:rFonts w:ascii="Arial" w:cs="Arial" w:eastAsia="Arial" w:hAnsi="Arial"/>
                <w:sz w:val="18"/>
                <w:szCs w:val="18"/>
                <w:color w:val="auto"/>
              </w:rPr>
              <w:t xml:space="preserve"> net</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Brazos Permian II Equity-Method Investment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During the fourth quarter of 2018, we contributed the majority of our existing Delaware basin assets and $27 million in cash in exchange for a 15 percent interest in the Brazos Permian II, which consists of gas and crude oil gathering pipelines, natural gas processing, and oil storage facilities. We recorded a deconsolidation gain of $141 million reflected in </w:t>
      </w:r>
      <w:r>
        <w:rPr>
          <w:rFonts w:ascii="Arial" w:cs="Arial" w:eastAsia="Arial" w:hAnsi="Arial"/>
          <w:sz w:val="16"/>
          <w:szCs w:val="16"/>
          <w:i w:val="1"/>
          <w:iCs w:val="1"/>
          <w:color w:val="auto"/>
        </w:rPr>
        <w:t>Other investing income (loss) – net</w:t>
      </w:r>
      <w:r>
        <w:rPr>
          <w:rFonts w:ascii="Arial" w:cs="Arial" w:eastAsia="Arial" w:hAnsi="Arial"/>
          <w:sz w:val="17"/>
          <w:szCs w:val="17"/>
          <w:color w:val="auto"/>
        </w:rPr>
        <w:t xml:space="preserve"> in the Consolidated Statement of Operations reflecting the excess of the fair value of our acquired interest over the carrying value of the assets contributed. We estimated the fair value of our interest to be $192 million primarily using a market approach (a Level 3 measurement within the fair value hierarchy). This approach involved the observation of recent transaction multiples in the Permian basin, including recent acquisitions consummated during 2018. Our interest in Brazos Permian II is considered an equity-method investment due to the fact that we are able to exert significant influence over its operating and financial policies.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RMM Equity-Method Investment</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2018, our joint venture, RMM, purchased a natural gas and oil gathering and natural gas processing business in Colorado’s Denver-Julesburg basin. Our initial economic ownership was 40 percent, but increased to 50 percent at December 31, 2018, based on additional capital contributions made after the initial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93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Jackalope Deconsolidation</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During the second quarter of 2018, we deconsolidated our 50 percent interest in Jackalope (see Note 4 – Variable Interest Entities). We recorded our interest in Jackalope as an equity-method investment at its estimated fair value, resulting in a deconsolidation gain of $62 million reflected in </w:t>
      </w:r>
      <w:r>
        <w:rPr>
          <w:rFonts w:ascii="Arial" w:cs="Arial" w:eastAsia="Arial" w:hAnsi="Arial"/>
          <w:sz w:val="16"/>
          <w:szCs w:val="16"/>
          <w:i w:val="1"/>
          <w:iCs w:val="1"/>
          <w:color w:val="auto"/>
        </w:rPr>
        <w:t>Other investing</w:t>
      </w:r>
      <w:r>
        <w:rPr>
          <w:rFonts w:ascii="Arial" w:cs="Arial" w:eastAsia="Arial" w:hAnsi="Arial"/>
          <w:sz w:val="17"/>
          <w:szCs w:val="17"/>
          <w:color w:val="auto"/>
        </w:rPr>
        <w:t xml:space="preserve"> </w:t>
      </w:r>
      <w:r>
        <w:rPr>
          <w:rFonts w:ascii="Arial" w:cs="Arial" w:eastAsia="Arial" w:hAnsi="Arial"/>
          <w:sz w:val="16"/>
          <w:szCs w:val="16"/>
          <w:i w:val="1"/>
          <w:iCs w:val="1"/>
          <w:color w:val="auto"/>
        </w:rPr>
        <w:t xml:space="preserve">income (loss) – net </w:t>
      </w:r>
      <w:r>
        <w:rPr>
          <w:rFonts w:ascii="Arial" w:cs="Arial" w:eastAsia="Arial" w:hAnsi="Arial"/>
          <w:sz w:val="17"/>
          <w:szCs w:val="17"/>
          <w:color w:val="auto"/>
        </w:rPr>
        <w:t>in the Consolidated Statement of Operations. We estimated the fair value of our interest to be $310 million using an income approach based</w:t>
      </w:r>
      <w:r>
        <w:rPr>
          <w:rFonts w:ascii="Arial" w:cs="Arial" w:eastAsia="Arial" w:hAnsi="Arial"/>
          <w:sz w:val="16"/>
          <w:szCs w:val="16"/>
          <w:i w:val="1"/>
          <w:iCs w:val="1"/>
          <w:color w:val="auto"/>
        </w:rPr>
        <w:t xml:space="preserve"> </w:t>
      </w:r>
      <w:r>
        <w:rPr>
          <w:rFonts w:ascii="Arial" w:cs="Arial" w:eastAsia="Arial" w:hAnsi="Arial"/>
          <w:sz w:val="17"/>
          <w:szCs w:val="17"/>
          <w:color w:val="auto"/>
        </w:rPr>
        <w:t>on expected future cash flows and an appropriate discount rate (a Level 3 measurement within the fair value hierarchy). The determination of expected future cash flows involved significant assumptions regarding gathering and processing volumes and related capital spending. A 10.9 percent discount rate was utilized and reflected our estimate of the cost of capital as impacted by market conditions and risks associated with the underlying business. The deconsolidated carrying value of the net assets of Jackalope included $47 million of goodwill.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Jackalope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April 2019, we sold our 50 percent equity-method interest in Jackalope for $485 million in cash, resulting in a gain on the disposition of $122 million, reflected in </w:t>
      </w:r>
      <w:r>
        <w:rPr>
          <w:rFonts w:ascii="Arial" w:cs="Arial" w:eastAsia="Arial" w:hAnsi="Arial"/>
          <w:sz w:val="17"/>
          <w:szCs w:val="17"/>
          <w:i w:val="1"/>
          <w:iCs w:val="1"/>
          <w:color w:val="auto"/>
        </w:rPr>
        <w:t>Other investing income (loss) – net</w:t>
      </w:r>
      <w:r>
        <w:rPr>
          <w:rFonts w:ascii="Arial" w:cs="Arial" w:eastAsia="Arial" w:hAnsi="Arial"/>
          <w:sz w:val="18"/>
          <w:szCs w:val="18"/>
          <w:color w:val="auto"/>
        </w:rPr>
        <w:t xml:space="preserve">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Constitution Deconsolidation</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deconsolidated our interest in Constitution as of December 31, 2019, recognizing a loss on deconsolidation of $27 million. See Note 4 – Variable Interest Entities for further discussion.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Additional Interests in Appalachia Midstream Investments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first quarter of 2017, we exchanged all of our 50 percent interest in DBJV for an increased interest in two natural gas gathering systems that are part of the Appalachia Midstream Investments and $155 million in cash. This transaction was recorded based on our estimate of the fair value of the interests received as we have more insight to this value as we operate the underlying assets. Following this exchange, we have an approximate average 66 percent interest in the Appalachia Midstream Investments. We continue to account for this investment under the equity method of accounting due to the significant participatory rights of our partners such that we do not exercise control. We also sold all of our interest in Ranch Westex JV LLC (Ranch Westex) for $45 million. These transactions resulted in a total gain of $269 million reflected in </w:t>
      </w:r>
      <w:r>
        <w:rPr>
          <w:rFonts w:ascii="Arial" w:cs="Arial" w:eastAsia="Arial" w:hAnsi="Arial"/>
          <w:sz w:val="17"/>
          <w:szCs w:val="17"/>
          <w:i w:val="1"/>
          <w:iCs w:val="1"/>
          <w:color w:val="auto"/>
        </w:rPr>
        <w:t>Other investing income (loss) – net</w:t>
      </w:r>
      <w:r>
        <w:rPr>
          <w:rFonts w:ascii="Arial" w:cs="Arial" w:eastAsia="Arial" w:hAnsi="Arial"/>
          <w:sz w:val="18"/>
          <w:szCs w:val="18"/>
          <w:color w:val="auto"/>
        </w:rPr>
        <w:t xml:space="preserve"> in the Consolidated Statement of Operations.</w:t>
      </w:r>
    </w:p>
    <w:p>
      <w:pPr>
        <w:spacing w:after="0" w:line="14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fair value of the increased interests in the Appalachia Midstream Investments received as consideration was estimated to be $1.1 billion using an income approach based on expected cash flows and an appropriate discount rate (a Level 3 measurement within the fair value hierarchy). The determination of estimated future cash flows involved significant assumptions regarding gathering volumes, rates, and related capital spending. A 9.5 percent discount rate was utilized and reflected our estimate of the cost of capital as impacted by market conditions and risks associated with the underlying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93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Equity-Method Investments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Interest</w:t>
            </w: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520" w:type="dxa"/>
            <w:vAlign w:val="bottom"/>
          </w:tcPr>
          <w:p>
            <w:pPr>
              <w:spacing w:after="0"/>
              <w:rPr>
                <w:sz w:val="4"/>
                <w:szCs w:val="4"/>
                <w:color w:val="auto"/>
              </w:rPr>
            </w:pPr>
          </w:p>
        </w:tc>
        <w:tc>
          <w:tcPr>
            <w:tcW w:w="14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at December 31,</w:t>
            </w: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75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2"/>
        </w:trPr>
        <w:tc>
          <w:tcPr>
            <w:tcW w:w="75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(Millions)</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Appalachia Midstream Investments</w:t>
            </w:r>
          </w:p>
        </w:tc>
        <w:tc>
          <w:tcPr>
            <w:tcW w:w="1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3,218</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7"/>
                <w:szCs w:val="17"/>
                <w:color w:val="auto"/>
              </w:rPr>
              <w:t>RMM</w:t>
            </w:r>
          </w:p>
        </w:tc>
        <w:tc>
          <w:tcPr>
            <w:tcW w:w="1360" w:type="dxa"/>
            <w:vAlign w:val="bottom"/>
          </w:tcPr>
          <w:p>
            <w:pPr>
              <w:ind w:left="5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881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Discovery</w:t>
            </w:r>
          </w:p>
        </w:tc>
        <w:tc>
          <w:tcPr>
            <w:tcW w:w="1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7"/>
                <w:szCs w:val="17"/>
                <w:color w:val="auto"/>
              </w:rPr>
              <w:t>Caiman II</w:t>
            </w:r>
          </w:p>
        </w:tc>
        <w:tc>
          <w:tcPr>
            <w:tcW w:w="1360" w:type="dxa"/>
            <w:vAlign w:val="bottom"/>
          </w:tcPr>
          <w:p>
            <w:pPr>
              <w:ind w:left="5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OPPL</w:t>
            </w:r>
          </w:p>
        </w:tc>
        <w:tc>
          <w:tcPr>
            <w:tcW w:w="1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415</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7"/>
                <w:szCs w:val="17"/>
                <w:color w:val="auto"/>
              </w:rPr>
              <w:t>Laurel Mountain</w:t>
            </w:r>
          </w:p>
        </w:tc>
        <w:tc>
          <w:tcPr>
            <w:tcW w:w="1360" w:type="dxa"/>
            <w:vAlign w:val="bottom"/>
          </w:tcPr>
          <w:p>
            <w:pPr>
              <w:ind w:left="58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Gulfstream</w:t>
            </w:r>
          </w:p>
        </w:tc>
        <w:tc>
          <w:tcPr>
            <w:tcW w:w="1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43"/>
        </w:trPr>
        <w:tc>
          <w:tcPr>
            <w:tcW w:w="7520" w:type="dxa"/>
            <w:vAlign w:val="bottom"/>
          </w:tcPr>
          <w:p>
            <w:pPr>
              <w:ind w:left="40"/>
              <w:spacing w:after="0"/>
              <w:rPr>
                <w:sz w:val="20"/>
                <w:szCs w:val="20"/>
                <w:color w:val="auto"/>
              </w:rPr>
            </w:pPr>
            <w:r>
              <w:rPr>
                <w:rFonts w:ascii="Arial" w:cs="Arial" w:eastAsia="Arial" w:hAnsi="Arial"/>
                <w:sz w:val="17"/>
                <w:szCs w:val="17"/>
                <w:color w:val="auto"/>
              </w:rPr>
              <w:t>Brazos Permian II</w:t>
            </w:r>
          </w:p>
        </w:tc>
        <w:tc>
          <w:tcPr>
            <w:tcW w:w="1360" w:type="dxa"/>
            <w:vAlign w:val="bottom"/>
          </w:tcPr>
          <w:p>
            <w:pPr>
              <w:ind w:left="5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UEOM</w:t>
            </w:r>
          </w:p>
        </w:tc>
        <w:tc>
          <w:tcPr>
            <w:tcW w:w="1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1,293</w:t>
            </w:r>
          </w:p>
        </w:tc>
        <w:tc>
          <w:tcPr>
            <w:tcW w:w="0" w:type="dxa"/>
            <w:vAlign w:val="bottom"/>
          </w:tcPr>
          <w:p>
            <w:pPr>
              <w:spacing w:after="0"/>
              <w:rPr>
                <w:sz w:val="1"/>
                <w:szCs w:val="1"/>
                <w:color w:val="auto"/>
              </w:rPr>
            </w:pPr>
          </w:p>
        </w:tc>
      </w:tr>
      <w:tr>
        <w:trPr>
          <w:trHeight w:val="239"/>
        </w:trPr>
        <w:tc>
          <w:tcPr>
            <w:tcW w:w="7520" w:type="dxa"/>
            <w:vAlign w:val="bottom"/>
          </w:tcPr>
          <w:p>
            <w:pPr>
              <w:ind w:left="40"/>
              <w:spacing w:after="0"/>
              <w:rPr>
                <w:sz w:val="20"/>
                <w:szCs w:val="20"/>
                <w:color w:val="auto"/>
              </w:rPr>
            </w:pPr>
            <w:r>
              <w:rPr>
                <w:rFonts w:ascii="Arial" w:cs="Arial" w:eastAsia="Arial" w:hAnsi="Arial"/>
                <w:sz w:val="17"/>
                <w:szCs w:val="17"/>
                <w:color w:val="auto"/>
              </w:rPr>
              <w:t>Jackalope</w:t>
            </w:r>
          </w:p>
        </w:tc>
        <w:tc>
          <w:tcPr>
            <w:tcW w:w="1360" w:type="dxa"/>
            <w:vAlign w:val="bottom"/>
          </w:tcPr>
          <w:p>
            <w:pPr>
              <w:ind w:left="5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720" w:type="dxa"/>
            <w:vAlign w:val="bottom"/>
          </w:tcPr>
          <w:p>
            <w:pPr>
              <w:jc w:val="right"/>
              <w:ind w:right="16"/>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31"/>
        </w:trPr>
        <w:tc>
          <w:tcPr>
            <w:tcW w:w="7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Various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9"/>
        </w:trPr>
        <w:tc>
          <w:tcPr>
            <w:tcW w:w="75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6,235</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7,821</w:t>
            </w:r>
          </w:p>
        </w:tc>
        <w:tc>
          <w:tcPr>
            <w:tcW w:w="0" w:type="dxa"/>
            <w:vAlign w:val="bottom"/>
          </w:tcPr>
          <w:p>
            <w:pPr>
              <w:spacing w:after="0"/>
              <w:rPr>
                <w:sz w:val="1"/>
                <w:szCs w:val="1"/>
                <w:color w:val="auto"/>
              </w:rPr>
            </w:pPr>
          </w:p>
        </w:tc>
      </w:tr>
      <w:tr>
        <w:trPr>
          <w:trHeight w:val="31"/>
        </w:trPr>
        <w:tc>
          <w:tcPr>
            <w:tcW w:w="7520" w:type="dxa"/>
            <w:vAlign w:val="bottom"/>
            <w:vMerge w:val="restart"/>
          </w:tcPr>
          <w:p>
            <w:pPr>
              <w:spacing w:after="0"/>
              <w:rPr>
                <w:sz w:val="20"/>
                <w:szCs w:val="20"/>
                <w:color w:val="auto"/>
              </w:rPr>
            </w:pPr>
            <w:r>
              <w:rPr>
                <w:rFonts w:ascii="Arial" w:cs="Arial" w:eastAsia="Arial" w:hAnsi="Arial"/>
                <w:sz w:val="14"/>
                <w:szCs w:val="14"/>
                <w:color w:val="auto"/>
              </w:rPr>
              <w:t>___________</w:t>
            </w: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5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equity-method investments in multiple gathering systems in the Marcellus Shale with an approximate average 66 percent interest.</w:t>
      </w:r>
    </w:p>
    <w:p>
      <w:pPr>
        <w:spacing w:after="0" w:line="7" w:lineRule="exact"/>
        <w:rPr>
          <w:rFonts w:ascii="Arial" w:cs="Arial" w:eastAsia="Arial" w:hAnsi="Arial"/>
          <w:sz w:val="18"/>
          <w:szCs w:val="18"/>
          <w:color w:val="auto"/>
        </w:rPr>
      </w:pPr>
    </w:p>
    <w:p>
      <w:pPr>
        <w:ind w:left="340" w:right="440" w:hanging="332"/>
        <w:spacing w:after="0" w:line="250"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December 31, 2018, we owned a 62 percent interest in UEOM. On March 18, 2019, we acquired the remaining 38 percent interest. As a result of acquiring this additional interest, we obtained control of and now consolidate UEOM.</w:t>
      </w: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December 31, 2018, we owned a 50 percent interest in Jackalope. In April 2019, we sold our interest in Jackalope.</w:t>
      </w:r>
    </w:p>
    <w:p>
      <w:pPr>
        <w:spacing w:after="0" w:line="2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differences between the carrying value of our equity-method investments and the underlying equity in the net assets of the investees of $1 billion at December 31, 2019 and $1.8 billion at December 31, 2018. These differences primarily relate to our investments in Appalachia Midstream Investments (and UEOM at December 31, 2018), resulting from property, plant, and equipment, as well as customer-based intangible assets and goodwill.</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Purchases of and contributions to equity-method investments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generally fund our portion of significant expansion or development projects of these investees through additional capital contributions. These transactions increased the carrying value of our investments and included: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2"/>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RMM</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400" w:type="dxa"/>
            <w:vAlign w:val="bottom"/>
            <w:tcBorders>
              <w:bottom w:val="single" w:sz="8" w:color="CCEEFF"/>
            </w:tcBorders>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Appalachia Midstream Investments</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Laurel Mountain</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Caiman II</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Jackalope</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Brazos Permian II</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Discovery</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DBJV</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1,132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7"/>
                <w:szCs w:val="17"/>
                <w:color w:val="auto"/>
              </w:rPr>
              <w:t>132</w:t>
            </w:r>
          </w:p>
        </w:tc>
      </w:tr>
      <w:tr>
        <w:trPr>
          <w:trHeight w:val="27"/>
        </w:trPr>
        <w:tc>
          <w:tcPr>
            <w:tcW w:w="7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932" w:right="239" w:bottom="144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Dividends and distributions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organizational documents of entities in which we have an equity-method investment generally require distribution of available cash to members on at least a quarterly basis. These transactions reduced the carrying value of our investments and included: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Appalachia Midstream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Gulfstream</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OPPL</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Caiman II</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Discovery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RMM</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Laurel Mountain</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UEOM</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DBJV</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i w:val="1"/>
                <w:iCs w:val="1"/>
                <w:color w:val="auto"/>
                <w:w w:val="99"/>
              </w:rPr>
              <w:t>Summarized Financial Position and Results of Operations of All Equity-Method Investments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(Millions)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13,199</w:t>
            </w:r>
          </w:p>
        </w:tc>
        <w:tc>
          <w:tcPr>
            <w:tcW w:w="0" w:type="dxa"/>
            <w:vAlign w:val="bottom"/>
          </w:tcPr>
          <w:p>
            <w:pPr>
              <w:spacing w:after="0"/>
              <w:rPr>
                <w:sz w:val="1"/>
                <w:szCs w:val="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480"/>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93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Other Income and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by segment, certain other items included in our Consolidated 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Borders>
              <w:bottom w:val="single" w:sz="8" w:color="auto"/>
            </w:tcBorders>
          </w:tcPr>
          <w:p>
            <w:pPr>
              <w:spacing w:after="0"/>
              <w:rPr>
                <w:sz w:val="16"/>
                <w:szCs w:val="16"/>
                <w:color w:val="auto"/>
              </w:rPr>
            </w:pPr>
          </w:p>
        </w:tc>
      </w:tr>
      <w:tr>
        <w:trPr>
          <w:trHeight w:val="264"/>
        </w:trPr>
        <w:tc>
          <w:tcPr>
            <w:tcW w:w="824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50"/>
        </w:trPr>
        <w:tc>
          <w:tcPr>
            <w:tcW w:w="8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right="74"/>
              <w:spacing w:after="0"/>
              <w:rPr>
                <w:sz w:val="20"/>
                <w:szCs w:val="20"/>
                <w:color w:val="auto"/>
              </w:rPr>
            </w:pPr>
            <w:r>
              <w:rPr>
                <w:rFonts w:ascii="Arial" w:cs="Arial" w:eastAsia="Arial" w:hAnsi="Arial"/>
                <w:sz w:val="14"/>
                <w:szCs w:val="14"/>
                <w:b w:val="1"/>
                <w:bCs w:val="1"/>
                <w:color w:val="auto"/>
                <w:w w:val="97"/>
              </w:rPr>
              <w:t>(Millions)</w:t>
            </w: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 xml:space="preserve">Other (income) expense – net </w:t>
            </w:r>
            <w:r>
              <w:rPr>
                <w:rFonts w:ascii="Arial" w:cs="Arial" w:eastAsia="Arial" w:hAnsi="Arial"/>
                <w:sz w:val="18"/>
                <w:szCs w:val="18"/>
                <w:b w:val="1"/>
                <w:bCs w:val="1"/>
                <w:color w:val="auto"/>
              </w:rPr>
              <w:t>within</w:t>
            </w:r>
            <w:r>
              <w:rPr>
                <w:rFonts w:ascii="Arial" w:cs="Arial" w:eastAsia="Arial" w:hAnsi="Arial"/>
                <w:sz w:val="18"/>
                <w:szCs w:val="18"/>
                <w:b w:val="1"/>
                <w:bCs w:val="1"/>
                <w:i w:val="1"/>
                <w:iCs w:val="1"/>
                <w:color w:val="auto"/>
              </w:rPr>
              <w:t xml:space="preserve"> Costs and expenses</w:t>
            </w:r>
          </w:p>
        </w:tc>
        <w:tc>
          <w:tcPr>
            <w:tcW w:w="6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1"/>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Atlantic-Gulf</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regulatory assets associated with asset retirement obligations</w:t>
            </w:r>
          </w:p>
        </w:tc>
        <w:tc>
          <w:tcPr>
            <w:tcW w:w="68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w w:val="98"/>
              </w:rPr>
              <w:t>Net accrual (amortization) of regulatory liability related to overcollection of certain employee expenses</w:t>
            </w:r>
          </w:p>
        </w:tc>
        <w:tc>
          <w:tcPr>
            <w:tcW w:w="680" w:type="dxa"/>
            <w:vAlign w:val="bottom"/>
          </w:tcPr>
          <w:p>
            <w:pPr>
              <w:spacing w:after="0"/>
              <w:rPr>
                <w:sz w:val="20"/>
                <w:szCs w:val="20"/>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(17)</w:t>
            </w:r>
          </w:p>
        </w:tc>
        <w:tc>
          <w:tcPr>
            <w:tcW w:w="2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Project development costs related to Constitution (see Note 4)</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rPr>
              <w:t>Amortization of regulatory liability associated with Tax Reform</w:t>
            </w:r>
          </w:p>
        </w:tc>
        <w:tc>
          <w:tcPr>
            <w:tcW w:w="680" w:type="dxa"/>
            <w:vAlign w:val="bottom"/>
          </w:tcPr>
          <w:p>
            <w:pPr>
              <w:spacing w:after="0"/>
              <w:rPr>
                <w:sz w:val="20"/>
                <w:szCs w:val="20"/>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87"/>
              </w:rPr>
              <w:t>(26)</w:t>
            </w:r>
          </w:p>
        </w:tc>
        <w:tc>
          <w:tcPr>
            <w:tcW w:w="2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 on asset retirements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7"/>
        </w:trPr>
        <w:tc>
          <w:tcPr>
            <w:tcW w:w="8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West</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rPr>
              <w:t>Regulatory charge per approved rates related to Tax Reform</w:t>
            </w:r>
          </w:p>
        </w:tc>
        <w:tc>
          <w:tcPr>
            <w:tcW w:w="680" w:type="dxa"/>
            <w:vAlign w:val="bottom"/>
          </w:tcPr>
          <w:p>
            <w:pPr>
              <w:spacing w:after="0"/>
              <w:rPr>
                <w:sz w:val="20"/>
                <w:szCs w:val="20"/>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0"/>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Charge for regulatory liability associated with the decrease in Northwest Pipeline’s estimated deferred state</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6"/>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income tax rates following WPZ Merger</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rPr>
              <w:t>Gains on contract settlements and terminations</w:t>
            </w:r>
          </w:p>
        </w:tc>
        <w:tc>
          <w:tcPr>
            <w:tcW w:w="680" w:type="dxa"/>
            <w:vAlign w:val="bottom"/>
          </w:tcPr>
          <w:p>
            <w:pPr>
              <w:spacing w:after="0"/>
              <w:rPr>
                <w:sz w:val="20"/>
                <w:szCs w:val="20"/>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1"/>
        </w:trPr>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Other</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
        </w:trPr>
        <w:tc>
          <w:tcPr>
            <w:tcW w:w="8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0"/>
        </w:trPr>
        <w:tc>
          <w:tcPr>
            <w:tcW w:w="8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Change to (benefit of) regulatory asset associated with Transco’s estimated deferred state income tax rate</w:t>
            </w: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6"/>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following WPZ Merger</w:t>
            </w:r>
          </w:p>
        </w:tc>
        <w:tc>
          <w:tcPr>
            <w:tcW w:w="6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1"/>
        </w:trPr>
        <w:tc>
          <w:tcPr>
            <w:tcW w:w="8240" w:type="dxa"/>
            <w:vAlign w:val="bottom"/>
          </w:tcPr>
          <w:p>
            <w:pPr>
              <w:ind w:left="280"/>
              <w:spacing w:after="0"/>
              <w:rPr>
                <w:sz w:val="20"/>
                <w:szCs w:val="20"/>
                <w:color w:val="auto"/>
              </w:rPr>
            </w:pPr>
            <w:r>
              <w:rPr>
                <w:rFonts w:ascii="Arial" w:cs="Arial" w:eastAsia="Arial" w:hAnsi="Arial"/>
                <w:sz w:val="18"/>
                <w:szCs w:val="18"/>
                <w:color w:val="auto"/>
              </w:rPr>
              <w:t>Gain on sale of refinery grade propylene splitter</w:t>
            </w:r>
          </w:p>
        </w:tc>
        <w:tc>
          <w:tcPr>
            <w:tcW w:w="680" w:type="dxa"/>
            <w:vAlign w:val="bottom"/>
          </w:tcPr>
          <w:p>
            <w:pPr>
              <w:spacing w:after="0"/>
              <w:rPr>
                <w:sz w:val="20"/>
                <w:szCs w:val="20"/>
                <w:color w:val="auto"/>
              </w:rPr>
            </w:pP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93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(Millions)</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 xml:space="preserve">Other income (expense) – net </w:t>
            </w:r>
            <w:r>
              <w:rPr>
                <w:rFonts w:ascii="Arial" w:cs="Arial" w:eastAsia="Arial" w:hAnsi="Arial"/>
                <w:sz w:val="18"/>
                <w:szCs w:val="18"/>
                <w:b w:val="1"/>
                <w:bCs w:val="1"/>
                <w:color w:val="auto"/>
              </w:rPr>
              <w:t>below</w:t>
            </w:r>
            <w:r>
              <w:rPr>
                <w:rFonts w:ascii="Arial" w:cs="Arial" w:eastAsia="Arial" w:hAnsi="Arial"/>
                <w:sz w:val="18"/>
                <w:szCs w:val="18"/>
                <w:b w:val="1"/>
                <w:bCs w:val="1"/>
                <w:i w:val="1"/>
                <w:iCs w:val="1"/>
                <w:color w:val="auto"/>
              </w:rPr>
              <w:t xml:space="preserve"> Operating income (loss)</w:t>
            </w:r>
          </w:p>
        </w:tc>
        <w:tc>
          <w:tcPr>
            <w:tcW w:w="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97"/>
        </w:trPr>
        <w:tc>
          <w:tcPr>
            <w:tcW w:w="8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Atlantic-Gulf</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280"/>
              <w:spacing w:after="0"/>
              <w:rPr>
                <w:sz w:val="20"/>
                <w:szCs w:val="20"/>
                <w:color w:val="auto"/>
              </w:rPr>
            </w:pPr>
            <w:r>
              <w:rPr>
                <w:rFonts w:ascii="Arial" w:cs="Arial" w:eastAsia="Arial" w:hAnsi="Arial"/>
                <w:sz w:val="18"/>
                <w:szCs w:val="18"/>
                <w:color w:val="auto"/>
              </w:rPr>
              <w:t>Allowance for equity funds used during construction</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w w:val="99"/>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87</w:t>
            </w:r>
          </w:p>
        </w:tc>
        <w:tc>
          <w:tcPr>
            <w:tcW w:w="3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charge from pension early payout program</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1"/>
        </w:trPr>
        <w:tc>
          <w:tcPr>
            <w:tcW w:w="8120" w:type="dxa"/>
            <w:vAlign w:val="bottom"/>
          </w:tcPr>
          <w:p>
            <w:pPr>
              <w:ind w:left="280"/>
              <w:spacing w:after="0"/>
              <w:rPr>
                <w:sz w:val="20"/>
                <w:szCs w:val="20"/>
                <w:color w:val="auto"/>
              </w:rPr>
            </w:pPr>
            <w:r>
              <w:rPr>
                <w:rFonts w:ascii="Arial" w:cs="Arial" w:eastAsia="Arial" w:hAnsi="Arial"/>
                <w:sz w:val="18"/>
                <w:szCs w:val="18"/>
                <w:color w:val="auto"/>
              </w:rPr>
              <w:t>Regulatory adjustments resulting from Tax Reform</w:t>
            </w:r>
          </w:p>
        </w:tc>
        <w:tc>
          <w:tcPr>
            <w:tcW w:w="700" w:type="dxa"/>
            <w:vAlign w:val="bottom"/>
          </w:tcPr>
          <w:p>
            <w:pPr>
              <w:spacing w:after="0"/>
              <w:rPr>
                <w:sz w:val="20"/>
                <w:szCs w:val="20"/>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7"/>
        </w:trPr>
        <w:tc>
          <w:tcPr>
            <w:tcW w:w="8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1"/>
        </w:trPr>
        <w:tc>
          <w:tcPr>
            <w:tcW w:w="8120" w:type="dxa"/>
            <w:vAlign w:val="bottom"/>
          </w:tcPr>
          <w:p>
            <w:pPr>
              <w:ind w:left="180"/>
              <w:spacing w:after="0"/>
              <w:rPr>
                <w:sz w:val="20"/>
                <w:szCs w:val="20"/>
                <w:color w:val="auto"/>
              </w:rPr>
            </w:pPr>
            <w:r>
              <w:rPr>
                <w:rFonts w:ascii="Arial" w:cs="Arial" w:eastAsia="Arial" w:hAnsi="Arial"/>
                <w:sz w:val="18"/>
                <w:szCs w:val="18"/>
                <w:b w:val="1"/>
                <w:bCs w:val="1"/>
                <w:color w:val="auto"/>
              </w:rPr>
              <w:t>Northeast G&amp;P</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charge from pension early payout program</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97"/>
        </w:trPr>
        <w:tc>
          <w:tcPr>
            <w:tcW w:w="8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West</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280"/>
              <w:spacing w:after="0"/>
              <w:rPr>
                <w:sz w:val="20"/>
                <w:szCs w:val="20"/>
                <w:color w:val="auto"/>
              </w:rPr>
            </w:pPr>
            <w:r>
              <w:rPr>
                <w:rFonts w:ascii="Arial" w:cs="Arial" w:eastAsia="Arial" w:hAnsi="Arial"/>
                <w:sz w:val="18"/>
                <w:szCs w:val="18"/>
                <w:color w:val="auto"/>
              </w:rPr>
              <w:t>Settlement charge from pension early payout program</w:t>
            </w:r>
          </w:p>
        </w:tc>
        <w:tc>
          <w:tcPr>
            <w:tcW w:w="700" w:type="dxa"/>
            <w:vAlign w:val="bottom"/>
          </w:tcPr>
          <w:p>
            <w:pPr>
              <w:spacing w:after="0"/>
              <w:rPr>
                <w:sz w:val="20"/>
                <w:szCs w:val="20"/>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Regulatory adjustments resulting from Tax Reform</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8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1"/>
        </w:trPr>
        <w:tc>
          <w:tcPr>
            <w:tcW w:w="8120" w:type="dxa"/>
            <w:vAlign w:val="bottom"/>
          </w:tcPr>
          <w:p>
            <w:pPr>
              <w:ind w:left="280"/>
              <w:spacing w:after="0"/>
              <w:rPr>
                <w:sz w:val="20"/>
                <w:szCs w:val="20"/>
                <w:color w:val="auto"/>
              </w:rPr>
            </w:pPr>
            <w:r>
              <w:rPr>
                <w:rFonts w:ascii="Arial" w:cs="Arial" w:eastAsia="Arial" w:hAnsi="Arial"/>
                <w:sz w:val="18"/>
                <w:szCs w:val="18"/>
                <w:color w:val="auto"/>
                <w:w w:val="90"/>
              </w:rPr>
              <w:t>Income associated with a regulatory asset related to deferred taxes on equity funds used during construction</w:t>
            </w:r>
          </w:p>
        </w:tc>
        <w:tc>
          <w:tcPr>
            <w:tcW w:w="700" w:type="dxa"/>
            <w:vAlign w:val="bottom"/>
          </w:tcPr>
          <w:p>
            <w:pPr>
              <w:spacing w:after="0"/>
              <w:rPr>
                <w:sz w:val="20"/>
                <w:szCs w:val="20"/>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(loss) associated with early retirement of debt</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41"/>
        </w:trPr>
        <w:tc>
          <w:tcPr>
            <w:tcW w:w="8120" w:type="dxa"/>
            <w:vAlign w:val="bottom"/>
          </w:tcPr>
          <w:p>
            <w:pPr>
              <w:ind w:left="280"/>
              <w:spacing w:after="0"/>
              <w:rPr>
                <w:sz w:val="20"/>
                <w:szCs w:val="20"/>
                <w:color w:val="auto"/>
              </w:rPr>
            </w:pPr>
            <w:r>
              <w:rPr>
                <w:rFonts w:ascii="Arial" w:cs="Arial" w:eastAsia="Arial" w:hAnsi="Arial"/>
                <w:sz w:val="18"/>
                <w:szCs w:val="18"/>
                <w:color w:val="auto"/>
              </w:rPr>
              <w:t>Settlement charge from pension early payout program</w:t>
            </w:r>
          </w:p>
        </w:tc>
        <w:tc>
          <w:tcPr>
            <w:tcW w:w="700" w:type="dxa"/>
            <w:vAlign w:val="bottom"/>
          </w:tcPr>
          <w:p>
            <w:pPr>
              <w:spacing w:after="0"/>
              <w:rPr>
                <w:sz w:val="20"/>
                <w:szCs w:val="20"/>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1"/>
        </w:trPr>
        <w:tc>
          <w:tcPr>
            <w:tcW w:w="8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Regulatory adjustments resulting from Tax Reform</w:t>
            </w: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9"/>
        </w:trPr>
        <w:tc>
          <w:tcPr>
            <w:tcW w:w="8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Severance and other related costs included within </w:t>
      </w:r>
      <w:r>
        <w:rPr>
          <w:rFonts w:ascii="Arial" w:cs="Arial" w:eastAsia="Arial" w:hAnsi="Arial"/>
          <w:sz w:val="16"/>
          <w:szCs w:val="16"/>
          <w:i w:val="1"/>
          <w:iCs w:val="1"/>
          <w:color w:val="auto"/>
        </w:rPr>
        <w:t>Operating and maintenance expenses</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477"/>
              <w:spacing w:after="0"/>
              <w:rPr>
                <w:sz w:val="20"/>
                <w:szCs w:val="20"/>
                <w:color w:val="auto"/>
              </w:rPr>
            </w:pPr>
            <w:r>
              <w:rPr>
                <w:rFonts w:ascii="Arial" w:cs="Arial" w:eastAsia="Arial" w:hAnsi="Arial"/>
                <w:sz w:val="14"/>
                <w:szCs w:val="14"/>
                <w:b w:val="1"/>
                <w:bCs w:val="1"/>
                <w:color w:val="auto"/>
                <w:w w:val="96"/>
              </w:rPr>
              <w:t>2018</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center"/>
              <w:ind w:right="457"/>
              <w:spacing w:after="0"/>
              <w:rPr>
                <w:sz w:val="20"/>
                <w:szCs w:val="20"/>
                <w:color w:val="auto"/>
              </w:rPr>
            </w:pPr>
            <w:r>
              <w:rPr>
                <w:rFonts w:ascii="Arial" w:cs="Arial" w:eastAsia="Arial" w:hAnsi="Arial"/>
                <w:sz w:val="14"/>
                <w:szCs w:val="14"/>
                <w:b w:val="1"/>
                <w:bCs w:val="1"/>
                <w:color w:val="auto"/>
                <w:w w:val="97"/>
              </w:rPr>
              <w:t>(Millions)</w:t>
            </w:r>
          </w:p>
        </w:tc>
        <w:tc>
          <w:tcPr>
            <w:tcW w:w="74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Atlantic-Gulf</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41"/>
        </w:trPr>
        <w:tc>
          <w:tcPr>
            <w:tcW w:w="8120" w:type="dxa"/>
            <w:vAlign w:val="bottom"/>
          </w:tcPr>
          <w:p>
            <w:pPr>
              <w:ind w:left="180"/>
              <w:spacing w:after="0"/>
              <w:rPr>
                <w:sz w:val="20"/>
                <w:szCs w:val="20"/>
                <w:color w:val="auto"/>
              </w:rPr>
            </w:pPr>
            <w:r>
              <w:rPr>
                <w:rFonts w:ascii="Arial" w:cs="Arial" w:eastAsia="Arial" w:hAnsi="Arial"/>
                <w:sz w:val="18"/>
                <w:szCs w:val="18"/>
                <w:color w:val="auto"/>
              </w:rPr>
              <w:t>Northeast G&amp;P</w:t>
            </w:r>
          </w:p>
        </w:tc>
        <w:tc>
          <w:tcPr>
            <w:tcW w:w="700" w:type="dxa"/>
            <w:vAlign w:val="bottom"/>
          </w:tcPr>
          <w:p>
            <w:pPr>
              <w:spacing w:after="0"/>
              <w:rPr>
                <w:sz w:val="20"/>
                <w:szCs w:val="20"/>
                <w:color w:val="auto"/>
              </w:rPr>
            </w:pPr>
          </w:p>
        </w:tc>
        <w:tc>
          <w:tcPr>
            <w:tcW w:w="34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9"/>
        </w:trPr>
        <w:tc>
          <w:tcPr>
            <w:tcW w:w="8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41"/>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20"/>
                <w:szCs w:val="20"/>
                <w:color w:val="auto"/>
              </w:rPr>
            </w:pPr>
          </w:p>
        </w:tc>
        <w:tc>
          <w:tcPr>
            <w:tcW w:w="3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260" w:type="dxa"/>
            <w:vAlign w:val="bottom"/>
          </w:tcPr>
          <w:p>
            <w:pPr>
              <w:ind w:left="58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for the year ended December 31, 2018, includes a $35 million charge associated with a charitable contribution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to The Williams Companies Foundation, Inc. (a not-for-profit corporation) within the Other segment (see Note 16 – Stockholders' Equity) and $20 million for WPZ Merger related costs within the Other segment.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3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Provision (Benefit) for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xml:space="preserve"> includes: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Reconciliations from the </w:t>
      </w:r>
      <w:r>
        <w:rPr>
          <w:rFonts w:ascii="Arial" w:cs="Arial" w:eastAsia="Arial" w:hAnsi="Arial"/>
          <w:sz w:val="18"/>
          <w:szCs w:val="18"/>
          <w:i w:val="1"/>
          <w:iCs w:val="1"/>
          <w:color w:val="auto"/>
        </w:rPr>
        <w:t>Provision (benefit) at statutory rate</w:t>
      </w:r>
      <w:r>
        <w:rPr>
          <w:rFonts w:ascii="Arial" w:cs="Arial" w:eastAsia="Arial" w:hAnsi="Arial"/>
          <w:sz w:val="18"/>
          <w:szCs w:val="18"/>
          <w:color w:val="auto"/>
        </w:rPr>
        <w:t xml:space="preserve"> to recorded </w:t>
      </w: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xml:space="preserv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at statutory rate</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(decreases) in taxes resulting from:</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Impact of nontaxable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Federal Tax Reform rate change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income taxes (net of federal benefit)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State deferred income tax rate change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operations – net (including tax effect of Canadian Sale)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Federal valuation allowance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 net</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Income (loss) from continuing operations before income taxes </w:t>
      </w:r>
      <w:r>
        <w:rPr>
          <w:rFonts w:ascii="Arial" w:cs="Arial" w:eastAsia="Arial" w:hAnsi="Arial"/>
          <w:sz w:val="18"/>
          <w:szCs w:val="18"/>
          <w:color w:val="auto"/>
        </w:rPr>
        <w:t>includes $6 million, $3 million, and $7 million of foreign loss in 2019, 2018, and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Foreign operations – net (including tax effect of Canadian Sale) </w:t>
      </w:r>
      <w:r>
        <w:rPr>
          <w:rFonts w:ascii="Arial" w:cs="Arial" w:eastAsia="Arial" w:hAnsi="Arial"/>
          <w:sz w:val="18"/>
          <w:szCs w:val="18"/>
          <w:color w:val="auto"/>
        </w:rPr>
        <w:t>in 2017 reflects the release of a valuation allowance associated with impairments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the sale of our Canadian operations.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On December 22, 2017, Tax Reform was enacted. Most of the provisions of Tax Reform were effective after January 1, 2018. However, the deferred tax impact of reducing the U.S. corporate tax rate from 35 percent to 21 percent was recognized in the period of enactment. This remeasurement resulted in a reduction of our deferred tax liabilities of approximately $1.9 billion, with a corresponding net adjustment to </w:t>
      </w:r>
      <w:r>
        <w:rPr>
          <w:rFonts w:ascii="Arial" w:cs="Arial" w:eastAsia="Arial" w:hAnsi="Arial"/>
          <w:sz w:val="16"/>
          <w:szCs w:val="16"/>
          <w:i w:val="1"/>
          <w:iCs w:val="1"/>
          <w:color w:val="auto"/>
        </w:rPr>
        <w:t>Provision (benefit) for income taxes</w:t>
      </w:r>
      <w:r>
        <w:rPr>
          <w:rFonts w:ascii="Arial" w:cs="Arial" w:eastAsia="Arial" w:hAnsi="Arial"/>
          <w:sz w:val="16"/>
          <w:szCs w:val="16"/>
          <w:color w:val="auto"/>
        </w:rPr>
        <w:t xml:space="preserve"> in 2017.</w:t>
      </w:r>
    </w:p>
    <w:p>
      <w:pPr>
        <w:spacing w:after="0" w:line="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During the course of audits of our business by domestic and foreign tax authorities, we frequently face challenges regarding the amount of taxes due. These challenges include questions regarding the timing and amount of deductions and the allocation of income among various tax jurisdictions. In evaluating the liability associated with our various filing positions, we apply the two-step process of recognition and measurement. In association with this liability, we record an estimate of related interest and tax exposure as a component of our tax provision. The impact of this accrual is included within </w:t>
      </w:r>
      <w:r>
        <w:rPr>
          <w:rFonts w:ascii="Arial" w:cs="Arial" w:eastAsia="Arial" w:hAnsi="Arial"/>
          <w:sz w:val="17"/>
          <w:szCs w:val="17"/>
          <w:i w:val="1"/>
          <w:iCs w:val="1"/>
          <w:color w:val="auto"/>
        </w:rPr>
        <w:t>Other – net</w:t>
      </w:r>
      <w:r>
        <w:rPr>
          <w:rFonts w:ascii="Arial" w:cs="Arial" w:eastAsia="Arial" w:hAnsi="Arial"/>
          <w:sz w:val="17"/>
          <w:szCs w:val="17"/>
          <w:color w:val="auto"/>
        </w:rPr>
        <w:t xml:space="preserve"> in our reconciliation of the </w:t>
      </w:r>
      <w:r>
        <w:rPr>
          <w:rFonts w:ascii="Arial" w:cs="Arial" w:eastAsia="Arial" w:hAnsi="Arial"/>
          <w:sz w:val="17"/>
          <w:szCs w:val="17"/>
          <w:i w:val="1"/>
          <w:iCs w:val="1"/>
          <w:color w:val="auto"/>
        </w:rPr>
        <w:t>Provision (benefit) at statutory rate</w:t>
      </w:r>
      <w:r>
        <w:rPr>
          <w:rFonts w:ascii="Arial" w:cs="Arial" w:eastAsia="Arial" w:hAnsi="Arial"/>
          <w:sz w:val="17"/>
          <w:szCs w:val="17"/>
          <w:color w:val="auto"/>
        </w:rPr>
        <w:t xml:space="preserve"> to recorded </w:t>
      </w:r>
      <w:r>
        <w:rPr>
          <w:rFonts w:ascii="Arial" w:cs="Arial" w:eastAsia="Arial" w:hAnsi="Arial"/>
          <w:sz w:val="17"/>
          <w:szCs w:val="17"/>
          <w:i w:val="1"/>
          <w:iCs w:val="1"/>
          <w:color w:val="auto"/>
        </w:rPr>
        <w:t>Provision (benefit) for income taxes</w:t>
      </w:r>
      <w:r>
        <w:rPr>
          <w:rFonts w:ascii="Arial" w:cs="Arial" w:eastAsia="Arial" w:hAnsi="Arial"/>
          <w:sz w:val="17"/>
          <w:szCs w:val="17"/>
          <w:color w:val="auto"/>
        </w:rPr>
        <w:t>.</w:t>
      </w:r>
    </w:p>
    <w:p>
      <w:pPr>
        <w:sectPr>
          <w:pgSz w:w="11900" w:h="16838" w:orient="portrait"/>
          <w:cols w:equalWidth="0" w:num="1">
            <w:col w:w="11420"/>
          </w:cols>
          <w:pgMar w:left="240" w:top="931"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420"/>
          </w:cols>
          <w:pgMar w:left="240" w:top="931" w:right="2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Significant components of </w:t>
      </w:r>
      <w:r>
        <w:rPr>
          <w:rFonts w:ascii="Arial" w:cs="Arial" w:eastAsia="Arial" w:hAnsi="Arial"/>
          <w:sz w:val="18"/>
          <w:szCs w:val="18"/>
          <w:i w:val="1"/>
          <w:iCs w:val="1"/>
          <w:color w:val="auto"/>
        </w:rPr>
        <w:t>Deferred income tax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Deferred income tax assets</w:t>
      </w:r>
      <w:r>
        <w:rPr>
          <w:rFonts w:ascii="Arial" w:cs="Arial" w:eastAsia="Arial" w:hAnsi="Arial"/>
          <w:sz w:val="18"/>
          <w:szCs w:val="18"/>
          <w:color w:val="auto"/>
        </w:rPr>
        <w:t xml:space="preserv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(Millions)</w:t>
            </w:r>
          </w:p>
        </w:tc>
        <w:tc>
          <w:tcPr>
            <w:tcW w:w="82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5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2,317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r>
      <w:tr>
        <w:trPr>
          <w:trHeight w:val="243"/>
        </w:trPr>
        <w:tc>
          <w:tcPr>
            <w:tcW w:w="8800" w:type="dxa"/>
            <w:vAlign w:val="bottom"/>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r>
      <w:tr>
        <w:trPr>
          <w:trHeight w:val="243"/>
        </w:trPr>
        <w:tc>
          <w:tcPr>
            <w:tcW w:w="8800" w:type="dxa"/>
            <w:vAlign w:val="bottom"/>
          </w:tcPr>
          <w:p>
            <w:pPr>
              <w:ind w:left="540"/>
              <w:spacing w:after="0"/>
              <w:rPr>
                <w:sz w:val="20"/>
                <w:szCs w:val="20"/>
                <w:color w:val="auto"/>
              </w:rPr>
            </w:pPr>
            <w:r>
              <w:rPr>
                <w:rFonts w:ascii="Arial" w:cs="Arial" w:eastAsia="Arial" w:hAnsi="Arial"/>
                <w:sz w:val="18"/>
                <w:szCs w:val="18"/>
                <w:color w:val="auto"/>
              </w:rPr>
              <w:t>Minimum tax credit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Foreign tax credit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43"/>
        </w:trPr>
        <w:tc>
          <w:tcPr>
            <w:tcW w:w="8800" w:type="dxa"/>
            <w:vAlign w:val="bottom"/>
          </w:tcPr>
          <w:p>
            <w:pPr>
              <w:ind w:left="540"/>
              <w:spacing w:after="0"/>
              <w:rPr>
                <w:sz w:val="20"/>
                <w:szCs w:val="20"/>
                <w:color w:val="auto"/>
              </w:rPr>
            </w:pPr>
            <w:r>
              <w:rPr>
                <w:rFonts w:ascii="Arial" w:cs="Arial" w:eastAsia="Arial" w:hAnsi="Arial"/>
                <w:sz w:val="18"/>
                <w:szCs w:val="18"/>
                <w:color w:val="auto"/>
              </w:rPr>
              <w:t>Federal loss carryovers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State losses and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8800" w:type="dxa"/>
            <w:vAlign w:val="bottom"/>
          </w:tcPr>
          <w:p>
            <w:pPr>
              <w:ind w:left="5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income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r>
      <w:tr>
        <w:trPr>
          <w:trHeight w:val="237"/>
        </w:trPr>
        <w:tc>
          <w:tcPr>
            <w:tcW w:w="8800" w:type="dxa"/>
            <w:vAlign w:val="bottom"/>
          </w:tcPr>
          <w:p>
            <w:pPr>
              <w:ind w:left="54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income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Overall net deferred income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The valuation allowance at December 31, 2019 and 2018, serves to reduce the available deferred income tax assets to an amount that will, more likely than not, be realized. We considered all available positive and negative evidence, including projected future taxable income, which incorporates available tax planning strategies, and management’s estimate of future reversals of existing taxable temporary differences, and have determined that a portion of our deferred income tax assets related to the </w:t>
      </w:r>
      <w:r>
        <w:rPr>
          <w:rFonts w:ascii="Arial" w:cs="Arial" w:eastAsia="Arial" w:hAnsi="Arial"/>
          <w:sz w:val="17"/>
          <w:szCs w:val="17"/>
          <w:i w:val="1"/>
          <w:iCs w:val="1"/>
          <w:color w:val="auto"/>
        </w:rPr>
        <w:t>Foreign tax credit</w:t>
      </w:r>
      <w:r>
        <w:rPr>
          <w:rFonts w:ascii="Arial" w:cs="Arial" w:eastAsia="Arial" w:hAnsi="Arial"/>
          <w:sz w:val="17"/>
          <w:szCs w:val="17"/>
          <w:color w:val="auto"/>
        </w:rPr>
        <w:t xml:space="preserve"> and </w:t>
      </w:r>
      <w:r>
        <w:rPr>
          <w:rFonts w:ascii="Arial" w:cs="Arial" w:eastAsia="Arial" w:hAnsi="Arial"/>
          <w:sz w:val="17"/>
          <w:szCs w:val="17"/>
          <w:i w:val="1"/>
          <w:iCs w:val="1"/>
          <w:color w:val="auto"/>
        </w:rPr>
        <w:t>State losses and credits</w:t>
      </w:r>
      <w:r>
        <w:rPr>
          <w:rFonts w:ascii="Arial" w:cs="Arial" w:eastAsia="Arial" w:hAnsi="Arial"/>
          <w:sz w:val="17"/>
          <w:szCs w:val="17"/>
          <w:color w:val="auto"/>
        </w:rPr>
        <w:t xml:space="preserve"> may not be realized. The completion of the WPZ Merger (see Note 1 – General, Description of Business, Basis of Presentation, and Summary of Significant Accounting Policies) was a taxable exchange to the WPZ unit holders, which resulted in an adjustment to the tax basis in the underlying assets deemed acquired. A reduction to the deferred tax liability of $1.829 billion related to the book-tax basis difference in this investment was recorded in 2018. Increased tax depreciation from the additional tax basis will reduce future taxable income, which serves to impact our expected realization of the </w:t>
      </w:r>
      <w:r>
        <w:rPr>
          <w:rFonts w:ascii="Arial" w:cs="Arial" w:eastAsia="Arial" w:hAnsi="Arial"/>
          <w:sz w:val="17"/>
          <w:szCs w:val="17"/>
          <w:i w:val="1"/>
          <w:iCs w:val="1"/>
          <w:color w:val="auto"/>
        </w:rPr>
        <w:t>Foreign tax credit</w:t>
      </w:r>
      <w:r>
        <w:rPr>
          <w:rFonts w:ascii="Arial" w:cs="Arial" w:eastAsia="Arial" w:hAnsi="Arial"/>
          <w:sz w:val="17"/>
          <w:szCs w:val="17"/>
          <w:color w:val="auto"/>
        </w:rPr>
        <w:t xml:space="preserve">. The amounts presented in the table above are, with respect to state items, before any federal benefit. The change from prior year for the </w:t>
      </w:r>
      <w:r>
        <w:rPr>
          <w:rFonts w:ascii="Arial" w:cs="Arial" w:eastAsia="Arial" w:hAnsi="Arial"/>
          <w:sz w:val="17"/>
          <w:szCs w:val="17"/>
          <w:i w:val="1"/>
          <w:iCs w:val="1"/>
          <w:color w:val="auto"/>
        </w:rPr>
        <w:t>State losses and credits</w:t>
      </w:r>
      <w:r>
        <w:rPr>
          <w:rFonts w:ascii="Arial" w:cs="Arial" w:eastAsia="Arial" w:hAnsi="Arial"/>
          <w:sz w:val="17"/>
          <w:szCs w:val="17"/>
          <w:color w:val="auto"/>
        </w:rPr>
        <w:t xml:space="preserve"> reflects increases in losses and credits generated in the current and prior years less losses and/or credits utilized in the current year. We have loss and credit carryovers in multiple state taxing jurisdictions. Additionally, valuation allowances on state net operating losses decreased by $31 million in 2018 after the completion of the WPZ Merger. These attributes generally expire between 2019 and 2038 with some carryovers having indefinite carryforward periods. The remaining federal </w:t>
      </w:r>
      <w:r>
        <w:rPr>
          <w:rFonts w:ascii="Arial" w:cs="Arial" w:eastAsia="Arial" w:hAnsi="Arial"/>
          <w:sz w:val="17"/>
          <w:szCs w:val="17"/>
          <w:i w:val="1"/>
          <w:iCs w:val="1"/>
          <w:color w:val="auto"/>
        </w:rPr>
        <w:t>Minimum tax credit</w:t>
      </w:r>
      <w:r>
        <w:rPr>
          <w:rFonts w:ascii="Arial" w:cs="Arial" w:eastAsia="Arial" w:hAnsi="Arial"/>
          <w:sz w:val="17"/>
          <w:szCs w:val="17"/>
          <w:color w:val="auto"/>
        </w:rPr>
        <w:t xml:space="preserve"> of $29 million will be refunded/utilized no later than 2021.</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Federal loss carryovers </w:t>
      </w:r>
      <w:r>
        <w:rPr>
          <w:rFonts w:ascii="Arial" w:cs="Arial" w:eastAsia="Arial" w:hAnsi="Arial"/>
          <w:sz w:val="18"/>
          <w:szCs w:val="18"/>
          <w:color w:val="auto"/>
        </w:rPr>
        <w:t>include deferred tax assets of $5 million at the end of 2019 that are expected to be utilized by us prior to expiration between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2023. Deferred tax assets on net operating loss carryovers of $539 million have no expiration date.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refunds for income taxes (net of payments) were $86 million in 2019. Cash payments for income taxes (net of refunds) were $11 million, and $28 million in 2018 and 2017, respectively.</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2019, we had approximately $51 million of unrecognized tax benefits. If recognized, income tax expense would be reduced by $51 million for each of the years 2019 and 2018, including the effect of these changes on other tax attributes, with state income tax amounts included net of federal tax effect. A reconciliation of the beginning and ending amount of unrecognized tax benefits is as follows:</w:t>
      </w:r>
    </w:p>
    <w:p>
      <w:pPr>
        <w:sectPr>
          <w:pgSz w:w="11900" w:h="16838" w:orient="portrait"/>
          <w:cols w:equalWidth="0" w:num="1">
            <w:col w:w="11420"/>
          </w:cols>
          <w:pgMar w:left="240" w:top="93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931" w:right="2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96"/>
        </w:trPr>
        <w:tc>
          <w:tcPr>
            <w:tcW w:w="8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88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0"/>
        </w:trPr>
        <w:tc>
          <w:tcPr>
            <w:tcW w:w="8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recognize related interest and penalties as a component of </w:t>
      </w:r>
      <w:r>
        <w:rPr>
          <w:rFonts w:ascii="Arial" w:cs="Arial" w:eastAsia="Arial" w:hAnsi="Arial"/>
          <w:sz w:val="18"/>
          <w:szCs w:val="18"/>
          <w:i w:val="1"/>
          <w:iCs w:val="1"/>
          <w:color w:val="auto"/>
        </w:rPr>
        <w:t>Provision (benefit) for income taxes</w:t>
      </w:r>
      <w:r>
        <w:rPr>
          <w:rFonts w:ascii="Arial" w:cs="Arial" w:eastAsia="Arial" w:hAnsi="Arial"/>
          <w:sz w:val="18"/>
          <w:szCs w:val="18"/>
          <w:color w:val="auto"/>
        </w:rPr>
        <w:t>. Total interest and penalties recognized as part of income tax provision were expenses of $500 thousand and $800 thousand for 2019 and 2018, respectively. Approximately $3 million of interest and penalties primarily relating to uncertain tax positions have been accrued as of both December 31, 2019 and 2018.</w:t>
      </w:r>
    </w:p>
    <w:p>
      <w:pPr>
        <w:spacing w:after="0" w:line="127" w:lineRule="exact"/>
        <w:rPr>
          <w:sz w:val="20"/>
          <w:szCs w:val="20"/>
          <w:color w:val="auto"/>
        </w:rPr>
      </w:pPr>
    </w:p>
    <w:p>
      <w:pPr>
        <w:jc w:val="both"/>
        <w:ind w:firstLine="297"/>
        <w:spacing w:after="0" w:line="277" w:lineRule="auto"/>
        <w:rPr>
          <w:sz w:val="20"/>
          <w:szCs w:val="20"/>
          <w:color w:val="auto"/>
        </w:rPr>
      </w:pPr>
      <w:r>
        <w:rPr>
          <w:rFonts w:ascii="Arial" w:cs="Arial" w:eastAsia="Arial" w:hAnsi="Arial"/>
          <w:sz w:val="18"/>
          <w:szCs w:val="18"/>
          <w:color w:val="auto"/>
        </w:rPr>
        <w:t>During the next 12 months, we do not expect ultimate resolution of any unrecognized tax benefit associated with domestic or international matters to have a material impact on our unrecognized tax benefit position.</w:t>
      </w:r>
    </w:p>
    <w:p>
      <w:pPr>
        <w:spacing w:after="0" w:line="116" w:lineRule="exact"/>
        <w:rPr>
          <w:sz w:val="20"/>
          <w:szCs w:val="20"/>
          <w:color w:val="auto"/>
        </w:rPr>
      </w:pPr>
    </w:p>
    <w:p>
      <w:pPr>
        <w:jc w:val="both"/>
        <w:ind w:firstLine="297"/>
        <w:spacing w:after="0" w:line="255" w:lineRule="auto"/>
        <w:rPr>
          <w:sz w:val="20"/>
          <w:szCs w:val="20"/>
          <w:color w:val="auto"/>
        </w:rPr>
      </w:pPr>
      <w:r>
        <w:rPr>
          <w:rFonts w:ascii="Arial" w:cs="Arial" w:eastAsia="Arial" w:hAnsi="Arial"/>
          <w:sz w:val="18"/>
          <w:szCs w:val="18"/>
          <w:color w:val="auto"/>
        </w:rPr>
        <w:t>Consolidated U.S. Federal income tax returns are open to Internal Revenue Service (IRS) examination for years after 2010, excluding 2015, for which the statute expired on August 31, 2019. As of December 31, 2019, examinations of tax returns for 2011 through 2013 are currently in process. We do not expect material changes in our financial position resulting from these examinations. The statute of limitations for most states expires one year after expiration of the IRS statute. Generally, tax returns for our previously owned Canadian entities are open to audit for tax years after 2012. Tax years 2013 and 2014 are currently under income tax examination, while tax year 2016 is under Goods and Services Tax (GST) examination. In September 2016, we sold the majority of our Canadian operations and, as part of the sale, indemnified the purchaser for any increases in Canadian tax due to an audit of any tax periods prior to the sale.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(Loss) Per Common Share from Continuing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152"/>
        </w:trPr>
        <w:tc>
          <w:tcPr>
            <w:tcW w:w="7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00" w:type="dxa"/>
            <w:vAlign w:val="bottom"/>
            <w:gridSpan w:val="7"/>
          </w:tcPr>
          <w:p>
            <w:pPr>
              <w:jc w:val="center"/>
              <w:ind w:left="515"/>
              <w:spacing w:after="0" w:line="153" w:lineRule="exact"/>
              <w:rPr>
                <w:sz w:val="20"/>
                <w:szCs w:val="20"/>
                <w:color w:val="auto"/>
              </w:rPr>
            </w:pPr>
            <w:r>
              <w:rPr>
                <w:rFonts w:ascii="Arial" w:cs="Arial" w:eastAsia="Arial" w:hAnsi="Arial"/>
                <w:sz w:val="14"/>
                <w:szCs w:val="14"/>
                <w:b w:val="1"/>
                <w:bCs w:val="1"/>
                <w:color w:val="auto"/>
                <w:w w:val="92"/>
              </w:rPr>
              <w:t>(Dollars in millions, except per-share</w:t>
            </w:r>
          </w:p>
        </w:tc>
        <w:tc>
          <w:tcPr>
            <w:tcW w:w="820" w:type="dxa"/>
            <w:vAlign w:val="bottom"/>
          </w:tcPr>
          <w:p>
            <w:pPr>
              <w:spacing w:after="0"/>
              <w:rPr>
                <w:sz w:val="13"/>
                <w:szCs w:val="13"/>
                <w:color w:val="auto"/>
              </w:rPr>
            </w:pPr>
          </w:p>
        </w:tc>
      </w:tr>
      <w:tr>
        <w:trPr>
          <w:trHeight w:val="192"/>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7"/>
          </w:tcPr>
          <w:p>
            <w:pPr>
              <w:jc w:val="center"/>
              <w:ind w:left="495"/>
              <w:spacing w:after="0"/>
              <w:rPr>
                <w:sz w:val="20"/>
                <w:szCs w:val="20"/>
                <w:color w:val="auto"/>
              </w:rPr>
            </w:pPr>
            <w:r>
              <w:rPr>
                <w:rFonts w:ascii="Arial" w:cs="Arial" w:eastAsia="Arial" w:hAnsi="Arial"/>
                <w:sz w:val="14"/>
                <w:szCs w:val="14"/>
                <w:b w:val="1"/>
                <w:bCs w:val="1"/>
                <w:color w:val="auto"/>
                <w:w w:val="90"/>
              </w:rPr>
              <w:t>amounts; shares in thousands)</w:t>
            </w:r>
          </w:p>
        </w:tc>
        <w:tc>
          <w:tcPr>
            <w:tcW w:w="820" w:type="dxa"/>
            <w:vAlign w:val="bottom"/>
          </w:tcPr>
          <w:p>
            <w:pPr>
              <w:spacing w:after="0"/>
              <w:rPr>
                <w:sz w:val="16"/>
                <w:szCs w:val="16"/>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 available to common 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Basic weighted-average shares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1,212,037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973,626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826,177</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Nonvested restricted stock units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1,704</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weighted-average shares (1)</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1,214,011</w:t>
            </w: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973,626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828,518</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common share from continuing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2.63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r>
      <w:tr>
        <w:trPr>
          <w:trHeight w:val="27"/>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jc w:val="both"/>
        <w:ind w:left="340" w:hanging="332"/>
        <w:spacing w:after="0" w:line="25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year ended December 31, 2018, 2.0 million weighted-average nonvested restricted stock units and 0.5 million weighted-average stock options have been excluded from the computation of diluted earnings (loss) per common share as their inclusion would be antidilutive due to our loss from continuing operations attributable to The Williams Companies,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noncontributory defined benefit pension plans in which eligible employees participate. Currently, eligible employees earn benefits primarily based on a cash balance formula. At the time of retirement, participants may elect, to the extent they are eligible for the various options, to receive annuity payments, a lump-sum payment, or a combination of annuity and lump-sum payments. In addition to our pension plans, we currently provide subsidized retiree medical and life insurance benefits (other postretirement benefits) to certain eligible participants. Generally, employees hired after December 31, 1991, are not eligible for the subsidized retiree medical benefits, except for participants that were employees or retirees of Transco Energy Company on December 31, 1995. Subsidized retiree medical benefits for</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931"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eligible participants age 65 and older are paid through contributions to health reimbursement accounts. Subsidized retiree medical benefits for eligible participants under age 65 are provided through a self-insured medical plan sponsored by us. The self-insured retiree medical plan provides for retiree contributions and contains other cost-sharing features such as deductibles, co-payments, and co-insurance. The accounting for this plan anticipates estimated future increases to our contribution levels to the health reimbursement accounts for participants age 65 and older, as well as future cost-sharing that is consistent with our expressed intent to increase the retiree contribution level generally in line with health care cost increases for participants under age 65.</w:t>
      </w:r>
    </w:p>
    <w:p>
      <w:pPr>
        <w:spacing w:after="0" w:line="10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2018, our defined benefit pension and our defined contribution plans were amended. Eligible employees hired or rehired on or after January 1, 2019, are not eligible to participate in the pension plan, but are eligible for an additional fixed annual contribution made by us to the defined contribution plan. Additionally, as of January 1, 2020, certain active eligible employees no longer receive future compensation credits under the defined benefit pension plan, but are eligible for an additional fixed annual contribution made by us to the defined contribution plan. Also as of January 1, 2020, certain active eligible employees continue to receive compensation credits under the defined benefit pension plans and these employees are not eligible to receive the fixed annual contribution under the defined contribution plan. As a result of this amendment, a curtailment gain and a prior service credit were recorded to </w:t>
      </w:r>
      <w:r>
        <w:rPr>
          <w:rFonts w:ascii="Arial" w:cs="Arial" w:eastAsia="Arial" w:hAnsi="Arial"/>
          <w:sz w:val="17"/>
          <w:szCs w:val="17"/>
          <w:i w:val="1"/>
          <w:iCs w:val="1"/>
          <w:color w:val="auto"/>
        </w:rPr>
        <w:t>Accumulated</w:t>
      </w:r>
      <w:r>
        <w:rPr>
          <w:rFonts w:ascii="Arial" w:cs="Arial" w:eastAsia="Arial" w:hAnsi="Arial"/>
          <w:sz w:val="17"/>
          <w:szCs w:val="17"/>
          <w:color w:val="auto"/>
        </w:rPr>
        <w:t xml:space="preserve"> </w:t>
      </w:r>
      <w:r>
        <w:rPr>
          <w:rFonts w:ascii="Arial" w:cs="Arial" w:eastAsia="Arial" w:hAnsi="Arial"/>
          <w:sz w:val="17"/>
          <w:szCs w:val="17"/>
          <w:i w:val="1"/>
          <w:iCs w:val="1"/>
          <w:color w:val="auto"/>
        </w:rPr>
        <w:t>other comprehensive income (loss)</w:t>
      </w:r>
      <w:r>
        <w:rPr>
          <w:rFonts w:ascii="Arial" w:cs="Arial" w:eastAsia="Arial" w:hAnsi="Arial"/>
          <w:sz w:val="17"/>
          <w:szCs w:val="17"/>
          <w:color w:val="auto"/>
        </w:rPr>
        <w:t>. These amounts were not significant and are reported in Net actuarial gain (loss) within the subsequent tables of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benefit obligations, amounts included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and other changes in plan assets and benefit obligations recognized in other comprehensive income (loss) before taxes.</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2017, we initiated a program to pay out certain deferred vested pension benefits to reduce investment risk, cash funding volatility, and administrative costs. In December 2017 and August 2018, lump-sum payments were made, and annuity payments commenced in relation to this program. As a result of these lump-sum payments, as well as lump-sum benefit payments made throughout 2017 and 2018, settlement accounting was required. We recognized pre-tax, noncash settlement charges of $23 million in 2018 and $71 million in 2017, which are substantially reported in </w:t>
      </w:r>
      <w:r>
        <w:rPr>
          <w:rFonts w:ascii="Arial" w:cs="Arial" w:eastAsia="Arial" w:hAnsi="Arial"/>
          <w:sz w:val="18"/>
          <w:szCs w:val="18"/>
          <w:i w:val="1"/>
          <w:iCs w:val="1"/>
          <w:color w:val="auto"/>
        </w:rPr>
        <w:t>Other income (expense) – net</w:t>
      </w:r>
      <w:r>
        <w:rPr>
          <w:rFonts w:ascii="Arial" w:cs="Arial" w:eastAsia="Arial" w:hAnsi="Arial"/>
          <w:sz w:val="18"/>
          <w:szCs w:val="18"/>
          <w:color w:val="auto"/>
        </w:rPr>
        <w:t xml:space="preserve"> below </w:t>
      </w: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in the Consolidated Statement of Operations (see Note 7 – Other Income and Expenses). These amounts are included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tables of net periodic benefit cost (credit) and other changes in plan assets and benefit obligations recognized in other comprehensive income (loss) before taxes.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9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Funded Status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changes in benefit obligations and plan assets for pension benefits and other postretirement benefits for the years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jc w:val="center"/>
              <w:ind w:left="373"/>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0"/>
              </w:rPr>
              <w:t>Benefits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Plan participants’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actuarial loss (gain)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increase (decrease) in benefit obligation</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060" w:type="dxa"/>
            <w:vAlign w:val="bottom"/>
          </w:tcPr>
          <w:p>
            <w:pPr>
              <w:ind w:left="5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Fair value of plan assets at beginning of year</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Plan participants’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60" w:type="dxa"/>
            <w:vAlign w:val="bottom"/>
          </w:tcPr>
          <w:p>
            <w:pPr>
              <w:ind w:left="5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increase (decrease) in fair value of plan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Funded status — overfunded (underfunded)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overfunded (underfunded) status of our pension plans and other postretirement benefit plan presented in the previous table are recognized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within the following accounts: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264"/>
        </w:trPr>
        <w:tc>
          <w:tcPr>
            <w:tcW w:w="89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r>
      <w:tr>
        <w:trPr>
          <w:trHeight w:val="196"/>
        </w:trPr>
        <w:tc>
          <w:tcPr>
            <w:tcW w:w="8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(Millions)</w:t>
            </w:r>
          </w:p>
        </w:tc>
        <w:tc>
          <w:tcPr>
            <w:tcW w:w="760" w:type="dxa"/>
            <w:vAlign w:val="bottom"/>
          </w:tcPr>
          <w:p>
            <w:pPr>
              <w:spacing w:after="0"/>
              <w:rPr>
                <w:sz w:val="17"/>
                <w:szCs w:val="17"/>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(underfunded) pension plans: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Noncurrent assets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75"/>
              <w:spacing w:after="0"/>
              <w:rPr>
                <w:sz w:val="20"/>
                <w:szCs w:val="20"/>
                <w:color w:val="auto"/>
              </w:rPr>
            </w:pPr>
            <w:r>
              <w:rPr>
                <w:rFonts w:ascii="Arial" w:cs="Arial" w:eastAsia="Arial" w:hAnsi="Arial"/>
                <w:sz w:val="18"/>
                <w:szCs w:val="18"/>
                <w:color w:val="auto"/>
              </w:rPr>
              <w:t>92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Noncurrent liabilities</w:t>
            </w:r>
          </w:p>
        </w:tc>
        <w:tc>
          <w:tcPr>
            <w:tcW w:w="80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84"/>
        </w:trPr>
        <w:tc>
          <w:tcPr>
            <w:tcW w:w="89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Overfunded (underfunded) other postretirement benefit plan:</w:t>
            </w: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assets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r>
      <w:tr>
        <w:trPr>
          <w:trHeight w:val="243"/>
        </w:trPr>
        <w:tc>
          <w:tcPr>
            <w:tcW w:w="892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1"/>
                <w:szCs w:val="21"/>
                <w:color w:val="auto"/>
              </w:rPr>
            </w:pPr>
          </w:p>
        </w:tc>
        <w:tc>
          <w:tcPr>
            <w:tcW w:w="50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3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plan assets within our other postretirement benefit plan are intended to be used for the payment of benefits for certain groups of participants. The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for the other postretirement benefit plan represent the current portion of benefits expected to be payable in the subsequent year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participants whose benefits are not expected to be paid from plan assets.</w:t>
      </w:r>
    </w:p>
    <w:p>
      <w:pPr>
        <w:sectPr>
          <w:pgSz w:w="11900" w:h="16838" w:orient="portrait"/>
          <w:cols w:equalWidth="0" w:num="1">
            <w:col w:w="11420"/>
          </w:cols>
          <w:pgMar w:left="240" w:top="932" w:right="239" w:bottom="701"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932" w:right="239" w:bottom="701"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pension plans’ benefit obligation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of $69 million in 2019 is primarily due to the impact of a decrease in the discount rates utilized to calculate the benefit obligation, partially offset by the impact of a decrease in the cash balance interest crediting rate assumption. The pension plans’ benefit obligation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of $(90) million in 2018 is primarily due to the impact of an increase in the discount rates utilized to calculate the benefit obligation.</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2019 benefit obligation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of $30 million for our other postretirement benefit plan is primarily due a decrease in the discount rate used to calculate the benefit obligation and other assumption changes, partially offset by the impact of benefit payment experience and tax law changes. The 2018 benefit obligation </w:t>
      </w:r>
      <w:r>
        <w:rPr>
          <w:rFonts w:ascii="Arial" w:cs="Arial" w:eastAsia="Arial" w:hAnsi="Arial"/>
          <w:sz w:val="18"/>
          <w:szCs w:val="18"/>
          <w:i w:val="1"/>
          <w:iCs w:val="1"/>
          <w:color w:val="auto"/>
        </w:rPr>
        <w:t>Net actuarial loss (gain)</w:t>
      </w:r>
      <w:r>
        <w:rPr>
          <w:rFonts w:ascii="Arial" w:cs="Arial" w:eastAsia="Arial" w:hAnsi="Arial"/>
          <w:sz w:val="18"/>
          <w:szCs w:val="18"/>
          <w:color w:val="auto"/>
        </w:rPr>
        <w:t xml:space="preserve"> of $(17) million for our other postretirement benefit plan is primarily due to an increase in the discount rate used to calculate the benefit obligation.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for pension plans with obligations in excess of plan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96"/>
        </w:trPr>
        <w:tc>
          <w:tcPr>
            <w:tcW w:w="8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(Millions)</w:t>
            </w:r>
          </w:p>
        </w:tc>
        <w:tc>
          <w:tcPr>
            <w:tcW w:w="82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a projected benefit obligation in excess of plan assets: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Projected benefit obligation</w:t>
            </w: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1,187</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1,132</w:t>
            </w:r>
          </w:p>
        </w:tc>
      </w:tr>
      <w:tr>
        <w:trPr>
          <w:trHeight w:val="324"/>
        </w:trPr>
        <w:tc>
          <w:tcPr>
            <w:tcW w:w="8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an accumulated benefit obligation in excess of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benefit obligation</w:t>
            </w:r>
          </w:p>
        </w:tc>
        <w:tc>
          <w:tcPr>
            <w:tcW w:w="8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367</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of plan assets</w:t>
            </w: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r>
      <w:tr>
        <w:trPr>
          <w:trHeight w:val="27"/>
        </w:trPr>
        <w:tc>
          <w:tcPr>
            <w:tcW w:w="8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Pre-tax amounts not yet recognized in </w:t>
      </w:r>
      <w:r>
        <w:rPr>
          <w:rFonts w:ascii="Arial" w:cs="Arial" w:eastAsia="Arial" w:hAnsi="Arial"/>
          <w:sz w:val="18"/>
          <w:szCs w:val="18"/>
          <w:i w:val="1"/>
          <w:iCs w:val="1"/>
          <w:color w:val="auto"/>
        </w:rPr>
        <w:t>Net periodic benefit cost (credit)</w:t>
      </w:r>
      <w:r>
        <w:rPr>
          <w:rFonts w:ascii="Arial" w:cs="Arial" w:eastAsia="Arial" w:hAnsi="Arial"/>
          <w:sz w:val="18"/>
          <w:szCs w:val="18"/>
          <w:color w:val="auto"/>
        </w:rPr>
        <w:t xml:space="preserve"> at December 31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center"/>
              <w:ind w:left="382"/>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Pension Benefits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2"/>
          </w:tcPr>
          <w:p>
            <w:pPr>
              <w:jc w:val="center"/>
              <w:ind w:left="382"/>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90"/>
              </w:rPr>
              <w:t>Benefits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Amounts included in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loss</w:t>
            </w:r>
          </w:p>
        </w:tc>
        <w:tc>
          <w:tcPr>
            <w:tcW w:w="800" w:type="dxa"/>
            <w:vAlign w:val="bottom"/>
          </w:tcPr>
          <w:p>
            <w:pPr>
              <w:jc w:val="right"/>
              <w:ind w:right="599"/>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(243)</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ind w:left="360"/>
              <w:spacing w:after="0"/>
              <w:rPr>
                <w:sz w:val="20"/>
                <w:szCs w:val="20"/>
                <w:color w:val="auto"/>
              </w:rPr>
            </w:pPr>
            <w:r>
              <w:rPr>
                <w:rFonts w:ascii="Arial" w:cs="Arial" w:eastAsia="Arial" w:hAnsi="Arial"/>
                <w:sz w:val="18"/>
                <w:szCs w:val="18"/>
                <w:color w:val="auto"/>
                <w:w w:val="99"/>
              </w:rPr>
              <w:t>(347)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(21)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Amounts included in regulatory liabilities associated with Transco and Northwest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Pipeline:</w:t>
            </w:r>
          </w:p>
        </w:tc>
        <w:tc>
          <w:tcPr>
            <w:tcW w:w="8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gain</w:t>
            </w:r>
          </w:p>
        </w:tc>
        <w:tc>
          <w:tcPr>
            <w:tcW w:w="800" w:type="dxa"/>
            <w:vAlign w:val="bottom"/>
          </w:tcPr>
          <w:p>
            <w:pPr>
              <w:spacing w:after="0"/>
              <w:rPr>
                <w:sz w:val="21"/>
                <w:szCs w:val="21"/>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21"/>
                <w:szCs w:val="21"/>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82"/>
              <w:spacing w:after="0"/>
              <w:rPr>
                <w:sz w:val="20"/>
                <w:szCs w:val="20"/>
                <w:color w:val="auto"/>
              </w:rPr>
            </w:pPr>
            <w:r>
              <w:rPr>
                <w:rFonts w:ascii="Arial" w:cs="Arial" w:eastAsia="Arial" w:hAnsi="Arial"/>
                <w:sz w:val="18"/>
                <w:szCs w:val="18"/>
                <w:color w:val="auto"/>
              </w:rPr>
              <w:t>11</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addition to the regulatory liabilities included in the previous table, differences in the amount of actuarially determined </w:t>
      </w:r>
      <w:r>
        <w:rPr>
          <w:rFonts w:ascii="Arial" w:cs="Arial" w:eastAsia="Arial" w:hAnsi="Arial"/>
          <w:sz w:val="17"/>
          <w:szCs w:val="17"/>
          <w:i w:val="1"/>
          <w:iCs w:val="1"/>
          <w:color w:val="auto"/>
        </w:rPr>
        <w:t>Net periodic benefit cost (credit)</w:t>
      </w:r>
      <w:r>
        <w:rPr>
          <w:rFonts w:ascii="Arial" w:cs="Arial" w:eastAsia="Arial" w:hAnsi="Arial"/>
          <w:sz w:val="17"/>
          <w:szCs w:val="17"/>
          <w:color w:val="auto"/>
        </w:rPr>
        <w:t xml:space="preserve"> for our other postretirement benefit plan and the other postretirement benefit costs recovered in rates for Transco and Northwest Pipeline are deferred as a regulatory asset or liability. We have regulatory liabilities of $106 million at December 31, 2019 and $116 million at December 31, 2018, related to these deferrals. Additionally, Transco recognizes a regulatory liability for rate collections in excess of its amount funded to the tax-qualified pension plans. At December 31, 2019 and 2018, these regulatory liabilities were $43 million and $49 million, respectively. These pension and other postretirement plans amounts will be reflected in rates based on the rate structures of these gas pipelines.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93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Periodic Benefit Cost (Credit)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periodic benefit cost (credit) </w:t>
      </w:r>
      <w:r>
        <w:rPr>
          <w:rFonts w:ascii="Arial" w:cs="Arial" w:eastAsia="Arial" w:hAnsi="Arial"/>
          <w:sz w:val="18"/>
          <w:szCs w:val="18"/>
          <w:color w:val="auto"/>
        </w:rPr>
        <w:t>for the years ended December 31 consist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Pension Benefits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left="314"/>
              <w:spacing w:after="0"/>
              <w:rPr>
                <w:sz w:val="20"/>
                <w:szCs w:val="20"/>
                <w:color w:val="auto"/>
              </w:rPr>
            </w:pPr>
            <w:r>
              <w:rPr>
                <w:rFonts w:ascii="Arial" w:cs="Arial" w:eastAsia="Arial" w:hAnsi="Arial"/>
                <w:sz w:val="14"/>
                <w:szCs w:val="14"/>
                <w:b w:val="1"/>
                <w:bCs w:val="1"/>
                <w:color w:val="auto"/>
                <w:w w:val="93"/>
              </w:rPr>
              <w:t>Postretirement Benefits</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 (credit):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540"/>
              <w:spacing w:after="0"/>
              <w:rPr>
                <w:sz w:val="20"/>
                <w:szCs w:val="20"/>
                <w:color w:val="auto"/>
              </w:rPr>
            </w:pPr>
            <w:r>
              <w:rPr>
                <w:rFonts w:ascii="Arial" w:cs="Arial" w:eastAsia="Arial" w:hAnsi="Arial"/>
                <w:sz w:val="18"/>
                <w:szCs w:val="18"/>
                <w:color w:val="auto"/>
              </w:rPr>
              <w:t>Service cost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80" w:type="dxa"/>
            <w:vAlign w:val="bottom"/>
          </w:tcPr>
          <w:p>
            <w:pPr>
              <w:ind w:left="5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80" w:type="dxa"/>
            <w:vAlign w:val="bottom"/>
          </w:tcPr>
          <w:p>
            <w:pPr>
              <w:ind w:left="540"/>
              <w:spacing w:after="0"/>
              <w:rPr>
                <w:sz w:val="20"/>
                <w:szCs w:val="20"/>
                <w:color w:val="auto"/>
              </w:rPr>
            </w:pPr>
            <w:r>
              <w:rPr>
                <w:rFonts w:ascii="Arial" w:cs="Arial" w:eastAsia="Arial" w:hAnsi="Arial"/>
                <w:sz w:val="18"/>
                <w:szCs w:val="18"/>
                <w:color w:val="auto"/>
              </w:rPr>
              <w:t>Amortization of net actuarial loss</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actuarial loss from 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540"/>
              <w:spacing w:after="0"/>
              <w:rPr>
                <w:sz w:val="20"/>
                <w:szCs w:val="20"/>
                <w:color w:val="auto"/>
              </w:rPr>
            </w:pPr>
            <w:r>
              <w:rPr>
                <w:rFonts w:ascii="Arial" w:cs="Arial" w:eastAsia="Arial" w:hAnsi="Arial"/>
                <w:sz w:val="18"/>
                <w:szCs w:val="18"/>
                <w:color w:val="auto"/>
              </w:rPr>
              <w:t>Reclassification to regulatory liability</w:t>
            </w:r>
          </w:p>
        </w:tc>
        <w:tc>
          <w:tcPr>
            <w:tcW w:w="2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 benefit cost (credit)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Net periodic benefit cost (credit)</w:t>
      </w:r>
      <w:r>
        <w:rPr>
          <w:rFonts w:ascii="Arial" w:cs="Arial" w:eastAsia="Arial" w:hAnsi="Arial"/>
          <w:sz w:val="18"/>
          <w:szCs w:val="18"/>
          <w:color w:val="auto"/>
        </w:rPr>
        <w:t xml:space="preserve"> other than the </w:t>
      </w:r>
      <w:r>
        <w:rPr>
          <w:rFonts w:ascii="Arial" w:cs="Arial" w:eastAsia="Arial" w:hAnsi="Arial"/>
          <w:sz w:val="18"/>
          <w:szCs w:val="18"/>
          <w:i w:val="1"/>
          <w:iCs w:val="1"/>
          <w:color w:val="auto"/>
        </w:rPr>
        <w:t>service cost</w:t>
      </w:r>
      <w:r>
        <w:rPr>
          <w:rFonts w:ascii="Arial" w:cs="Arial" w:eastAsia="Arial" w:hAnsi="Arial"/>
          <w:sz w:val="18"/>
          <w:szCs w:val="18"/>
          <w:color w:val="auto"/>
        </w:rPr>
        <w:t xml:space="preserve"> component are included in </w:t>
      </w:r>
      <w:r>
        <w:rPr>
          <w:rFonts w:ascii="Arial" w:cs="Arial" w:eastAsia="Arial" w:hAnsi="Arial"/>
          <w:sz w:val="18"/>
          <w:szCs w:val="18"/>
          <w:i w:val="1"/>
          <w:iCs w:val="1"/>
          <w:color w:val="auto"/>
        </w:rPr>
        <w:t>Other income (expense) – net</w:t>
      </w:r>
      <w:r>
        <w:rPr>
          <w:rFonts w:ascii="Arial" w:cs="Arial" w:eastAsia="Arial" w:hAnsi="Arial"/>
          <w:sz w:val="18"/>
          <w:szCs w:val="18"/>
          <w:color w:val="auto"/>
        </w:rPr>
        <w:t xml:space="preserve"> below </w:t>
      </w:r>
      <w:r>
        <w:rPr>
          <w:rFonts w:ascii="Arial" w:cs="Arial" w:eastAsia="Arial" w:hAnsi="Arial"/>
          <w:sz w:val="18"/>
          <w:szCs w:val="18"/>
          <w:i w:val="1"/>
          <w:iCs w:val="1"/>
          <w:color w:val="auto"/>
        </w:rPr>
        <w:t xml:space="preserve">Operating income (loss) </w:t>
      </w:r>
      <w:r>
        <w:rPr>
          <w:rFonts w:ascii="Arial" w:cs="Arial" w:eastAsia="Arial" w:hAnsi="Arial"/>
          <w:sz w:val="18"/>
          <w:szCs w:val="18"/>
          <w:color w:val="auto"/>
        </w:rPr>
        <w:t>in the Consolidated Statement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Recognized in Other Comprehensive Income (Loss) and Regulatory Assets and Liabilities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changes in plan assets and benefit obligations recognized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before taxes for the years ended December 31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88"/>
              </w:rPr>
              <w:t>Pension Benefits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left="235"/>
              <w:spacing w:after="0"/>
              <w:rPr>
                <w:sz w:val="20"/>
                <w:szCs w:val="20"/>
                <w:color w:val="auto"/>
              </w:rPr>
            </w:pPr>
            <w:r>
              <w:rPr>
                <w:rFonts w:ascii="Arial" w:cs="Arial" w:eastAsia="Arial" w:hAnsi="Arial"/>
                <w:sz w:val="14"/>
                <w:szCs w:val="14"/>
                <w:b w:val="1"/>
                <w:bCs w:val="1"/>
                <w:color w:val="auto"/>
                <w:w w:val="94"/>
              </w:rPr>
              <w:t>Postretirement Benefits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3"/>
              </w:rPr>
              <w:t>2017</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changes in plan assets and benefit obligations recognized in </w:t>
            </w:r>
            <w:r>
              <w:rPr>
                <w:rFonts w:ascii="Arial" w:cs="Arial" w:eastAsia="Arial" w:hAnsi="Arial"/>
                <w:sz w:val="18"/>
                <w:szCs w:val="18"/>
                <w:i w:val="1"/>
                <w:iCs w:val="1"/>
                <w:color w:val="auto"/>
              </w:rPr>
              <w:t>Other</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prior service credit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 from settlements</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Other changes in plan assets and benefit obligations recognized in </w:t>
            </w:r>
            <w:r>
              <w:rPr>
                <w:rFonts w:ascii="Arial" w:cs="Arial" w:eastAsia="Arial" w:hAnsi="Arial"/>
                <w:sz w:val="18"/>
                <w:szCs w:val="18"/>
                <w:i w:val="1"/>
                <w:iCs w:val="1"/>
                <w:color w:val="auto"/>
              </w:rPr>
              <w:t>Other</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6060" w:type="dxa"/>
            <w:vAlign w:val="bottom"/>
          </w:tcPr>
          <w:p>
            <w:pPr>
              <w:ind w:left="200"/>
              <w:spacing w:after="0"/>
              <w:rPr>
                <w:sz w:val="20"/>
                <w:szCs w:val="20"/>
                <w:color w:val="auto"/>
              </w:rPr>
            </w:pPr>
            <w:r>
              <w:rPr>
                <w:rFonts w:ascii="Arial" w:cs="Arial" w:eastAsia="Arial" w:hAnsi="Arial"/>
                <w:sz w:val="18"/>
                <w:szCs w:val="18"/>
                <w:i w:val="1"/>
                <w:iCs w:val="1"/>
                <w:color w:val="auto"/>
              </w:rPr>
              <w:t>comprehensive income (loss)</w:t>
            </w:r>
          </w:p>
        </w:tc>
        <w:tc>
          <w:tcPr>
            <w:tcW w:w="20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changes in plan assets and benefit obligations for our other postretirement benefit plan associated with Transco and Northwest Pipeline are recognized in regulatory assets and liabilities. Amounts recognized in regulatory assets and liabilities for the years ended December 31 consist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279"/>
              <w:spacing w:after="0"/>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 xml:space="preserve">Other changes in plan assets and benefit obligations recognized in </w:t>
            </w:r>
            <w:r>
              <w:rPr>
                <w:rFonts w:ascii="Arial" w:cs="Arial" w:eastAsia="Arial" w:hAnsi="Arial"/>
                <w:sz w:val="18"/>
                <w:szCs w:val="18"/>
                <w:i w:val="1"/>
                <w:iCs w:val="1"/>
                <w:color w:val="auto"/>
                <w:w w:val="92"/>
              </w:rPr>
              <w:t>regulatory (assets) and liabilities:</w:t>
            </w: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prior service credit</w:t>
            </w: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931" w:right="2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utilized to determine benefit obligations as of December 31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3"/>
          </w:tcPr>
          <w:p>
            <w:pPr>
              <w:jc w:val="center"/>
              <w:ind w:left="780"/>
              <w:spacing w:after="0"/>
              <w:rPr>
                <w:sz w:val="20"/>
                <w:szCs w:val="20"/>
                <w:color w:val="auto"/>
              </w:rPr>
            </w:pPr>
            <w:r>
              <w:rPr>
                <w:rFonts w:ascii="Arial" w:cs="Arial" w:eastAsia="Arial" w:hAnsi="Arial"/>
                <w:sz w:val="14"/>
                <w:szCs w:val="14"/>
                <w:b w:val="1"/>
                <w:bCs w:val="1"/>
                <w:color w:val="auto"/>
              </w:rPr>
              <w:t>Other</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88"/>
              </w:rPr>
              <w:t>Pension Benefits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tcPr>
          <w:p>
            <w:pPr>
              <w:jc w:val="center"/>
              <w:ind w:left="780"/>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80"/>
              <w:spacing w:after="0"/>
              <w:rPr>
                <w:sz w:val="20"/>
                <w:szCs w:val="20"/>
                <w:color w:val="auto"/>
              </w:rPr>
            </w:pPr>
            <w:r>
              <w:rPr>
                <w:rFonts w:ascii="Arial" w:cs="Arial" w:eastAsia="Arial" w:hAnsi="Arial"/>
                <w:sz w:val="14"/>
                <w:szCs w:val="14"/>
                <w:b w:val="1"/>
                <w:bCs w:val="1"/>
                <w:color w:val="auto"/>
                <w:w w:val="90"/>
              </w:rPr>
              <w:t>Benefits</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3"/>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3"/>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3"/>
              </w:rPr>
              <w:t>4.39%</w:t>
            </w:r>
          </w:p>
        </w:tc>
        <w:tc>
          <w:tcPr>
            <w:tcW w:w="0" w:type="dxa"/>
            <w:vAlign w:val="bottom"/>
          </w:tcPr>
          <w:p>
            <w:pPr>
              <w:spacing w:after="0"/>
              <w:rPr>
                <w:sz w:val="1"/>
                <w:szCs w:val="1"/>
                <w:color w:val="auto"/>
              </w:rPr>
            </w:pP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Rate of compensation increase</w:t>
            </w:r>
          </w:p>
        </w:tc>
        <w:tc>
          <w:tcPr>
            <w:tcW w:w="500" w:type="dxa"/>
            <w:vAlign w:val="bottom"/>
          </w:tcPr>
          <w:p>
            <w:pPr>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88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840" w:type="dxa"/>
            <w:vAlign w:val="bottom"/>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balance interest crediting rate</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weighted-average assumptions utilized to determine </w:t>
      </w:r>
      <w:r>
        <w:rPr>
          <w:rFonts w:ascii="Arial" w:cs="Arial" w:eastAsia="Arial" w:hAnsi="Arial"/>
          <w:sz w:val="18"/>
          <w:szCs w:val="18"/>
          <w:i w:val="1"/>
          <w:iCs w:val="1"/>
          <w:color w:val="auto"/>
        </w:rPr>
        <w:t>Net periodic benefit cost (credit)</w:t>
      </w:r>
      <w:r>
        <w:rPr>
          <w:rFonts w:ascii="Arial" w:cs="Arial" w:eastAsia="Arial" w:hAnsi="Arial"/>
          <w:sz w:val="18"/>
          <w:szCs w:val="18"/>
          <w:color w:val="auto"/>
        </w:rPr>
        <w:t xml:space="preserve"> for the years ended December 31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Pension Benefits</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3"/>
              </w:rPr>
              <w:t>Postretirement Benefits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7"/>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3"/>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86"/>
              </w:rPr>
              <w:t>4.39%</w:t>
            </w:r>
          </w:p>
        </w:tc>
        <w:tc>
          <w:tcPr>
            <w:tcW w:w="132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w w:val="93"/>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3"/>
              </w:rPr>
              <w:t>4.27%</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7"/>
              </w:rPr>
              <w:t>Expected long-term rate of return on plan assets</w:t>
            </w:r>
          </w:p>
        </w:tc>
        <w:tc>
          <w:tcPr>
            <w:tcW w:w="1180" w:type="dxa"/>
            <w:vAlign w:val="bottom"/>
          </w:tcPr>
          <w:p>
            <w:pPr>
              <w:ind w:left="66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5.01</w:t>
            </w:r>
          </w:p>
        </w:tc>
        <w:tc>
          <w:tcPr>
            <w:tcW w:w="1320" w:type="dxa"/>
            <w:vAlign w:val="bottom"/>
            <w:gridSpan w:val="3"/>
          </w:tcPr>
          <w:p>
            <w:pPr>
              <w:ind w:left="82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1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Cash balance interest crediting rate</w:t>
            </w:r>
          </w:p>
        </w:tc>
        <w:tc>
          <w:tcPr>
            <w:tcW w:w="1180" w:type="dxa"/>
            <w:vAlign w:val="bottom"/>
          </w:tcPr>
          <w:p>
            <w:pPr>
              <w:ind w:left="66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180" w:type="dxa"/>
            <w:vAlign w:val="bottom"/>
          </w:tcPr>
          <w:p>
            <w:pPr>
              <w:ind w:left="6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140" w:type="dxa"/>
            <w:vAlign w:val="bottom"/>
          </w:tcPr>
          <w:p>
            <w:pPr>
              <w:ind w:left="68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ind w:left="680"/>
              <w:spacing w:after="0"/>
              <w:rPr>
                <w:sz w:val="20"/>
                <w:szCs w:val="20"/>
                <w:color w:val="auto"/>
              </w:rPr>
            </w:pPr>
            <w:r>
              <w:rPr>
                <w:rFonts w:ascii="Arial" w:cs="Arial" w:eastAsia="Arial" w:hAnsi="Arial"/>
                <w:sz w:val="18"/>
                <w:szCs w:val="18"/>
                <w:color w:val="auto"/>
              </w:rPr>
              <w:t>N/A</w:t>
            </w:r>
          </w:p>
        </w:tc>
        <w:tc>
          <w:tcPr>
            <w:tcW w:w="940" w:type="dxa"/>
            <w:vAlign w:val="bottom"/>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mortality assumptions used to determine the benefit obligations for our pension and other postretirement benefit plans reflect generational projection mortality tables.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assumed health care cost trend rate for 2020 is 7.2 percent. This rate decreases to 4.5 percent by 2028.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Assets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Plan assets for our pension and other postretirement benefit plans consist primarily of equity and fixed income securities including mutual funds and commingled investment funds invested in equity and fixed income securities. The plans’ investment policy provides for a strategy in accordance with the Employee Retirement Income Security Act (ERISA), which governs the investment of the assets in a diversified portfolio. The plans follow a policy of diversifying the investments across various asset classes and investment managers. Additionally, the investment returns on approximately 37 percent of the other postretirement benefit plan assets are subject to income tax; therefore, certain investments are managed in a tax efficient manner.</w:t>
      </w:r>
    </w:p>
    <w:p>
      <w:pPr>
        <w:spacing w:after="0" w:line="11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investment policy for the pension plans includes a general target asset allocation at December 31, 2019, of 25 percent equity securities and 75 percent fixed income securities. The target allocation includes the investments in equity and fixed income mutual funds and commingled investment funds.</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Equity securities may include U.S. equities and non-U.S. equities. Investment in Williams’ securities or an entity in which Williams has a majority ownership is prohibited except where these securities may be owned in a commingled investment fund in which the plans’ trusts invest. No more than 5 percent of the total stock portfolio valued at market may be invested in the common stock of any one corporation.</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Fixed income securities may consist of U.S. as well as international instruments, including emerging markets. The fixed income strategies may invest in government, corporate, asset-backed securities, and mortgage-backed obligations. The weighted-average credit rating of the fixed income strategies must be at least “investment grade” including ratings by Moody’s and/or Standard &amp; Poor’s. No more than 5 percent of the total fixed income portfolio may be invested in the fixed income securities of any one issuer with the exception of bond index funds and U.S. government guaranteed and agency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93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following securities and transactions are not authorized: unregistered securities, commodities or commodity contracts, short sales or margin transactions, or other leveraging strategies. Additionally, real estate equity, natural resource property, venture capital, leveraged buyouts, and other high-return, high-risk investments are generally restricted. Use of derivative securities in mutual funds and commingled investment funds held by the plans’ trusts is allowed. However, direct investment in derivative securities requires approval. Currently, investment managers are approved to enter into U.S. Treasury futures contracts on behalf of the plans to implement and manage duration and yield curve strategy in the fixed income portfolio.</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are no significant concentrations of risk within the plans’ investment securities because of the diversity of the types of investments, diversity of the various industries, and the diversity of the fund managers and investment strategies. Generally, the investments held in the plans are publicly traded, therefore, minimizing liquidity risk in the portfolio.</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at December 31, 2019 and 2018 by asset class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4"/>
              </w:rPr>
              <w:t>(Level 3)</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(Millions)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assets: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540"/>
              <w:spacing w:after="0"/>
              <w:rPr>
                <w:sz w:val="20"/>
                <w:szCs w:val="20"/>
                <w:color w:val="auto"/>
              </w:rPr>
            </w:pPr>
            <w:r>
              <w:rPr>
                <w:rFonts w:ascii="Arial" w:cs="Arial" w:eastAsia="Arial" w:hAnsi="Arial"/>
                <w:sz w:val="18"/>
                <w:szCs w:val="18"/>
                <w:color w:val="auto"/>
              </w:rPr>
              <w:t>Cash management fund</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500" w:type="dxa"/>
            <w:vAlign w:val="bottom"/>
          </w:tcPr>
          <w:p>
            <w:pPr>
              <w:ind w:left="540"/>
              <w:spacing w:after="0"/>
              <w:rPr>
                <w:sz w:val="20"/>
                <w:szCs w:val="20"/>
                <w:color w:val="auto"/>
              </w:rPr>
            </w:pPr>
            <w:r>
              <w:rPr>
                <w:rFonts w:ascii="Arial" w:cs="Arial" w:eastAsia="Arial" w:hAnsi="Arial"/>
                <w:sz w:val="18"/>
                <w:szCs w:val="18"/>
                <w:color w:val="auto"/>
              </w:rPr>
              <w:t>Fixed income securities (1):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Governments and municipal bonds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w w:val="90"/>
              </w:rPr>
              <w:t>Commingled investment funds measured at net asset value practical</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expedient (2):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Equities — U.S. large cap</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Global large and mid cap</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Equities — International emerging markets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Fixed income — U.S. long and intermediate duration</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Fixed income — Corporate bonds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 at fair value at December 31, 2019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117</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550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restart"/>
          </w:tcPr>
          <w:p>
            <w:pPr>
              <w:jc w:val="center"/>
              <w:ind w:right="59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61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610"/>
              <w:spacing w:after="0" w:line="149" w:lineRule="exact"/>
              <w:rPr>
                <w:sz w:val="20"/>
                <w:szCs w:val="20"/>
                <w:color w:val="auto"/>
              </w:rPr>
            </w:pPr>
            <w:r>
              <w:rPr>
                <w:rFonts w:ascii="Arial" w:cs="Arial" w:eastAsia="Arial" w:hAnsi="Arial"/>
                <w:sz w:val="14"/>
                <w:szCs w:val="14"/>
                <w:b w:val="1"/>
                <w:bCs w:val="1"/>
                <w:color w:val="auto"/>
                <w:w w:val="95"/>
              </w:rPr>
              <w:t>Inputs</w:t>
            </w: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4"/>
                <w:szCs w:val="14"/>
                <w:b w:val="1"/>
                <w:bCs w:val="1"/>
                <w:color w:val="auto"/>
                <w:w w:val="94"/>
              </w:rPr>
              <w:t>(Level 3)</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(Millions)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assets: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540"/>
              <w:spacing w:after="0"/>
              <w:rPr>
                <w:sz w:val="20"/>
                <w:szCs w:val="20"/>
                <w:color w:val="auto"/>
              </w:rPr>
            </w:pPr>
            <w:r>
              <w:rPr>
                <w:rFonts w:ascii="Arial" w:cs="Arial" w:eastAsia="Arial" w:hAnsi="Arial"/>
                <w:sz w:val="18"/>
                <w:szCs w:val="18"/>
                <w:color w:val="auto"/>
              </w:rPr>
              <w:t>Cash management fund</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500" w:type="dxa"/>
            <w:vAlign w:val="bottom"/>
          </w:tcPr>
          <w:p>
            <w:pPr>
              <w:ind w:left="540"/>
              <w:spacing w:after="0"/>
              <w:rPr>
                <w:sz w:val="20"/>
                <w:szCs w:val="20"/>
                <w:color w:val="auto"/>
              </w:rPr>
            </w:pPr>
            <w:r>
              <w:rPr>
                <w:rFonts w:ascii="Arial" w:cs="Arial" w:eastAsia="Arial" w:hAnsi="Arial"/>
                <w:sz w:val="18"/>
                <w:szCs w:val="18"/>
                <w:color w:val="auto"/>
              </w:rPr>
              <w:t>Fixed income securities (1):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Government and municipal bonds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Insurance company investment contracts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w w:val="90"/>
              </w:rPr>
              <w:t>Commingled investment funds measured at net asset value practical</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expedient (2):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Equities — U.S. large cap</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International small cap</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Equities — International emerging markets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International developed markets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00" w:type="dxa"/>
            <w:vAlign w:val="bottom"/>
          </w:tcPr>
          <w:p>
            <w:pPr>
              <w:ind w:left="1040"/>
              <w:spacing w:after="0"/>
              <w:rPr>
                <w:sz w:val="20"/>
                <w:szCs w:val="20"/>
                <w:color w:val="auto"/>
              </w:rPr>
            </w:pPr>
            <w:r>
              <w:rPr>
                <w:rFonts w:ascii="Arial" w:cs="Arial" w:eastAsia="Arial" w:hAnsi="Arial"/>
                <w:sz w:val="18"/>
                <w:szCs w:val="18"/>
                <w:color w:val="auto"/>
              </w:rPr>
              <w:t>Fixed income — U.S. long duration</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Fixed income — Corporate bonds</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7"/>
        </w:trPr>
        <w:tc>
          <w:tcPr>
            <w:tcW w:w="5500" w:type="dxa"/>
            <w:vAlign w:val="bottom"/>
          </w:tcPr>
          <w:p>
            <w:pPr>
              <w:ind w:left="540"/>
              <w:spacing w:after="0"/>
              <w:rPr>
                <w:sz w:val="20"/>
                <w:szCs w:val="20"/>
                <w:color w:val="auto"/>
              </w:rPr>
            </w:pPr>
            <w:r>
              <w:rPr>
                <w:rFonts w:ascii="Arial" w:cs="Arial" w:eastAsia="Arial" w:hAnsi="Arial"/>
                <w:sz w:val="18"/>
                <w:szCs w:val="18"/>
                <w:color w:val="auto"/>
              </w:rPr>
              <w:t>Total assets at fair value at December 31, 2018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118</w:t>
            </w: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50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other postretirement benefits plan assets at December 31, 2019 and 2018 by asset class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4"/>
              </w:rPr>
              <w:t>(Level 3)</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(Millions)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postretirement benefit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40"/>
              <w:spacing w:after="0"/>
              <w:rPr>
                <w:sz w:val="20"/>
                <w:szCs w:val="20"/>
                <w:color w:val="auto"/>
              </w:rPr>
            </w:pPr>
            <w:r>
              <w:rPr>
                <w:rFonts w:ascii="Arial" w:cs="Arial" w:eastAsia="Arial" w:hAnsi="Arial"/>
                <w:sz w:val="18"/>
                <w:szCs w:val="18"/>
                <w:color w:val="auto"/>
              </w:rPr>
              <w:t>Cash management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620" w:type="dxa"/>
            <w:vAlign w:val="bottom"/>
          </w:tcPr>
          <w:p>
            <w:pPr>
              <w:ind w:left="540"/>
              <w:spacing w:after="0"/>
              <w:rPr>
                <w:sz w:val="20"/>
                <w:szCs w:val="20"/>
                <w:color w:val="auto"/>
              </w:rPr>
            </w:pPr>
            <w:r>
              <w:rPr>
                <w:rFonts w:ascii="Arial" w:cs="Arial" w:eastAsia="Arial" w:hAnsi="Arial"/>
                <w:sz w:val="18"/>
                <w:szCs w:val="18"/>
                <w:color w:val="auto"/>
              </w:rPr>
              <w:t>Fixed income securities (1):</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Governments and municipal bonds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Mortgage and 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Mutual fund — 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w w:val="92"/>
              </w:rPr>
              <w:t>Commingled investment funds measured at net asset value practical</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expedient (2):</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Equities — U.S. large cap</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Global large and mid cap</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Equities — International emerging markets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Fixed income — U.S. long and intermediate duration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Fixed income — Corporate bonds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 at fair value at December 31, 2019</w:t>
            </w: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40" w:type="dxa"/>
            <w:vAlign w:val="bottom"/>
            <w:gridSpan w:val="3"/>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93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restart"/>
          </w:tcPr>
          <w:p>
            <w:pPr>
              <w:jc w:val="center"/>
              <w:ind w:right="59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61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center"/>
              <w:ind w:right="610"/>
              <w:spacing w:after="0" w:line="149" w:lineRule="exact"/>
              <w:rPr>
                <w:sz w:val="20"/>
                <w:szCs w:val="20"/>
                <w:color w:val="auto"/>
              </w:rPr>
            </w:pPr>
            <w:r>
              <w:rPr>
                <w:rFonts w:ascii="Arial" w:cs="Arial" w:eastAsia="Arial" w:hAnsi="Arial"/>
                <w:sz w:val="14"/>
                <w:szCs w:val="14"/>
                <w:b w:val="1"/>
                <w:bCs w:val="1"/>
                <w:color w:val="auto"/>
                <w:w w:val="95"/>
              </w:rPr>
              <w:t>Inputs</w:t>
            </w: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590"/>
              <w:spacing w:after="0"/>
              <w:rPr>
                <w:sz w:val="20"/>
                <w:szCs w:val="20"/>
                <w:color w:val="auto"/>
              </w:rPr>
            </w:pPr>
            <w:r>
              <w:rPr>
                <w:rFonts w:ascii="Arial" w:cs="Arial" w:eastAsia="Arial" w:hAnsi="Arial"/>
                <w:sz w:val="14"/>
                <w:szCs w:val="14"/>
                <w:b w:val="1"/>
                <w:bCs w:val="1"/>
                <w:color w:val="auto"/>
                <w:w w:val="94"/>
              </w:rPr>
              <w:t>(Level 3)</w:t>
            </w: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(Millions)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postretirement benefit assets: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540"/>
              <w:spacing w:after="0"/>
              <w:rPr>
                <w:sz w:val="20"/>
                <w:szCs w:val="20"/>
                <w:color w:val="auto"/>
              </w:rPr>
            </w:pPr>
            <w:r>
              <w:rPr>
                <w:rFonts w:ascii="Arial" w:cs="Arial" w:eastAsia="Arial" w:hAnsi="Arial"/>
                <w:sz w:val="18"/>
                <w:szCs w:val="18"/>
                <w:color w:val="auto"/>
              </w:rPr>
              <w:t>Cash management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620" w:type="dxa"/>
            <w:vAlign w:val="bottom"/>
          </w:tcPr>
          <w:p>
            <w:pPr>
              <w:ind w:left="540"/>
              <w:spacing w:after="0"/>
              <w:rPr>
                <w:sz w:val="20"/>
                <w:szCs w:val="20"/>
                <w:color w:val="auto"/>
              </w:rPr>
            </w:pPr>
            <w:r>
              <w:rPr>
                <w:rFonts w:ascii="Arial" w:cs="Arial" w:eastAsia="Arial" w:hAnsi="Arial"/>
                <w:sz w:val="18"/>
                <w:szCs w:val="18"/>
                <w:color w:val="auto"/>
              </w:rPr>
              <w:t>Fixed income securities (1):</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Government and municipal bonds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Mortgage and 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Mutual fund — Municipal bonds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540"/>
              <w:spacing w:after="0" w:line="189" w:lineRule="exact"/>
              <w:rPr>
                <w:sz w:val="20"/>
                <w:szCs w:val="20"/>
                <w:color w:val="auto"/>
              </w:rPr>
            </w:pPr>
            <w:r>
              <w:rPr>
                <w:rFonts w:ascii="Arial" w:cs="Arial" w:eastAsia="Arial" w:hAnsi="Arial"/>
                <w:sz w:val="18"/>
                <w:szCs w:val="18"/>
                <w:color w:val="auto"/>
                <w:w w:val="92"/>
              </w:rPr>
              <w:t>Commingled investment funds measured at net asset value practical</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expedient (2):</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Equities — U.S. large cap</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International small cap</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Equities — International emerging markets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Equities — International developed markets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620" w:type="dxa"/>
            <w:vAlign w:val="bottom"/>
          </w:tcPr>
          <w:p>
            <w:pPr>
              <w:ind w:left="1040"/>
              <w:spacing w:after="0"/>
              <w:rPr>
                <w:sz w:val="20"/>
                <w:szCs w:val="20"/>
                <w:color w:val="auto"/>
              </w:rPr>
            </w:pPr>
            <w:r>
              <w:rPr>
                <w:rFonts w:ascii="Arial" w:cs="Arial" w:eastAsia="Arial" w:hAnsi="Arial"/>
                <w:sz w:val="18"/>
                <w:szCs w:val="18"/>
                <w:color w:val="auto"/>
              </w:rPr>
              <w:t>Fixed income — U.S. long duration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Fixed income — Corporate bonds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620" w:type="dxa"/>
            <w:vAlign w:val="bottom"/>
          </w:tcPr>
          <w:p>
            <w:pPr>
              <w:ind w:left="540"/>
              <w:spacing w:after="0"/>
              <w:rPr>
                <w:sz w:val="20"/>
                <w:szCs w:val="20"/>
                <w:color w:val="auto"/>
              </w:rPr>
            </w:pPr>
            <w:r>
              <w:rPr>
                <w:rFonts w:ascii="Arial" w:cs="Arial" w:eastAsia="Arial" w:hAnsi="Arial"/>
                <w:sz w:val="18"/>
                <w:szCs w:val="18"/>
                <w:color w:val="auto"/>
              </w:rPr>
              <w:t>Total assets at fair value at December 31, 2018</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1"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weighted-average credit quality rating of the fixed income security portfolio is investment grade with a weighted-average duration of approximately 14 years for 2019 and 13 years for 2018.</w:t>
      </w:r>
    </w:p>
    <w:p>
      <w:pPr>
        <w:spacing w:after="0" w:line="129"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stated intents of the funds vary based on each commingled fund’s investment objective. These objectives generally include strategies to replicate or outperform various market indices. Certain standard withdrawal restrictions generally apply, which may include redemption notification period restrictions ranging from 1 day to 30 days. Additionally, the fund managers retain the right to restrict withdrawals from and/or purchases into the funds so as not to disadvantage other investors in the funds. Generally, the funds also reserve the right to make all or a portion of the redemption in-kind rather than in cash or a combination of cash and in-kind.</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measurement level within the fair value hierarchy is based on the lowest level of any input that is significant to the fair value measurement of an asset.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Shares of the cash management funds and mutual funds are valued at fair value based on published market prices as of the close of business on the last business day of the year, which represents the net asset values of the shares held.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equity securities traded on U.S. exchanges are derived from quoted market prices as of the close of business on the last business day of the year. The fair values of equity securities traded on foreign exchanges are also derived from quoted market prices as of the close of business on an active foreign exchange on the last business day of the year. However, the valuation requires translation of the foreign currency to U.S. dollars and this translation is considered an observable input to the valuation.</w:t>
      </w: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932" w:right="2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all commingled investment funds are determined based on the net asset values per unit of each of the funds. The net asset values per unit represent the aggregate values of the funds’ assets at fair value less liabilities, divided by the number of units outstanding.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values of fixed income securities, except U.S. Treasury securities, are determined using pricing models. These pricing models incorporate observable inputs such as benchmark yields, reported trades, broker/dealer quotes, and issuer spreads for similar securities to determine fair value. The U.S. Treasury securities are valued at fair value based on closing prices on the last business day of the year reported in the active market in which the security is traded.</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significant changes in the preceding valuation methodologies used at December 31, 2019 and 2018. Additionally, there were no transfers or reclassifications of investments between Level 1 and Level 2 from December 2018 to December 2019. If transfers between levels had occurred, the transfers would have been recognized as of the end of the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Benefit Payments and Employer Contributions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Following are the expected benefits to be paid by the plans. These estimates are based on the same assumptions previously discussed and reflect future service as appropriate. The actuarial assumptions are based on long-term expectations and include, but are not limited to, assumptions as to average expected retirement age and form of benefit payment. Actual benefit payments could differ significantly from expected benefit payments if near-term participant behaviors differ significantly from the actuarial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Pension</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center"/>
              <w:ind w:right="2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Benefits</w:t>
            </w:r>
          </w:p>
        </w:tc>
        <w:tc>
          <w:tcPr>
            <w:tcW w:w="4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(Millions)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14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2021</w:t>
            </w:r>
          </w:p>
        </w:tc>
        <w:tc>
          <w:tcPr>
            <w:tcW w:w="114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2023</w:t>
            </w:r>
          </w:p>
        </w:tc>
        <w:tc>
          <w:tcPr>
            <w:tcW w:w="114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2025-2029</w:t>
            </w:r>
          </w:p>
        </w:tc>
        <w:tc>
          <w:tcPr>
            <w:tcW w:w="1140" w:type="dxa"/>
            <w:vAlign w:val="bottom"/>
          </w:tcPr>
          <w:p>
            <w:pPr>
              <w:spacing w:after="0"/>
              <w:rPr>
                <w:sz w:val="21"/>
                <w:szCs w:val="21"/>
                <w:color w:val="auto"/>
              </w:rPr>
            </w:pPr>
          </w:p>
        </w:tc>
        <w:tc>
          <w:tcPr>
            <w:tcW w:w="480" w:type="dxa"/>
            <w:vAlign w:val="bottom"/>
          </w:tcPr>
          <w:p>
            <w:pPr>
              <w:jc w:val="right"/>
              <w:ind w:right="33"/>
              <w:spacing w:after="0"/>
              <w:rPr>
                <w:sz w:val="20"/>
                <w:szCs w:val="20"/>
                <w:color w:val="auto"/>
              </w:rPr>
            </w:pPr>
            <w:r>
              <w:rPr>
                <w:rFonts w:ascii="Arial" w:cs="Arial" w:eastAsia="Arial" w:hAnsi="Arial"/>
                <w:sz w:val="18"/>
                <w:szCs w:val="18"/>
                <w:color w:val="auto"/>
              </w:rPr>
              <w:t>433</w:t>
            </w:r>
          </w:p>
        </w:tc>
        <w:tc>
          <w:tcPr>
            <w:tcW w:w="3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2020, we expect to contribute approximately $10 million to our tax-qualified pension plans and approximately $3 million to our nonqualified pension plans, for a total of approximately $13 million, and approximately $6 million to our other postretirement benefit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maintain a defined contribution plan for the benefit of substantially all of our employees. Generally, plan participants may contribute a portion of their compensation on a pre-tax and after-tax basis in accordance with the plan’s guidelines. We match employees’ contributions up to certain limits. Our contributions charged to expense were $36 million in 2019, $35 million in 2018, and $34 million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93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are a lessee through noncancellable lease agreements for property and equipment consisting primarily of buildings, land, vehicles, and equipment used in both our operations and administrative functions.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Year Ended December</w:t>
            </w:r>
          </w:p>
        </w:tc>
      </w:tr>
      <w:tr>
        <w:trPr>
          <w:trHeight w:val="192"/>
        </w:trPr>
        <w:tc>
          <w:tcPr>
            <w:tcW w:w="9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31,</w:t>
            </w:r>
          </w:p>
        </w:tc>
      </w:tr>
      <w:tr>
        <w:trPr>
          <w:trHeight w:val="250"/>
        </w:trPr>
        <w:tc>
          <w:tcPr>
            <w:tcW w:w="99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(Millions)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Lease Cost: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40</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27</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lease cost</w:t>
            </w: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r>
      <w:tr>
        <w:trPr>
          <w:trHeight w:val="264"/>
        </w:trPr>
        <w:tc>
          <w:tcPr>
            <w:tcW w:w="9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9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7"/>
              </w:rPr>
              <w:t>(Millions)</w:t>
            </w: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Right-of-use asset (included in </w:t>
            </w:r>
            <w:r>
              <w:rPr>
                <w:rFonts w:ascii="Arial" w:cs="Arial" w:eastAsia="Arial" w:hAnsi="Arial"/>
                <w:sz w:val="18"/>
                <w:szCs w:val="18"/>
                <w:i w:val="1"/>
                <w:iCs w:val="1"/>
                <w:color w:val="auto"/>
              </w:rPr>
              <w:t>Regulatory assets, deferred charges, and other</w:t>
            </w:r>
            <w:r>
              <w:rPr>
                <w:rFonts w:ascii="Arial" w:cs="Arial" w:eastAsia="Arial" w:hAnsi="Arial"/>
                <w:sz w:val="18"/>
                <w:szCs w:val="18"/>
                <w:color w:val="auto"/>
              </w:rPr>
              <w:t xml:space="preserve"> in our Consolidated Balance Sheet)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207</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200"/>
              <w:spacing w:after="0"/>
              <w:rPr>
                <w:sz w:val="20"/>
                <w:szCs w:val="20"/>
                <w:color w:val="auto"/>
              </w:rPr>
            </w:pPr>
            <w:r>
              <w:rPr>
                <w:rFonts w:ascii="Arial" w:cs="Arial" w:eastAsia="Arial" w:hAnsi="Arial"/>
                <w:sz w:val="18"/>
                <w:szCs w:val="18"/>
                <w:color w:val="auto"/>
              </w:rPr>
              <w:t xml:space="preserve">Current (included in </w:t>
            </w:r>
            <w:r>
              <w:rPr>
                <w:rFonts w:ascii="Arial" w:cs="Arial" w:eastAsia="Arial" w:hAnsi="Arial"/>
                <w:sz w:val="18"/>
                <w:szCs w:val="18"/>
                <w:i w:val="1"/>
                <w:iCs w:val="1"/>
                <w:color w:val="auto"/>
              </w:rPr>
              <w:t>Accrued liabilities</w:t>
            </w:r>
            <w:r>
              <w:rPr>
                <w:rFonts w:ascii="Arial" w:cs="Arial" w:eastAsia="Arial" w:hAnsi="Arial"/>
                <w:sz w:val="18"/>
                <w:szCs w:val="18"/>
                <w:color w:val="auto"/>
              </w:rPr>
              <w:t xml:space="preserve"> in our Consolidated Balance Sheet)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21</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Noncurrent (included in </w:t>
            </w:r>
            <w:r>
              <w:rPr>
                <w:rFonts w:ascii="Arial" w:cs="Arial" w:eastAsia="Arial" w:hAnsi="Arial"/>
                <w:sz w:val="18"/>
                <w:szCs w:val="18"/>
                <w:i w:val="1"/>
                <w:iCs w:val="1"/>
                <w:color w:val="auto"/>
              </w:rPr>
              <w:t>Regulatory liabilities, deferred income, and other</w:t>
            </w:r>
            <w:r>
              <w:rPr>
                <w:rFonts w:ascii="Arial" w:cs="Arial" w:eastAsia="Arial" w:hAnsi="Arial"/>
                <w:sz w:val="18"/>
                <w:szCs w:val="18"/>
                <w:color w:val="auto"/>
              </w:rPr>
              <w:t xml:space="preserve"> in our Consolidated Balance Sheet)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Weighted-average remaining lease term </w:t>
            </w:r>
            <w:r>
              <w:rPr>
                <w:rFonts w:ascii="Arial" w:cs="Arial" w:eastAsia="Arial" w:hAnsi="Arial"/>
                <w:sz w:val="17"/>
                <w:szCs w:val="17"/>
                <w:i w:val="1"/>
                <w:iCs w:val="1"/>
                <w:color w:val="auto"/>
              </w:rPr>
              <w:t>–</w:t>
            </w:r>
            <w:r>
              <w:rPr>
                <w:rFonts w:ascii="Arial" w:cs="Arial" w:eastAsia="Arial" w:hAnsi="Arial"/>
                <w:sz w:val="18"/>
                <w:szCs w:val="18"/>
                <w:color w:val="auto"/>
              </w:rPr>
              <w:t xml:space="preserve"> operating leases (years)</w:t>
            </w:r>
          </w:p>
        </w:tc>
        <w:tc>
          <w:tcPr>
            <w:tcW w:w="140" w:type="dxa"/>
            <w:vAlign w:val="bottom"/>
          </w:tcPr>
          <w:p>
            <w:pPr>
              <w:spacing w:after="0"/>
              <w:rPr>
                <w:sz w:val="21"/>
                <w:szCs w:val="21"/>
                <w:color w:val="auto"/>
              </w:rPr>
            </w:pPr>
          </w:p>
        </w:tc>
        <w:tc>
          <w:tcPr>
            <w:tcW w:w="1340" w:type="dxa"/>
            <w:vAlign w:val="bottom"/>
          </w:tcPr>
          <w:p>
            <w:pPr>
              <w:jc w:val="center"/>
              <w:ind w:right="36"/>
              <w:spacing w:after="0"/>
              <w:rPr>
                <w:sz w:val="20"/>
                <w:szCs w:val="20"/>
                <w:color w:val="auto"/>
              </w:rPr>
            </w:pPr>
            <w:r>
              <w:rPr>
                <w:rFonts w:ascii="Arial" w:cs="Arial" w:eastAsia="Arial" w:hAnsi="Arial"/>
                <w:sz w:val="18"/>
                <w:szCs w:val="18"/>
                <w:color w:val="auto"/>
                <w:w w:val="89"/>
              </w:rPr>
              <w:t>13</w:t>
            </w:r>
          </w:p>
        </w:tc>
      </w:tr>
      <w:tr>
        <w:trPr>
          <w:trHeight w:val="27"/>
        </w:trPr>
        <w:tc>
          <w:tcPr>
            <w:tcW w:w="9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Weighted-average discount rate </w:t>
            </w:r>
            <w:r>
              <w:rPr>
                <w:rFonts w:ascii="Arial" w:cs="Arial" w:eastAsia="Arial" w:hAnsi="Arial"/>
                <w:sz w:val="17"/>
                <w:szCs w:val="17"/>
                <w:i w:val="1"/>
                <w:iCs w:val="1"/>
                <w:color w:val="auto"/>
              </w:rPr>
              <w:t>–</w:t>
            </w:r>
            <w:r>
              <w:rPr>
                <w:rFonts w:ascii="Arial" w:cs="Arial" w:eastAsia="Arial" w:hAnsi="Arial"/>
                <w:sz w:val="18"/>
                <w:szCs w:val="18"/>
                <w:color w:val="auto"/>
              </w:rPr>
              <w:t xml:space="preserve"> operating leases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right="36"/>
              <w:spacing w:after="0"/>
              <w:rPr>
                <w:sz w:val="20"/>
                <w:szCs w:val="20"/>
                <w:color w:val="auto"/>
              </w:rPr>
            </w:pPr>
            <w:r>
              <w:rPr>
                <w:rFonts w:ascii="Arial" w:cs="Arial" w:eastAsia="Arial" w:hAnsi="Arial"/>
                <w:sz w:val="18"/>
                <w:szCs w:val="18"/>
                <w:color w:val="auto"/>
                <w:w w:val="90"/>
              </w:rPr>
              <w:t>4.61%</w:t>
            </w:r>
          </w:p>
        </w:tc>
      </w:tr>
      <w:tr>
        <w:trPr>
          <w:trHeight w:val="27"/>
        </w:trPr>
        <w:tc>
          <w:tcPr>
            <w:tcW w:w="9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Prior to adopting ASU 2016-02, which was effective January 1, 2019 (see Note 1 – General, Description of Business, Basis of Presentation, and Summary of Significant Accounting Policies), total rent expense was $73 million in 2018 and $62 million in 2017 and primarily included in </w:t>
      </w:r>
      <w:r>
        <w:rPr>
          <w:rFonts w:ascii="Arial" w:cs="Arial" w:eastAsia="Arial" w:hAnsi="Arial"/>
          <w:sz w:val="18"/>
          <w:szCs w:val="18"/>
          <w:i w:val="1"/>
          <w:iCs w:val="1"/>
          <w:color w:val="auto"/>
        </w:rPr>
        <w:t>Operating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maintenance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 </w:t>
      </w:r>
      <w:r>
        <w:rPr>
          <w:rFonts w:ascii="Arial" w:cs="Arial" w:eastAsia="Arial" w:hAnsi="Arial"/>
          <w:sz w:val="18"/>
          <w:szCs w:val="18"/>
          <w:color w:val="auto"/>
        </w:rPr>
        <w:t>in the Consolidated Statement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93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2019, the following table represents our operating lease maturities, including renewal provisions that we have assessed as being reasonably certain of exercise, for each of the years ended December 31: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(Millions)</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33</w:t>
            </w:r>
          </w:p>
        </w:tc>
      </w:tr>
      <w:tr>
        <w:trPr>
          <w:trHeight w:val="27"/>
        </w:trPr>
        <w:tc>
          <w:tcPr>
            <w:tcW w:w="9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9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9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future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
        </w:trPr>
        <w:tc>
          <w:tcPr>
            <w:tcW w:w="96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obligations under operating leases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r>
      <w:tr>
        <w:trPr>
          <w:trHeight w:val="20"/>
        </w:trPr>
        <w:tc>
          <w:tcPr>
            <w:tcW w:w="9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900" w:firstLine="324"/>
        <w:spacing w:after="0" w:line="438" w:lineRule="auto"/>
        <w:rPr>
          <w:sz w:val="20"/>
          <w:szCs w:val="20"/>
          <w:color w:val="auto"/>
        </w:rPr>
      </w:pPr>
      <w:r>
        <w:rPr>
          <w:rFonts w:ascii="Arial" w:cs="Arial" w:eastAsia="Arial" w:hAnsi="Arial"/>
          <w:sz w:val="18"/>
          <w:szCs w:val="18"/>
          <w:color w:val="auto"/>
        </w:rPr>
        <w:t xml:space="preserve">We are the lessor to certain lease agreements for office space in our headquarters building, which are insignificant to our financial statements. </w:t>
      </w:r>
      <w:r>
        <w:rPr>
          <w:rFonts w:ascii="Arial" w:cs="Arial" w:eastAsia="Arial" w:hAnsi="Arial"/>
          <w:sz w:val="18"/>
          <w:szCs w:val="18"/>
          <w:b w:val="1"/>
          <w:bCs w:val="1"/>
          <w:color w:val="auto"/>
        </w:rPr>
        <w:t>Note 12 – Property, Plant, and Equipment</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following table presents nonregulated and regulated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as presented on the Consolidated Balance Sheet for the years ended: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60" w:type="dxa"/>
            <w:vAlign w:val="bottom"/>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20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Depreciation</w:t>
            </w: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172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99"/>
              </w:rPr>
              <w:t>Useful Life (1)</w:t>
            </w:r>
          </w:p>
        </w:tc>
        <w:tc>
          <w:tcPr>
            <w:tcW w:w="1700" w:type="dxa"/>
            <w:vAlign w:val="bottom"/>
            <w:gridSpan w:val="2"/>
            <w:vMerge w:val="restart"/>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Rates (1)</w:t>
            </w: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516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(Millions)</w:t>
            </w: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Nonregulated:</w:t>
            </w: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40"/>
              <w:spacing w:after="0"/>
              <w:rPr>
                <w:sz w:val="20"/>
                <w:szCs w:val="20"/>
                <w:color w:val="auto"/>
              </w:rPr>
            </w:pPr>
            <w:r>
              <w:rPr>
                <w:rFonts w:ascii="Arial" w:cs="Arial" w:eastAsia="Arial" w:hAnsi="Arial"/>
                <w:sz w:val="18"/>
                <w:szCs w:val="18"/>
                <w:color w:val="auto"/>
              </w:rPr>
              <w:t>Natural gas gathering and processing facilities</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5 - 40</w:t>
            </w:r>
          </w:p>
        </w:tc>
        <w:tc>
          <w:tcPr>
            <w:tcW w:w="120" w:type="dxa"/>
            <w:vAlign w:val="bottom"/>
          </w:tcPr>
          <w:p>
            <w:pPr>
              <w:spacing w:after="0"/>
              <w:rPr>
                <w:sz w:val="21"/>
                <w:szCs w:val="21"/>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17,593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Not applicable</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43"/>
        </w:trPr>
        <w:tc>
          <w:tcPr>
            <w:tcW w:w="5160" w:type="dxa"/>
            <w:vAlign w:val="bottom"/>
          </w:tcPr>
          <w:p>
            <w:pPr>
              <w:ind w:left="540"/>
              <w:spacing w:after="0"/>
              <w:rPr>
                <w:sz w:val="20"/>
                <w:szCs w:val="20"/>
                <w:color w:val="auto"/>
              </w:rPr>
            </w:pPr>
            <w:r>
              <w:rPr>
                <w:rFonts w:ascii="Arial" w:cs="Arial" w:eastAsia="Arial" w:hAnsi="Arial"/>
                <w:sz w:val="18"/>
                <w:szCs w:val="18"/>
                <w:color w:val="auto"/>
              </w:rPr>
              <w:t>Other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2 - 45</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40"/>
              <w:spacing w:after="0"/>
              <w:rPr>
                <w:sz w:val="20"/>
                <w:szCs w:val="20"/>
                <w:color w:val="auto"/>
              </w:rPr>
            </w:pPr>
            <w:r>
              <w:rPr>
                <w:rFonts w:ascii="Arial" w:cs="Arial" w:eastAsia="Arial" w:hAnsi="Arial"/>
                <w:sz w:val="18"/>
                <w:szCs w:val="18"/>
                <w:color w:val="auto"/>
              </w:rPr>
              <w:t>Natural gas transmission facilities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1.25 - 7.13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17,312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Not applicable</w:t>
            </w:r>
          </w:p>
        </w:tc>
        <w:tc>
          <w:tcPr>
            <w:tcW w:w="2040" w:type="dxa"/>
            <w:vAlign w:val="bottom"/>
            <w:tcBorders>
              <w:bottom w:val="single" w:sz="8" w:color="CCEEFF"/>
            </w:tcBorders>
            <w:gridSpan w:val="3"/>
            <w:shd w:val="clear" w:color="auto" w:fill="CCEEFF"/>
          </w:tcPr>
          <w:p>
            <w:pPr>
              <w:jc w:val="center"/>
              <w:ind w:right="440"/>
              <w:spacing w:after="0"/>
              <w:rPr>
                <w:sz w:val="20"/>
                <w:szCs w:val="20"/>
                <w:color w:val="auto"/>
              </w:rPr>
            </w:pPr>
            <w:r>
              <w:rPr>
                <w:rFonts w:ascii="Arial" w:cs="Arial" w:eastAsia="Arial" w:hAnsi="Arial"/>
                <w:sz w:val="18"/>
                <w:szCs w:val="18"/>
                <w:color w:val="auto"/>
                <w:w w:val="91"/>
              </w:rPr>
              <w:t>Not applicable</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5160" w:type="dxa"/>
            <w:vAlign w:val="bottom"/>
          </w:tcPr>
          <w:p>
            <w:pPr>
              <w:ind w:left="540"/>
              <w:spacing w:after="0"/>
              <w:rPr>
                <w:sz w:val="20"/>
                <w:szCs w:val="20"/>
                <w:color w:val="auto"/>
              </w:rPr>
            </w:pPr>
            <w:r>
              <w:rPr>
                <w:rFonts w:ascii="Arial" w:cs="Arial" w:eastAsia="Arial" w:hAnsi="Arial"/>
                <w:sz w:val="18"/>
                <w:szCs w:val="18"/>
                <w:color w:val="auto"/>
              </w:rPr>
              <w:t>Other</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5 - 45</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0.00 - 33.33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at cost</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29,200</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27,504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1"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Estimated useful life and depreciation rates are presented as of December 31, 2019. Depreciation rates and estimated useful lives for regulated assets are prescribed by the FERC.</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Depreciation and amortization expense for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was $1.390 billion, $1.392 billion, and $1.389 billion in 2019, 2018, and 2017, respectively.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Regulated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includes approximately $547 million and $586 million at December 31, 2019 and 2018, respectively, related to amounts in excess of the original cost of the regulated facilities within our gas pipeline businesses as a result of our prior acquisitions. This amount is being amortized over 40 years using the straight-line amortization method. Current FERC policy does not permit recovery through rates for amounts in excess of original cost of construction.</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420"/>
          </w:cols>
          <w:pgMar w:left="240" w:top="931" w:right="23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accrued obligations relate to underground storage caverns, offshore platforms and pipelines, fractionation and compression facilities, gas gathering well connections and pipelines, and gas transmission pipelines and facilities. At the end of the useful life of each respective asset, we are legally obligated to plug storage caverns and remove any related surface equipment, to restore land and remove surface equipment at gas processing, fractionation, and compression facilities, to dismantle offshore platforms and appropriately abandon offshore pipelines, to cap certain gathering pipelines at the wellhead connection and remove any related surface equipment, and to remove certain components of gas transmission facilities from the ground.</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following table presents the significant changes to our ARO, of which $1.117 billion and $968 million are included in </w:t>
      </w:r>
      <w:r>
        <w:rPr>
          <w:rFonts w:ascii="Arial" w:cs="Arial" w:eastAsia="Arial" w:hAnsi="Arial"/>
          <w:sz w:val="18"/>
          <w:szCs w:val="18"/>
          <w:i w:val="1"/>
          <w:iCs w:val="1"/>
          <w:color w:val="auto"/>
        </w:rPr>
        <w:t>Regulatory liabilities, 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and other </w:t>
      </w:r>
      <w:r>
        <w:rPr>
          <w:rFonts w:ascii="Arial" w:cs="Arial" w:eastAsia="Arial" w:hAnsi="Arial"/>
          <w:sz w:val="18"/>
          <w:szCs w:val="18"/>
          <w:color w:val="auto"/>
        </w:rPr>
        <w:t>with the remaining current portion in</w:t>
      </w:r>
      <w:r>
        <w:rPr>
          <w:rFonts w:ascii="Arial" w:cs="Arial" w:eastAsia="Arial" w:hAnsi="Arial"/>
          <w:sz w:val="18"/>
          <w:szCs w:val="18"/>
          <w:i w:val="1"/>
          <w:iCs w:val="1"/>
          <w:color w:val="auto"/>
        </w:rPr>
        <w:t xml:space="preserve"> Accrued liabilities </w:t>
      </w:r>
      <w:r>
        <w:rPr>
          <w:rFonts w:ascii="Arial" w:cs="Arial" w:eastAsia="Arial" w:hAnsi="Arial"/>
          <w:sz w:val="18"/>
          <w:szCs w:val="18"/>
          <w:color w:val="auto"/>
        </w:rPr>
        <w:t>at December 31, 2019 and 2018,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(Millions)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1,032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Liabilities incurred</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(1)</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7"/>
              </w:rPr>
              <w:t>1,165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Several factors are considered in the annual review process, including inflation rates, current estimates for removal cost, market risk premiums, discount rates, and the estimated remaining useful life of the assets. The 2019 revisions reflect changes in removal cost estimates, decreases in the estimated remaining useful life of certain assets, increases in inflation rates, and decreases in the discount rates used in the annual review process. The 2018 revisions reflect changes in removal cost estimates, decreases in the estimated remaining useful life of certain assets, and increases in the discount rates used in the annual review process.</w:t>
      </w:r>
    </w:p>
    <w:p>
      <w:pPr>
        <w:spacing w:after="0" w:line="3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funds Transco collects through a portion of its rates to fund its ARO are deposited into an external trust account dedicated to funding its ARO (ARO Trust). (See Note 18 – Fair Value Measurements, Guarantees, and Concentration of Credit Risk.) Under its current rate settlement, Transco’s annual funding obligation is approximately $36 million, with installments to be deposited monthly.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Changes in the carrying amount of goodwill, included in </w:t>
      </w:r>
      <w:r>
        <w:rPr>
          <w:rFonts w:ascii="Arial" w:cs="Arial" w:eastAsia="Arial" w:hAnsi="Arial"/>
          <w:sz w:val="18"/>
          <w:szCs w:val="18"/>
          <w:i w:val="1"/>
          <w:iCs w:val="1"/>
          <w:color w:val="auto"/>
        </w:rPr>
        <w:t>Intangible assets – net of accumulated amortization</w:t>
      </w:r>
      <w:r>
        <w:rPr>
          <w:rFonts w:ascii="Arial" w:cs="Arial" w:eastAsia="Arial" w:hAnsi="Arial"/>
          <w:sz w:val="18"/>
          <w:szCs w:val="18"/>
          <w:color w:val="auto"/>
        </w:rPr>
        <w:t xml:space="preserve"> in the Consolidated Balance Sheet, by reportable segment for the periods indicated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Northeast G&amp;P</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West</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Total</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(Millions)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w:t>
            </w:r>
          </w:p>
        </w:tc>
      </w:tr>
      <w:tr>
        <w:trPr>
          <w:trHeight w:val="239"/>
        </w:trPr>
        <w:tc>
          <w:tcPr>
            <w:tcW w:w="6740" w:type="dxa"/>
            <w:vAlign w:val="bottom"/>
          </w:tcPr>
          <w:p>
            <w:pPr>
              <w:ind w:left="280"/>
              <w:spacing w:after="0"/>
              <w:rPr>
                <w:sz w:val="20"/>
                <w:szCs w:val="20"/>
                <w:color w:val="auto"/>
              </w:rPr>
            </w:pPr>
            <w:r>
              <w:rPr>
                <w:rFonts w:ascii="Arial" w:cs="Arial" w:eastAsia="Arial" w:hAnsi="Arial"/>
                <w:sz w:val="17"/>
                <w:szCs w:val="17"/>
                <w:color w:val="auto"/>
              </w:rPr>
              <w:t>Jackalope Deconsolidation (see Note 6)</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31"/>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December 31, 2018</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740" w:type="dxa"/>
            <w:vAlign w:val="bottom"/>
          </w:tcPr>
          <w:p>
            <w:pPr>
              <w:ind w:left="280"/>
              <w:spacing w:after="0"/>
              <w:rPr>
                <w:sz w:val="20"/>
                <w:szCs w:val="20"/>
                <w:color w:val="auto"/>
              </w:rPr>
            </w:pPr>
            <w:r>
              <w:rPr>
                <w:rFonts w:ascii="Arial" w:cs="Arial" w:eastAsia="Arial" w:hAnsi="Arial"/>
                <w:sz w:val="17"/>
                <w:szCs w:val="17"/>
                <w:color w:val="auto"/>
              </w:rPr>
              <w:t>UEOM Acquisition (see Note 3)</w:t>
            </w:r>
          </w:p>
        </w:tc>
        <w:tc>
          <w:tcPr>
            <w:tcW w:w="20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188</w:t>
            </w:r>
          </w:p>
        </w:tc>
      </w:tr>
      <w:tr>
        <w:trPr>
          <w:trHeight w:val="31"/>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December 31, 2019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931" w:right="2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goodwill is not subject to amortization, but is evaluated at least annually for impairment or more frequently if impairment indicators are present. We did not identify or recognize any impairments to goodwill in connection with our evaluation of goodwill for impairment during the years ended December 31, 2019, 2018, and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gross carrying amount and accumulated amortization of other intangible assets, included in </w:t>
      </w:r>
      <w:r>
        <w:rPr>
          <w:rFonts w:ascii="Arial" w:cs="Arial" w:eastAsia="Arial" w:hAnsi="Arial"/>
          <w:sz w:val="18"/>
          <w:szCs w:val="18"/>
          <w:i w:val="1"/>
          <w:iCs w:val="1"/>
          <w:color w:val="auto"/>
        </w:rPr>
        <w:t>Intangible assets – net of accumulated amortization</w:t>
      </w:r>
      <w:r>
        <w:rPr>
          <w:rFonts w:ascii="Arial" w:cs="Arial" w:eastAsia="Arial" w:hAnsi="Arial"/>
          <w:sz w:val="18"/>
          <w:szCs w:val="18"/>
          <w:color w:val="auto"/>
        </w:rPr>
        <w:t xml:space="preserve"> in the Consolidated Balance Sheet, at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2018</w:t>
            </w:r>
          </w:p>
        </w:tc>
        <w:tc>
          <w:tcPr>
            <w:tcW w:w="1080" w:type="dxa"/>
            <w:vAlign w:val="bottom"/>
            <w:tcBorders>
              <w:bottom w:val="single" w:sz="8" w:color="auto"/>
            </w:tcBorders>
          </w:tcPr>
          <w:p>
            <w:pPr>
              <w:spacing w:after="0"/>
              <w:rPr>
                <w:sz w:val="16"/>
                <w:szCs w:val="16"/>
                <w:color w:val="auto"/>
              </w:rPr>
            </w:pP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80" w:type="dxa"/>
            <w:vAlign w:val="bottom"/>
          </w:tcPr>
          <w:p>
            <w:pPr>
              <w:spacing w:after="0"/>
              <w:rPr>
                <w:sz w:val="13"/>
                <w:szCs w:val="13"/>
                <w:color w:val="auto"/>
              </w:rPr>
            </w:pPr>
          </w:p>
        </w:tc>
        <w:tc>
          <w:tcPr>
            <w:tcW w:w="10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250"/>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60" w:type="dxa"/>
            <w:vAlign w:val="bottom"/>
            <w:gridSpan w:val="4"/>
          </w:tcPr>
          <w:p>
            <w:pPr>
              <w:ind w:left="860"/>
              <w:spacing w:after="0"/>
              <w:rPr>
                <w:sz w:val="20"/>
                <w:szCs w:val="20"/>
                <w:color w:val="auto"/>
              </w:rPr>
            </w:pPr>
            <w:r>
              <w:rPr>
                <w:rFonts w:ascii="Arial" w:cs="Arial" w:eastAsia="Arial" w:hAnsi="Arial"/>
                <w:sz w:val="14"/>
                <w:szCs w:val="14"/>
                <w:b w:val="1"/>
                <w:bCs w:val="1"/>
                <w:color w:val="auto"/>
              </w:rPr>
              <w:t>(Millions)</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Other intangible assets primarily relate to gas gathering, processing, and fractionation contractual customer relationships recognized in acquisitions. The increase in the gross carrying amount of other intangible assets during 2019 is primarily related to the acquisition of UEOM (see Note 3 – Acquisitions and Divestitures). Other intangible assets are being amortized on a straight-line basis over a period of 20 years for the acquisition of UEOM and 30 years for other acquisitions, which represents a portion of the term over which the contractual customer relationships are expected to contribute to our cash flows.</w:t>
      </w:r>
    </w:p>
    <w:p>
      <w:pPr>
        <w:spacing w:after="0" w:line="1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expense costs incurred to renew or extend the terms of our gas gathering, processing, and fractionation contracts with customers. Based on the estimated future revenues during the contract periods (as estimated at the time of the acquisition), the weighted-average period prior to the next renewal or extension of the contractual customer relationships associated with the UEOM acquisition was approximately 10 years. Although a significant portion of the expected future cash flows associated with these contractual customer relationships are dependent on our ability to renew or extend the arrangements beyond the initial contract periods, these expected future cash flows are significantly influenced by the scope and pace of our producer customers’ drilling programs. Once producer customers’ wells are connected to our gathering infrastructure, their likelihood of switching to another provider before the wells are abandoned is reduced due to the significant capital investment required.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amortization expense related to other intangible assets was $324 million, $333 million, and $347 million in 2019, 2018, and 2017, respectively. The estimated amortization expense for each of the next five succeeding fiscal years is approximately $328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Accrued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(Millions)</w:t>
            </w:r>
          </w:p>
        </w:tc>
        <w:tc>
          <w:tcPr>
            <w:tcW w:w="100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debt</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Employee costs</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rate refund liabilities (Note 19)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Contract liabilities (Note 2)</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(Note 12)</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liabilities (Note 11)</w:t>
            </w:r>
          </w:p>
        </w:tc>
        <w:tc>
          <w:tcPr>
            <w:tcW w:w="9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other loss contingencies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37"/>
        </w:trPr>
        <w:tc>
          <w:tcPr>
            <w:tcW w:w="8340" w:type="dxa"/>
            <w:vAlign w:val="bottom"/>
          </w:tcPr>
          <w:p>
            <w:pPr>
              <w:spacing w:after="0"/>
              <w:rPr>
                <w:sz w:val="20"/>
                <w:szCs w:val="20"/>
                <w:color w:val="auto"/>
              </w:rPr>
            </w:pP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7"/>
              </w:rPr>
              <w:t>1,276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1,102</w:t>
            </w:r>
          </w:p>
        </w:tc>
      </w:tr>
      <w:tr>
        <w:trPr>
          <w:trHeight w:val="27"/>
        </w:trPr>
        <w:tc>
          <w:tcPr>
            <w:tcW w:w="83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932" w:right="2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 and Banking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r>
      <w:tr>
        <w:trPr>
          <w:trHeight w:val="237"/>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(Millions)</w:t>
            </w:r>
          </w:p>
        </w:tc>
        <w:tc>
          <w:tcPr>
            <w:tcW w:w="1160" w:type="dxa"/>
            <w:vAlign w:val="bottom"/>
          </w:tcPr>
          <w:p>
            <w:pPr>
              <w:spacing w:after="0"/>
              <w:rPr>
                <w:sz w:val="20"/>
                <w:szCs w:val="20"/>
                <w:color w:val="auto"/>
              </w:rPr>
            </w:pPr>
          </w:p>
        </w:tc>
      </w:tr>
      <w:tr>
        <w:trPr>
          <w:trHeight w:val="256"/>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Transco:</w:t>
            </w:r>
          </w:p>
        </w:tc>
        <w:tc>
          <w:tcPr>
            <w:tcW w:w="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7.08%</w:t>
            </w:r>
          </w:p>
        </w:tc>
        <w:tc>
          <w:tcPr>
            <w:tcW w:w="6400" w:type="dxa"/>
            <w:vAlign w:val="bottom"/>
          </w:tcPr>
          <w:p>
            <w:pPr>
              <w:ind w:left="20"/>
              <w:spacing w:after="0"/>
              <w:rPr>
                <w:sz w:val="20"/>
                <w:szCs w:val="20"/>
                <w:color w:val="auto"/>
              </w:rPr>
            </w:pPr>
            <w:r>
              <w:rPr>
                <w:rFonts w:ascii="Arial" w:cs="Arial" w:eastAsia="Arial" w:hAnsi="Arial"/>
                <w:sz w:val="17"/>
                <w:szCs w:val="17"/>
                <w:color w:val="auto"/>
              </w:rPr>
              <w:t>Debentures due 2026</w:t>
            </w:r>
          </w:p>
        </w:tc>
        <w:tc>
          <w:tcPr>
            <w:tcW w:w="1060" w:type="dxa"/>
            <w:vAlign w:val="bottom"/>
          </w:tcPr>
          <w:p>
            <w:pPr>
              <w:jc w:val="right"/>
              <w:ind w:right="879"/>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7.25%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Debentures due 2026</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w:t>
            </w: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7.85%</w:t>
            </w:r>
          </w:p>
        </w:tc>
        <w:tc>
          <w:tcPr>
            <w:tcW w:w="6400" w:type="dxa"/>
            <w:vAlign w:val="bottom"/>
          </w:tcPr>
          <w:p>
            <w:pPr>
              <w:ind w:left="20"/>
              <w:spacing w:after="0"/>
              <w:rPr>
                <w:sz w:val="20"/>
                <w:szCs w:val="20"/>
                <w:color w:val="auto"/>
              </w:rPr>
            </w:pPr>
            <w:r>
              <w:rPr>
                <w:rFonts w:ascii="Arial" w:cs="Arial" w:eastAsia="Arial" w:hAnsi="Arial"/>
                <w:sz w:val="17"/>
                <w:szCs w:val="17"/>
                <w:color w:val="auto"/>
              </w:rPr>
              <w:t>Notes due 2026</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1,000</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4% Notes due 2028</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5.4%</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2041</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375</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4.45%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2042</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4.6%</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2048</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600</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Other financing obligation - Atlantic Sunrise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807</w:t>
            </w:r>
          </w:p>
        </w:tc>
      </w:tr>
      <w:tr>
        <w:trPr>
          <w:trHeight w:val="239"/>
        </w:trPr>
        <w:tc>
          <w:tcPr>
            <w:tcW w:w="7900" w:type="dxa"/>
            <w:vAlign w:val="bottom"/>
            <w:gridSpan w:val="3"/>
          </w:tcPr>
          <w:p>
            <w:pPr>
              <w:ind w:left="1040"/>
              <w:spacing w:after="0"/>
              <w:rPr>
                <w:sz w:val="20"/>
                <w:szCs w:val="20"/>
                <w:color w:val="auto"/>
              </w:rPr>
            </w:pPr>
            <w:r>
              <w:rPr>
                <w:rFonts w:ascii="Arial" w:cs="Arial" w:eastAsia="Arial" w:hAnsi="Arial"/>
                <w:sz w:val="17"/>
                <w:szCs w:val="17"/>
                <w:color w:val="auto"/>
              </w:rPr>
              <w:t>Other financing obligation - Dalton</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260</w:t>
            </w:r>
          </w:p>
        </w:tc>
      </w:tr>
      <w:tr>
        <w:trPr>
          <w:trHeight w:val="31"/>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2"/>
              </w:rPr>
              <w:t>Northwest Pipeline:</w:t>
            </w:r>
          </w:p>
        </w:tc>
        <w:tc>
          <w:tcPr>
            <w:tcW w:w="80" w:type="dxa"/>
            <w:vAlign w:val="bottom"/>
            <w:tcBorders>
              <w:bottom w:val="single" w:sz="8" w:color="CCEEFF"/>
            </w:tcBorders>
            <w:shd w:val="clear" w:color="auto" w:fill="CCEEFF"/>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9"/>
        </w:trPr>
        <w:tc>
          <w:tcPr>
            <w:tcW w:w="7900" w:type="dxa"/>
            <w:vAlign w:val="bottom"/>
            <w:gridSpan w:val="3"/>
          </w:tcPr>
          <w:p>
            <w:pPr>
              <w:ind w:left="1040"/>
              <w:spacing w:after="0"/>
              <w:rPr>
                <w:sz w:val="20"/>
                <w:szCs w:val="20"/>
                <w:color w:val="auto"/>
              </w:rPr>
            </w:pPr>
            <w:r>
              <w:rPr>
                <w:rFonts w:ascii="Arial" w:cs="Arial" w:eastAsia="Arial" w:hAnsi="Arial"/>
                <w:sz w:val="17"/>
                <w:szCs w:val="17"/>
                <w:color w:val="auto"/>
              </w:rPr>
              <w:t>7.125% Debentures due 2025</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85</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4% Notes due 2027</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39"/>
        </w:trPr>
        <w:tc>
          <w:tcPr>
            <w:tcW w:w="1420" w:type="dxa"/>
            <w:vAlign w:val="bottom"/>
          </w:tcPr>
          <w:p>
            <w:pPr>
              <w:ind w:left="40"/>
              <w:spacing w:after="0"/>
              <w:rPr>
                <w:sz w:val="20"/>
                <w:szCs w:val="20"/>
                <w:color w:val="auto"/>
              </w:rPr>
            </w:pPr>
            <w:r>
              <w:rPr>
                <w:rFonts w:ascii="Arial" w:cs="Arial" w:eastAsia="Arial" w:hAnsi="Arial"/>
                <w:sz w:val="17"/>
                <w:szCs w:val="17"/>
                <w:color w:val="auto"/>
              </w:rPr>
              <w:t>WMB:</w:t>
            </w:r>
          </w:p>
        </w:tc>
        <w:tc>
          <w:tcPr>
            <w:tcW w:w="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4.125% Notes due 2020</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600</w:t>
            </w: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5.25%</w:t>
            </w:r>
          </w:p>
        </w:tc>
        <w:tc>
          <w:tcPr>
            <w:tcW w:w="6400" w:type="dxa"/>
            <w:vAlign w:val="bottom"/>
          </w:tcPr>
          <w:p>
            <w:pPr>
              <w:ind w:left="20"/>
              <w:spacing w:after="0"/>
              <w:rPr>
                <w:sz w:val="20"/>
                <w:szCs w:val="20"/>
                <w:color w:val="auto"/>
              </w:rPr>
            </w:pPr>
            <w:r>
              <w:rPr>
                <w:rFonts w:ascii="Arial" w:cs="Arial" w:eastAsia="Arial" w:hAnsi="Arial"/>
                <w:sz w:val="17"/>
                <w:szCs w:val="17"/>
                <w:color w:val="auto"/>
              </w:rPr>
              <w:t>Notes due 2020</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1,500</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4% Notes due 2021</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39"/>
        </w:trPr>
        <w:tc>
          <w:tcPr>
            <w:tcW w:w="7900" w:type="dxa"/>
            <w:vAlign w:val="bottom"/>
            <w:gridSpan w:val="3"/>
          </w:tcPr>
          <w:p>
            <w:pPr>
              <w:ind w:left="1040"/>
              <w:spacing w:after="0"/>
              <w:rPr>
                <w:sz w:val="20"/>
                <w:szCs w:val="20"/>
                <w:color w:val="auto"/>
              </w:rPr>
            </w:pPr>
            <w:r>
              <w:rPr>
                <w:rFonts w:ascii="Arial" w:cs="Arial" w:eastAsia="Arial" w:hAnsi="Arial"/>
                <w:sz w:val="17"/>
                <w:szCs w:val="17"/>
                <w:color w:val="auto"/>
              </w:rPr>
              <w:t>7.875% Notes due 2021</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371</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3.35%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2022</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3.6%</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2022</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1,250</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3.7%</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2023</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4.5%</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2023</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600</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4.3%</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2024</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w:t>
            </w: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4.55%</w:t>
            </w:r>
          </w:p>
        </w:tc>
        <w:tc>
          <w:tcPr>
            <w:tcW w:w="6400" w:type="dxa"/>
            <w:vAlign w:val="bottom"/>
          </w:tcPr>
          <w:p>
            <w:pPr>
              <w:ind w:left="20"/>
              <w:spacing w:after="0"/>
              <w:rPr>
                <w:sz w:val="20"/>
                <w:szCs w:val="20"/>
                <w:color w:val="auto"/>
              </w:rPr>
            </w:pPr>
            <w:r>
              <w:rPr>
                <w:rFonts w:ascii="Arial" w:cs="Arial" w:eastAsia="Arial" w:hAnsi="Arial"/>
                <w:sz w:val="17"/>
                <w:szCs w:val="17"/>
                <w:color w:val="auto"/>
              </w:rPr>
              <w:t>Notes due 2024</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1,250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1,250</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3.9%</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2025</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w:t>
            </w:r>
          </w:p>
        </w:tc>
      </w:tr>
      <w:tr>
        <w:trPr>
          <w:trHeight w:val="239"/>
        </w:trPr>
        <w:tc>
          <w:tcPr>
            <w:tcW w:w="7900" w:type="dxa"/>
            <w:vAlign w:val="bottom"/>
            <w:gridSpan w:val="3"/>
          </w:tcPr>
          <w:p>
            <w:pPr>
              <w:ind w:left="1040"/>
              <w:spacing w:after="0"/>
              <w:rPr>
                <w:sz w:val="20"/>
                <w:szCs w:val="20"/>
                <w:color w:val="auto"/>
              </w:rPr>
            </w:pPr>
            <w:r>
              <w:rPr>
                <w:rFonts w:ascii="Arial" w:cs="Arial" w:eastAsia="Arial" w:hAnsi="Arial"/>
                <w:sz w:val="17"/>
                <w:szCs w:val="17"/>
                <w:color w:val="auto"/>
              </w:rPr>
              <w:t>4% Notes due 2025</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750</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3.75%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2027</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7.5%</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Debentures due 2031</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339</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7.75%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2031</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252</w:t>
            </w: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8.75%</w:t>
            </w:r>
          </w:p>
        </w:tc>
        <w:tc>
          <w:tcPr>
            <w:tcW w:w="6400" w:type="dxa"/>
            <w:vAlign w:val="bottom"/>
          </w:tcPr>
          <w:p>
            <w:pPr>
              <w:ind w:left="20"/>
              <w:spacing w:after="0"/>
              <w:rPr>
                <w:sz w:val="20"/>
                <w:szCs w:val="20"/>
                <w:color w:val="auto"/>
              </w:rPr>
            </w:pPr>
            <w:r>
              <w:rPr>
                <w:rFonts w:ascii="Arial" w:cs="Arial" w:eastAsia="Arial" w:hAnsi="Arial"/>
                <w:sz w:val="17"/>
                <w:szCs w:val="17"/>
                <w:color w:val="auto"/>
              </w:rPr>
              <w:t>Notes due 2032</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445</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6.3%</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2040</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1,250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5.8%</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2043</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400</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5.4%</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2044</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39"/>
        </w:trPr>
        <w:tc>
          <w:tcPr>
            <w:tcW w:w="1500" w:type="dxa"/>
            <w:vAlign w:val="bottom"/>
            <w:gridSpan w:val="2"/>
          </w:tcPr>
          <w:p>
            <w:pPr>
              <w:ind w:left="1040"/>
              <w:spacing w:after="0"/>
              <w:rPr>
                <w:sz w:val="20"/>
                <w:szCs w:val="20"/>
                <w:color w:val="auto"/>
              </w:rPr>
            </w:pPr>
            <w:r>
              <w:rPr>
                <w:rFonts w:ascii="Arial" w:cs="Arial" w:eastAsia="Arial" w:hAnsi="Arial"/>
                <w:sz w:val="17"/>
                <w:szCs w:val="17"/>
                <w:color w:val="auto"/>
                <w:w w:val="91"/>
              </w:rPr>
              <w:t>5.75%</w:t>
            </w:r>
          </w:p>
        </w:tc>
        <w:tc>
          <w:tcPr>
            <w:tcW w:w="6400" w:type="dxa"/>
            <w:vAlign w:val="bottom"/>
          </w:tcPr>
          <w:p>
            <w:pPr>
              <w:ind w:left="20"/>
              <w:spacing w:after="0"/>
              <w:rPr>
                <w:sz w:val="20"/>
                <w:szCs w:val="20"/>
                <w:color w:val="auto"/>
              </w:rPr>
            </w:pPr>
            <w:r>
              <w:rPr>
                <w:rFonts w:ascii="Arial" w:cs="Arial" w:eastAsia="Arial" w:hAnsi="Arial"/>
                <w:sz w:val="17"/>
                <w:szCs w:val="17"/>
                <w:color w:val="auto"/>
              </w:rPr>
              <w:t>Notes due 2044</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650</w:t>
            </w:r>
          </w:p>
        </w:tc>
      </w:tr>
      <w:tr>
        <w:trPr>
          <w:trHeight w:val="31"/>
        </w:trPr>
        <w:tc>
          <w:tcPr>
            <w:tcW w:w="1420" w:type="dxa"/>
            <w:vAlign w:val="bottom"/>
          </w:tcPr>
          <w:p>
            <w:pPr>
              <w:spacing w:after="0"/>
              <w:rPr>
                <w:sz w:val="2"/>
                <w:szCs w:val="2"/>
                <w:color w:val="auto"/>
              </w:rPr>
            </w:pPr>
          </w:p>
        </w:tc>
        <w:tc>
          <w:tcPr>
            <w:tcW w:w="64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4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92"/>
              </w:rPr>
              <w:t>4.9%</w:t>
            </w:r>
          </w:p>
        </w:tc>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Notes due 2045</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w:t>
            </w:r>
          </w:p>
        </w:tc>
      </w:tr>
      <w:tr>
        <w:trPr>
          <w:trHeight w:val="239"/>
        </w:trPr>
        <w:tc>
          <w:tcPr>
            <w:tcW w:w="1420" w:type="dxa"/>
            <w:vAlign w:val="bottom"/>
          </w:tcPr>
          <w:p>
            <w:pPr>
              <w:ind w:left="1040"/>
              <w:spacing w:after="0"/>
              <w:rPr>
                <w:sz w:val="20"/>
                <w:szCs w:val="20"/>
                <w:color w:val="auto"/>
              </w:rPr>
            </w:pPr>
            <w:r>
              <w:rPr>
                <w:rFonts w:ascii="Arial" w:cs="Arial" w:eastAsia="Arial" w:hAnsi="Arial"/>
                <w:sz w:val="17"/>
                <w:szCs w:val="17"/>
                <w:color w:val="auto"/>
                <w:w w:val="92"/>
              </w:rPr>
              <w:t>5.1%</w:t>
            </w:r>
          </w:p>
        </w:tc>
        <w:tc>
          <w:tcPr>
            <w:tcW w:w="6480" w:type="dxa"/>
            <w:vAlign w:val="bottom"/>
            <w:gridSpan w:val="2"/>
          </w:tcPr>
          <w:p>
            <w:pPr>
              <w:ind w:left="20"/>
              <w:spacing w:after="0"/>
              <w:rPr>
                <w:sz w:val="20"/>
                <w:szCs w:val="20"/>
                <w:color w:val="auto"/>
              </w:rPr>
            </w:pPr>
            <w:r>
              <w:rPr>
                <w:rFonts w:ascii="Arial" w:cs="Arial" w:eastAsia="Arial" w:hAnsi="Arial"/>
                <w:sz w:val="17"/>
                <w:szCs w:val="17"/>
                <w:color w:val="auto"/>
              </w:rPr>
              <w:t>Notes due 2045</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1,000</w:t>
            </w:r>
          </w:p>
        </w:tc>
      </w:tr>
      <w:tr>
        <w:trPr>
          <w:trHeight w:val="31"/>
        </w:trPr>
        <w:tc>
          <w:tcPr>
            <w:tcW w:w="1500" w:type="dxa"/>
            <w:vAlign w:val="bottom"/>
            <w:gridSpan w:val="2"/>
          </w:tcPr>
          <w:p>
            <w:pPr>
              <w:spacing w:after="0"/>
              <w:rPr>
                <w:sz w:val="2"/>
                <w:szCs w:val="2"/>
                <w:color w:val="auto"/>
              </w:rPr>
            </w:pPr>
          </w:p>
        </w:tc>
        <w:tc>
          <w:tcPr>
            <w:tcW w:w="6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50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7"/>
                <w:szCs w:val="17"/>
                <w:color w:val="auto"/>
                <w:w w:val="91"/>
              </w:rPr>
              <w:t>4.85%</w:t>
            </w: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Notes due 2048</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800</w:t>
            </w:r>
          </w:p>
        </w:tc>
      </w:tr>
      <w:tr>
        <w:trPr>
          <w:trHeight w:val="239"/>
        </w:trPr>
        <w:tc>
          <w:tcPr>
            <w:tcW w:w="7900" w:type="dxa"/>
            <w:vAlign w:val="bottom"/>
            <w:gridSpan w:val="3"/>
          </w:tcPr>
          <w:p>
            <w:pPr>
              <w:ind w:left="1040"/>
              <w:spacing w:after="0"/>
              <w:rPr>
                <w:sz w:val="20"/>
                <w:szCs w:val="20"/>
                <w:color w:val="auto"/>
              </w:rPr>
            </w:pPr>
            <w:r>
              <w:rPr>
                <w:rFonts w:ascii="Arial" w:cs="Arial" w:eastAsia="Arial" w:hAnsi="Arial"/>
                <w:sz w:val="17"/>
                <w:szCs w:val="17"/>
                <w:color w:val="auto"/>
              </w:rPr>
              <w:t>Various — 7.625% to 10.25% Notes and Debentures due 2019 to 2027</w:t>
            </w:r>
          </w:p>
        </w:tc>
        <w:tc>
          <w:tcPr>
            <w:tcW w:w="1060" w:type="dxa"/>
            <w:vAlign w:val="bottom"/>
          </w:tcPr>
          <w:p>
            <w:pPr>
              <w:spacing w:after="0"/>
              <w:rPr>
                <w:sz w:val="20"/>
                <w:szCs w:val="20"/>
                <w:color w:val="auto"/>
              </w:rPr>
            </w:pPr>
          </w:p>
        </w:tc>
        <w:tc>
          <w:tcPr>
            <w:tcW w:w="66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7"/>
                <w:szCs w:val="17"/>
                <w:color w:val="auto"/>
              </w:rPr>
              <w:t>Credit facility loans</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r>
      <w:tr>
        <w:trPr>
          <w:trHeight w:val="239"/>
        </w:trPr>
        <w:tc>
          <w:tcPr>
            <w:tcW w:w="1420" w:type="dxa"/>
            <w:vAlign w:val="bottom"/>
          </w:tcPr>
          <w:p>
            <w:pPr>
              <w:ind w:left="40"/>
              <w:spacing w:after="0"/>
              <w:rPr>
                <w:sz w:val="20"/>
                <w:szCs w:val="20"/>
                <w:color w:val="auto"/>
              </w:rPr>
            </w:pPr>
            <w:r>
              <w:rPr>
                <w:rFonts w:ascii="Arial" w:cs="Arial" w:eastAsia="Arial" w:hAnsi="Arial"/>
                <w:sz w:val="17"/>
                <w:szCs w:val="17"/>
                <w:color w:val="auto"/>
                <w:w w:val="89"/>
              </w:rPr>
              <w:t>Debt issuance costs</w:t>
            </w:r>
          </w:p>
        </w:tc>
        <w:tc>
          <w:tcPr>
            <w:tcW w:w="8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Net unamortized debt premium (discount)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9"/>
        </w:trPr>
        <w:tc>
          <w:tcPr>
            <w:tcW w:w="7900" w:type="dxa"/>
            <w:vAlign w:val="bottom"/>
            <w:gridSpan w:val="3"/>
          </w:tcPr>
          <w:p>
            <w:pPr>
              <w:ind w:left="40"/>
              <w:spacing w:after="0"/>
              <w:rPr>
                <w:sz w:val="20"/>
                <w:szCs w:val="20"/>
                <w:color w:val="auto"/>
              </w:rPr>
            </w:pPr>
            <w:r>
              <w:rPr>
                <w:rFonts w:ascii="Arial" w:cs="Arial" w:eastAsia="Arial" w:hAnsi="Arial"/>
                <w:sz w:val="17"/>
                <w:szCs w:val="17"/>
                <w:color w:val="auto"/>
              </w:rPr>
              <w:t>Total long-term debt, including current portion</w:t>
            </w: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99"/>
              </w:rPr>
              <w:t>22,288</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22,414</w:t>
            </w:r>
          </w:p>
        </w:tc>
      </w:tr>
      <w:tr>
        <w:trPr>
          <w:trHeight w:val="31"/>
        </w:trPr>
        <w:tc>
          <w:tcPr>
            <w:tcW w:w="790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Long-term debt due within one year</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44"/>
        </w:trPr>
        <w:tc>
          <w:tcPr>
            <w:tcW w:w="142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8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99"/>
              </w:rPr>
              <w:t>20,148</w:t>
            </w:r>
          </w:p>
        </w:tc>
        <w:tc>
          <w:tcPr>
            <w:tcW w:w="10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22,367</w:t>
            </w: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Certain of our debt agreements contain covenants that restrict or limit, among other things, our ability to create liens supporting indebtedness, sell assets, and incur additional debt. Default of these agreements could also restrict our ability to make certain distributions or repurchase equity.</w:t>
      </w:r>
    </w:p>
    <w:p>
      <w:pPr>
        <w:sectPr>
          <w:pgSz w:w="11900" w:h="16838" w:orient="portrait"/>
          <w:cols w:equalWidth="0" w:num="1">
            <w:col w:w="11420"/>
          </w:cols>
          <w:pgMar w:left="240" w:top="931" w:right="239" w:bottom="0" w:gutter="0" w:footer="0" w:header="0"/>
        </w:sectPr>
      </w:pPr>
    </w:p>
    <w:bookmarkStart w:id="128" w:name="page129"/>
    <w:bookmarkEnd w:id="128"/>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9019"/>
          </w:cols>
          <w:pgMar w:left="1440" w:top="341"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aggregate minimum maturities of long-term debt and other financing obligations, excluding net unamortized debt premium (discount) and debt issuance costs, for each of the next five years: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December 31, 2019</w:t>
            </w:r>
          </w:p>
        </w:tc>
      </w:tr>
      <w:tr>
        <w:trPr>
          <w:trHeight w:val="196"/>
        </w:trPr>
        <w:tc>
          <w:tcPr>
            <w:tcW w:w="9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ind w:right="475"/>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9720" w:type="dxa"/>
            <w:vAlign w:val="bottom"/>
            <w:tcBorders>
              <w:bottom w:val="single" w:sz="8" w:color="CCEEFF"/>
            </w:tcBorders>
            <w:shd w:val="clear" w:color="auto" w:fill="CCEEFF"/>
          </w:tcPr>
          <w:p>
            <w:pPr>
              <w:jc w:val="right"/>
              <w:ind w:right="9230"/>
              <w:spacing w:after="0"/>
              <w:rPr>
                <w:sz w:val="20"/>
                <w:szCs w:val="20"/>
                <w:color w:val="auto"/>
              </w:rPr>
            </w:pPr>
            <w:r>
              <w:rPr>
                <w:rFonts w:ascii="Arial" w:cs="Arial" w:eastAsia="Arial" w:hAnsi="Arial"/>
                <w:sz w:val="18"/>
                <w:szCs w:val="18"/>
                <w:color w:val="auto"/>
                <w:w w:val="94"/>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2,141</w:t>
            </w:r>
          </w:p>
        </w:tc>
      </w:tr>
      <w:tr>
        <w:trPr>
          <w:trHeight w:val="243"/>
        </w:trPr>
        <w:tc>
          <w:tcPr>
            <w:tcW w:w="9720" w:type="dxa"/>
            <w:vAlign w:val="bottom"/>
          </w:tcPr>
          <w:p>
            <w:pPr>
              <w:jc w:val="right"/>
              <w:ind w:right="9230"/>
              <w:spacing w:after="0"/>
              <w:rPr>
                <w:sz w:val="20"/>
                <w:szCs w:val="20"/>
                <w:color w:val="auto"/>
              </w:rPr>
            </w:pPr>
            <w:r>
              <w:rPr>
                <w:rFonts w:ascii="Arial" w:cs="Arial" w:eastAsia="Arial" w:hAnsi="Arial"/>
                <w:sz w:val="18"/>
                <w:szCs w:val="18"/>
                <w:color w:val="auto"/>
                <w:w w:val="94"/>
              </w:rPr>
              <w:t>2021</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893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jc w:val="right"/>
              <w:ind w:right="9230"/>
              <w:spacing w:after="0"/>
              <w:rPr>
                <w:sz w:val="20"/>
                <w:szCs w:val="20"/>
                <w:color w:val="auto"/>
              </w:rPr>
            </w:pPr>
            <w:r>
              <w:rPr>
                <w:rFonts w:ascii="Arial" w:cs="Arial" w:eastAsia="Arial" w:hAnsi="Arial"/>
                <w:sz w:val="18"/>
                <w:szCs w:val="18"/>
                <w:color w:val="auto"/>
                <w:w w:val="94"/>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r>
      <w:tr>
        <w:trPr>
          <w:trHeight w:val="243"/>
        </w:trPr>
        <w:tc>
          <w:tcPr>
            <w:tcW w:w="9720" w:type="dxa"/>
            <w:vAlign w:val="bottom"/>
          </w:tcPr>
          <w:p>
            <w:pPr>
              <w:jc w:val="right"/>
              <w:ind w:right="9230"/>
              <w:spacing w:after="0"/>
              <w:rPr>
                <w:sz w:val="20"/>
                <w:szCs w:val="20"/>
                <w:color w:val="auto"/>
              </w:rPr>
            </w:pPr>
            <w:r>
              <w:rPr>
                <w:rFonts w:ascii="Arial" w:cs="Arial" w:eastAsia="Arial" w:hAnsi="Arial"/>
                <w:sz w:val="18"/>
                <w:szCs w:val="18"/>
                <w:color w:val="auto"/>
                <w:w w:val="94"/>
              </w:rPr>
              <w:t>2023</w:t>
            </w:r>
          </w:p>
        </w:tc>
        <w:tc>
          <w:tcPr>
            <w:tcW w:w="20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1,477</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972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94"/>
              </w:rPr>
              <w:t>2024</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2,279</w:t>
            </w:r>
          </w:p>
        </w:tc>
      </w:tr>
      <w:tr>
        <w:trPr>
          <w:trHeight w:val="27"/>
        </w:trPr>
        <w:tc>
          <w:tcPr>
            <w:tcW w:w="9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Issuances and retirements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retired $14 million of 8.75 percent senior unsecured notes that matured on January 15, 2020.</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retired $32 million of 7.625 percent senior unsecured notes that matured on July 15, 2019.</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24, 2018, Northwest Pipeline issued $250 million of 4 percent senior unsecured notes to investors in a private debt placement. The notes are an additional issuance of Northwest Pipeline’s existing 4 percent senior unsecured notes due 2027. In the fourth quarter of 2018, Northwest Pipeline filed a registration statement and completed an exchange of these notes for substantially identical new notes that are registered under the Securities Act of 1933, as amended.</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Northwest Pipeline retired $250 million of 6.05 percent senior unsecured notes that matured on June 15, 2018.</w:t>
      </w:r>
    </w:p>
    <w:p>
      <w:pPr>
        <w:spacing w:after="0" w:line="18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March 5, 2018, WPZ completed a public offering of $800 million of 4.85 percent senior unsecured notes due 2048. WPZ used the net proceeds for general partnership purposes, primarily the March 28, 2018 repayment of $750 million of 4.875 percent senior unsecured notes that were due in 2024.</w:t>
      </w:r>
    </w:p>
    <w:p>
      <w:pPr>
        <w:spacing w:after="0" w:line="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March 15, 2018, Transco issued $400 million of 4 percent senior unsecured notes due 2028 and $600 million of 4.6 percent senior unsecured notes due 2048 to investors in a private debt placement. Transco used the net proceeds to retire $250 million of 6.05 percent senior unsecured notes that matured on June 15, 2018, and for general corporate purposes, including the funding of capital expenditures. In the third quarter of 2018, Transco filed a registration statement and completed an exchange of these notes for substantially identical new notes that are registered under the Securities Act of 1933, as amended.</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financing obligations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construction of the Atlantic Sunrise and Dalton projects, Transco received funding from its partners for their proportionate share of construction costs. Amounts received were recorded within noncurrent liabilities and the costs associated with construction were capitalized in our Consolidated Balance Sheet. Upon placing these projects into service Transco began utilizing the partners’ undivided interest in the assets, including the associated pipeline capacity, and reclassified the funding previously received from its partners from noncurrent liabilities to debt. The obligations, which mature in 2038 and 2052, respectively, require monthly interest and principal payments and both bear an interest rate of approximately 9 percent.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932"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91"/>
              </w:rPr>
              <w:t>December 31, 2019</w:t>
            </w:r>
          </w:p>
        </w:tc>
      </w:tr>
      <w:tr>
        <w:trPr>
          <w:trHeight w:val="264"/>
        </w:trPr>
        <w:tc>
          <w:tcPr>
            <w:tcW w:w="8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Stated Capacity</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Outstanding</w:t>
            </w: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left="965"/>
              <w:spacing w:after="0"/>
              <w:rPr>
                <w:sz w:val="20"/>
                <w:szCs w:val="20"/>
                <w:color w:val="auto"/>
              </w:rPr>
            </w:pPr>
            <w:r>
              <w:rPr>
                <w:rFonts w:ascii="Arial" w:cs="Arial" w:eastAsia="Arial" w:hAnsi="Arial"/>
                <w:sz w:val="14"/>
                <w:szCs w:val="14"/>
                <w:b w:val="1"/>
                <w:bCs w:val="1"/>
                <w:color w:val="auto"/>
                <w:w w:val="97"/>
              </w:rPr>
              <w:t>(Millions)</w:t>
            </w:r>
          </w:p>
        </w:tc>
        <w:tc>
          <w:tcPr>
            <w:tcW w:w="1200" w:type="dxa"/>
            <w:vAlign w:val="bottom"/>
          </w:tcPr>
          <w:p>
            <w:pPr>
              <w:spacing w:after="0"/>
              <w:rPr>
                <w:sz w:val="16"/>
                <w:szCs w:val="16"/>
                <w:color w:val="auto"/>
              </w:rPr>
            </w:pPr>
          </w:p>
        </w:tc>
      </w:tr>
      <w:tr>
        <w:trPr>
          <w:trHeight w:val="66"/>
        </w:trPr>
        <w:tc>
          <w:tcPr>
            <w:tcW w:w="8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Long-term credit facility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4,500</w:t>
            </w:r>
          </w:p>
        </w:tc>
        <w:tc>
          <w:tcPr>
            <w:tcW w:w="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r>
      <w:tr>
        <w:trPr>
          <w:trHeight w:val="239"/>
        </w:trPr>
        <w:tc>
          <w:tcPr>
            <w:tcW w:w="8180" w:type="dxa"/>
            <w:vAlign w:val="bottom"/>
          </w:tcPr>
          <w:p>
            <w:pPr>
              <w:ind w:left="200"/>
              <w:spacing w:after="0"/>
              <w:rPr>
                <w:sz w:val="20"/>
                <w:szCs w:val="20"/>
                <w:color w:val="auto"/>
              </w:rPr>
            </w:pPr>
            <w:r>
              <w:rPr>
                <w:rFonts w:ascii="Arial" w:cs="Arial" w:eastAsia="Arial" w:hAnsi="Arial"/>
                <w:sz w:val="17"/>
                <w:szCs w:val="17"/>
                <w:color w:val="auto"/>
              </w:rPr>
              <w:t>Letters of credit under certain bilateral bank agreements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920"/>
              <w:spacing w:after="0"/>
              <w:rPr>
                <w:sz w:val="20"/>
                <w:szCs w:val="20"/>
                <w:color w:val="auto"/>
              </w:rPr>
            </w:pPr>
            <w:r>
              <w:rPr>
                <w:rFonts w:ascii="Arial" w:cs="Arial" w:eastAsia="Arial" w:hAnsi="Arial"/>
                <w:sz w:val="17"/>
                <w:szCs w:val="17"/>
                <w:color w:val="auto"/>
              </w:rPr>
              <w:t>14</w:t>
            </w:r>
          </w:p>
        </w:tc>
      </w:tr>
    </w:tbl>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6" w:lineRule="exact"/>
        <w:rPr>
          <w:sz w:val="20"/>
          <w:szCs w:val="20"/>
          <w:color w:val="auto"/>
        </w:rPr>
      </w:pPr>
    </w:p>
    <w:p>
      <w:pPr>
        <w:ind w:left="340" w:hanging="332"/>
        <w:spacing w:after="0" w:line="259"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managing our available liquidity, we do not expect a maximum outstanding amount in excess of the capacity of our credit facility inclusive of any outstanding amounts under our commercial paper program.</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Revolving credit facility</w:t>
      </w:r>
    </w:p>
    <w:p>
      <w:pPr>
        <w:spacing w:after="0" w:line="18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13, 2018, we along with Transco and Northwest Pipeline, the lenders named therein, and an administrative agent entered into a credit agreement (Credit Agreement) with aggregate commitments available of $4.5 billion, with up to an additional $500 million increase in aggregate commitments available under certain circumstances. On August 10, 2018, following the completion of the WPZ Merger, the Credit Agreement became effective. The maturity date of the credit facility is August 10, 2023. However, the co-borrowers may request up to two extensions of the maturity date each for an additional one-year period to allow a maturity date as late as August 10, 2025, under certain circumstances. The Credit Agreement allows for swing line loans up to an aggregate of $200 million, subject to available capacity under the credit facility, and letters of credit commitments of $1 billion. Transco and Northwest Pipeline are each able to borrow up to $500 million under this credit facility to the extent not otherwise utilized by the other co-borrowers.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Agreement contains the following terms and conditions:</w:t>
      </w:r>
    </w:p>
    <w:p>
      <w:pPr>
        <w:spacing w:after="0" w:line="212" w:lineRule="exact"/>
        <w:rPr>
          <w:sz w:val="20"/>
          <w:szCs w:val="20"/>
          <w:color w:val="auto"/>
        </w:rPr>
      </w:pPr>
    </w:p>
    <w:p>
      <w:pPr>
        <w:jc w:val="both"/>
        <w:ind w:left="660" w:hanging="328"/>
        <w:spacing w:after="0" w:line="280"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Various covenants may limit, among other things, a borrower’s and its material subsidiaries’ ability to grant certain liens supporting indebtedness, merge or consolidate, sell all or substantially all of its assets, make certain distributions during an event of default, and enter into certain restrictive agreements.</w:t>
      </w:r>
    </w:p>
    <w:p>
      <w:pPr>
        <w:spacing w:after="0" w:line="167"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If an event of default with respect to a borrower occurs under the credit facility, the lenders will be able to terminate the commitments and accelerate the maturity of the loans and exercise other rights and remedies.</w:t>
      </w:r>
    </w:p>
    <w:p>
      <w:pPr>
        <w:spacing w:after="0" w:line="169" w:lineRule="exact"/>
        <w:rPr>
          <w:rFonts w:ascii="Arial" w:cs="Arial" w:eastAsia="Arial" w:hAnsi="Arial"/>
          <w:sz w:val="22"/>
          <w:szCs w:val="22"/>
          <w:color w:val="auto"/>
        </w:rPr>
      </w:pPr>
    </w:p>
    <w:p>
      <w:pPr>
        <w:jc w:val="both"/>
        <w:ind w:left="660" w:hanging="328"/>
        <w:spacing w:after="0" w:line="288" w:lineRule="auto"/>
        <w:tabs>
          <w:tab w:leader="none" w:pos="6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Other than swing line loans, each time funds are borrowed, the applicable borrower may choose from two methods of calculating interest: a fluctuating base rate equal to Citibank N.A.'s alternate base rate plus an applicable margin or a periodic fixed rate equal to the London Interbank Offered Rate plus an applicable margin. We are required to pay a commitment fee based on the unused portion of the credit facility. The applicable margin and the commitment fee are determined by reference to a pricing schedule based on the applicable borrower’s senior unsecured long-term debt ratings.</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Significant financial covenants under the Credit Agreement require the ratio of debt to EBITDA (earnings before interest, taxes, depreciation, and amortization), each as defined in the credit facility, to be no greater than:</w:t>
      </w:r>
    </w:p>
    <w:p>
      <w:pPr>
        <w:spacing w:after="0" w:line="134"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5.75 to 1 for each fiscal quarter end through June 30, 2019;</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5.5 to 1 for the fiscal quarters ending September 30, 2019, and December 31, 2019;</w:t>
      </w:r>
    </w:p>
    <w:p>
      <w:pPr>
        <w:spacing w:after="0" w:line="201" w:lineRule="exact"/>
        <w:rPr>
          <w:rFonts w:ascii="Arial" w:cs="Arial" w:eastAsia="Arial" w:hAnsi="Arial"/>
          <w:sz w:val="22"/>
          <w:szCs w:val="22"/>
          <w:color w:val="auto"/>
        </w:rPr>
      </w:pPr>
    </w:p>
    <w:p>
      <w:pPr>
        <w:jc w:val="both"/>
        <w:ind w:left="660" w:hanging="328"/>
        <w:spacing w:after="0" w:line="280" w:lineRule="auto"/>
        <w:tabs>
          <w:tab w:leader="none" w:pos="6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5.0 to 1 for the fiscal quarter ending March 31, 2020, and each subsequent fiscal quarter end, except for the fiscal quarter and the two following fiscal quarters in which one or more acquisitions with a total aggregate purchase price of $25 million or more has been executed, in which case the ratio of debt to EBITDA is to be no greater than 5.5 to 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93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ratio of debt to capitalization (defined as net worth plus debt) must be no greater than 65 percent for each of Transco and Northwest Pipeline.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2019, we are in compliance with these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1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August 10, 2018, following the consummation of the WPZ Merger, we entered into a $4 billion commercial paper program. The maturities of the commercial paper notes vary but may not exceed 397 days from the date of issuance. The commercial paper notes are sold under customary terms in the commercial paper market and are issued at a discount from par, or, alternatively, are sold at par and bear varying interest rates on a fixed or floating basis. The net proceeds of issuances of the commercial paper notes are expected to be used to fund planned capital expenditures and for other general corporate purposes. At December 31, 2019 and 2018, no commercial paper was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Payments for Interest (Net of Amounts Capitalized)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payments for interest (net of amounts capitalized) were $1.153 billion in 2019, $1.064 billion in 2018, and $1.110 billion in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Equity</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28, 2020, our board of directors approved a regular quarterly dividend to common stockholders of $0.40 per share payable on March 30, 2020.</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2018, through a wholly owned subsidiary, we contributed 35,000 shares of newly issued Series B Non-Voting Perpetual Preferred Stock (Preferred Stock) to The Williams Companies Foundation, Inc. (a not-for-profit corporation) for use in future charitable and nonprofit causes. The charitable contribution of Preferred Stock was recorded as an expense in the third quarter of 2018. The Preferred Stock was issued for an aggregate value of $35 million and pays non-cumulative quarterly cash dividends when, as and if declared, at a rate of 7.25 percent per year. Our certificate of incorporation authorizes 30 million shares of Preferred Stock, $1 par value per share.</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2017, we issued 65 million shares of common stock in a public offering at a price of $29.00 per share. In February 2017, we issued 9.75 million shares of common stock pursuant to the full exercise of the underwriter’s option to purchase additional shares. The net proceeds of approximately $2.1 billion were used to purchase newly issued common units in WPZ as part of our Financial Repositioning. (See Note 1 – General, Description of Business, Basis of Presentation, and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AOCI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presents the changes in </w:t>
      </w:r>
      <w:r>
        <w:rPr>
          <w:rFonts w:ascii="Arial" w:cs="Arial" w:eastAsia="Arial" w:hAnsi="Arial"/>
          <w:sz w:val="18"/>
          <w:szCs w:val="18"/>
          <w:i w:val="1"/>
          <w:iCs w:val="1"/>
          <w:color w:val="auto"/>
        </w:rPr>
        <w:t>AOCI</w:t>
      </w:r>
      <w:r>
        <w:rPr>
          <w:rFonts w:ascii="Arial" w:cs="Arial" w:eastAsia="Arial" w:hAnsi="Arial"/>
          <w:sz w:val="18"/>
          <w:szCs w:val="18"/>
          <w:color w:val="auto"/>
        </w:rPr>
        <w:t xml:space="preserve"> by component, net of income taxes: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8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87"/>
              </w:rPr>
              <w:t>Cash</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3"/>
              </w:rPr>
              <w:t>Foreign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Pension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Other Post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80" w:type="dxa"/>
            <w:vAlign w:val="bottom"/>
          </w:tcPr>
          <w:p>
            <w:pPr>
              <w:jc w:val="center"/>
              <w:ind w:left="339"/>
              <w:spacing w:after="0" w:line="149" w:lineRule="exact"/>
              <w:rPr>
                <w:sz w:val="20"/>
                <w:szCs w:val="20"/>
                <w:color w:val="auto"/>
              </w:rPr>
            </w:pPr>
            <w:r>
              <w:rPr>
                <w:rFonts w:ascii="Arial" w:cs="Arial" w:eastAsia="Arial" w:hAnsi="Arial"/>
                <w:sz w:val="14"/>
                <w:szCs w:val="14"/>
                <w:b w:val="1"/>
                <w:bCs w:val="1"/>
                <w:color w:val="auto"/>
                <w:w w:val="93"/>
              </w:rPr>
              <w:t>Flow</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7"/>
              </w:rPr>
              <w:t>Currency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80" w:type="dxa"/>
            <w:vAlign w:val="bottom"/>
            <w:tcBorders>
              <w:bottom w:val="single" w:sz="8" w:color="auto"/>
            </w:tcBorders>
          </w:tcPr>
          <w:p>
            <w:pPr>
              <w:jc w:val="center"/>
              <w:ind w:left="339"/>
              <w:spacing w:after="0"/>
              <w:rPr>
                <w:sz w:val="20"/>
                <w:szCs w:val="20"/>
                <w:color w:val="auto"/>
              </w:rPr>
            </w:pPr>
            <w:r>
              <w:rPr>
                <w:rFonts w:ascii="Arial" w:cs="Arial" w:eastAsia="Arial" w:hAnsi="Arial"/>
                <w:sz w:val="14"/>
                <w:szCs w:val="14"/>
                <w:b w:val="1"/>
                <w:bCs w:val="1"/>
                <w:color w:val="auto"/>
                <w:w w:val="90"/>
              </w:rPr>
              <w:t>Hedges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left="261"/>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Benefits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i w:val="1"/>
                <w:iCs w:val="1"/>
                <w:color w:val="auto"/>
              </w:rPr>
              <w:t xml:space="preserve">Other comprehensive income (loss) </w:t>
            </w:r>
            <w:r>
              <w:rPr>
                <w:rFonts w:ascii="Arial" w:cs="Arial" w:eastAsia="Arial" w:hAnsi="Arial"/>
                <w:sz w:val="18"/>
                <w:szCs w:val="18"/>
                <w:color w:val="auto"/>
              </w:rPr>
              <w:t>before reclassifications</w:t>
            </w:r>
          </w:p>
        </w:tc>
        <w:tc>
          <w:tcPr>
            <w:tcW w:w="108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Amounts reclassified from </w:t>
            </w:r>
            <w:r>
              <w:rPr>
                <w:rFonts w:ascii="Arial" w:cs="Arial" w:eastAsia="Arial" w:hAnsi="Arial"/>
                <w:sz w:val="18"/>
                <w:szCs w:val="18"/>
                <w:i w:val="1"/>
                <w:iCs w:val="1"/>
                <w:color w:val="auto"/>
              </w:rPr>
              <w:t>accumulated other comprehensive</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i w:val="1"/>
                <w:iCs w:val="1"/>
                <w:color w:val="auto"/>
              </w:rPr>
              <w:t>income (loss)</w:t>
            </w:r>
          </w:p>
        </w:tc>
        <w:tc>
          <w:tcPr>
            <w:tcW w:w="1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Other comprehensive income (loss)</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160" w:type="dxa"/>
            <w:vAlign w:val="bottom"/>
          </w:tcPr>
          <w:p>
            <w:pPr>
              <w:spacing w:after="0"/>
              <w:rPr>
                <w:sz w:val="24"/>
                <w:szCs w:val="24"/>
                <w:color w:val="auto"/>
              </w:rPr>
            </w:pPr>
          </w:p>
        </w:tc>
        <w:tc>
          <w:tcPr>
            <w:tcW w:w="1080" w:type="dxa"/>
            <w:vAlign w:val="bottom"/>
          </w:tcPr>
          <w:p>
            <w:pPr>
              <w:jc w:val="right"/>
              <w:ind w:right="319"/>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presented in the following table by component for the year ended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gridSpan w:val="2"/>
          </w:tcPr>
          <w:p>
            <w:pPr>
              <w:ind w:left="2460"/>
              <w:spacing w:after="0"/>
              <w:rPr>
                <w:sz w:val="20"/>
                <w:szCs w:val="20"/>
                <w:color w:val="auto"/>
              </w:rPr>
            </w:pPr>
            <w:r>
              <w:rPr>
                <w:rFonts w:ascii="Arial" w:cs="Arial" w:eastAsia="Arial" w:hAnsi="Arial"/>
                <w:sz w:val="14"/>
                <w:szCs w:val="14"/>
                <w:b w:val="1"/>
                <w:bCs w:val="1"/>
                <w:color w:val="auto"/>
              </w:rPr>
              <w:t>Component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Reclassifications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ind w:left="1580"/>
              <w:spacing w:after="0"/>
              <w:rPr>
                <w:sz w:val="20"/>
                <w:szCs w:val="20"/>
                <w:color w:val="auto"/>
              </w:rPr>
            </w:pPr>
            <w:r>
              <w:rPr>
                <w:rFonts w:ascii="Arial" w:cs="Arial" w:eastAsia="Arial" w:hAnsi="Arial"/>
                <w:sz w:val="14"/>
                <w:szCs w:val="14"/>
                <w:b w:val="1"/>
                <w:bCs w:val="1"/>
                <w:color w:val="auto"/>
              </w:rPr>
              <w:t>Classification</w:t>
            </w:r>
          </w:p>
        </w:tc>
      </w:tr>
      <w:tr>
        <w:trPr>
          <w:trHeight w:val="264"/>
        </w:trPr>
        <w:tc>
          <w:tcPr>
            <w:tcW w:w="5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(Millions)</w:t>
            </w:r>
          </w:p>
        </w:tc>
        <w:tc>
          <w:tcPr>
            <w:tcW w:w="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980" w:type="dxa"/>
            <w:vAlign w:val="bottom"/>
            <w:tcBorders>
              <w:top w:val="single" w:sz="8" w:color="auto"/>
            </w:tcBorders>
          </w:tcPr>
          <w:p>
            <w:pPr>
              <w:spacing w:after="0"/>
              <w:rPr>
                <w:sz w:val="22"/>
                <w:szCs w:val="22"/>
                <w:color w:val="auto"/>
              </w:rPr>
            </w:pPr>
          </w:p>
        </w:tc>
      </w:tr>
      <w:tr>
        <w:trPr>
          <w:trHeight w:val="256"/>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1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shd w:val="clear" w:color="auto" w:fill="CCEEFF"/>
          </w:tcPr>
          <w:p>
            <w:pPr>
              <w:spacing w:after="0"/>
              <w:rPr>
                <w:sz w:val="22"/>
                <w:szCs w:val="22"/>
                <w:color w:val="auto"/>
              </w:rPr>
            </w:pPr>
          </w:p>
        </w:tc>
      </w:tr>
      <w:tr>
        <w:trPr>
          <w:trHeight w:val="229"/>
        </w:trPr>
        <w:tc>
          <w:tcPr>
            <w:tcW w:w="5740" w:type="dxa"/>
            <w:vAlign w:val="bottom"/>
            <w:gridSpan w:val="2"/>
          </w:tcPr>
          <w:p>
            <w:pPr>
              <w:ind w:left="260"/>
              <w:spacing w:after="0"/>
              <w:rPr>
                <w:sz w:val="20"/>
                <w:szCs w:val="20"/>
                <w:color w:val="auto"/>
              </w:rPr>
            </w:pPr>
            <w:r>
              <w:rPr>
                <w:rFonts w:ascii="Arial" w:cs="Arial" w:eastAsia="Arial" w:hAnsi="Arial"/>
                <w:sz w:val="18"/>
                <w:szCs w:val="18"/>
                <w:i w:val="1"/>
                <w:iCs w:val="1"/>
                <w:color w:val="auto"/>
              </w:rPr>
              <w:t>Amortization of actuarial (gain) loss and net actuarial loss from</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7"/>
                <w:szCs w:val="17"/>
                <w:i w:val="1"/>
                <w:iCs w:val="1"/>
                <w:color w:val="auto"/>
                <w:w w:val="95"/>
              </w:rPr>
              <w:t xml:space="preserve">Other income (expense) – net </w:t>
            </w:r>
            <w:r>
              <w:rPr>
                <w:rFonts w:ascii="Arial" w:cs="Arial" w:eastAsia="Arial" w:hAnsi="Arial"/>
                <w:sz w:val="17"/>
                <w:szCs w:val="17"/>
                <w:color w:val="auto"/>
                <w:w w:val="95"/>
              </w:rPr>
              <w:t>below</w:t>
            </w:r>
            <w:r>
              <w:rPr>
                <w:rFonts w:ascii="Arial" w:cs="Arial" w:eastAsia="Arial" w:hAnsi="Arial"/>
                <w:sz w:val="17"/>
                <w:szCs w:val="17"/>
                <w:i w:val="1"/>
                <w:iCs w:val="1"/>
                <w:color w:val="auto"/>
                <w:w w:val="95"/>
              </w:rPr>
              <w:t xml:space="preserve"> Operating income</w:t>
            </w:r>
          </w:p>
        </w:tc>
      </w:tr>
      <w:tr>
        <w:trPr>
          <w:trHeight w:val="230"/>
        </w:trPr>
        <w:tc>
          <w:tcPr>
            <w:tcW w:w="5740" w:type="dxa"/>
            <w:vAlign w:val="bottom"/>
            <w:gridSpan w:val="2"/>
          </w:tcPr>
          <w:p>
            <w:pPr>
              <w:ind w:left="500"/>
              <w:spacing w:after="0"/>
              <w:rPr>
                <w:sz w:val="20"/>
                <w:szCs w:val="20"/>
                <w:color w:val="auto"/>
              </w:rPr>
            </w:pPr>
            <w:r>
              <w:rPr>
                <w:rFonts w:ascii="Arial" w:cs="Arial" w:eastAsia="Arial" w:hAnsi="Arial"/>
                <w:sz w:val="18"/>
                <w:szCs w:val="18"/>
                <w:i w:val="1"/>
                <w:iCs w:val="1"/>
                <w:color w:val="auto"/>
              </w:rPr>
              <w:t>settlements included in net periodic benefit cost (credit)</w:t>
            </w:r>
          </w:p>
        </w:tc>
        <w:tc>
          <w:tcPr>
            <w:tcW w:w="1300" w:type="dxa"/>
            <w:vAlign w:val="bottom"/>
          </w:tcPr>
          <w:p>
            <w:pPr>
              <w:jc w:val="right"/>
              <w:ind w:right="1099"/>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16</w:t>
            </w: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7"/>
                <w:szCs w:val="17"/>
                <w:i w:val="1"/>
                <w:iCs w:val="1"/>
                <w:color w:val="auto"/>
              </w:rPr>
              <w:t>(loss)</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Borders>
              <w:bottom w:val="single" w:sz="8" w:color="CCEEFF"/>
            </w:tcBorders>
            <w:shd w:val="clear" w:color="auto" w:fill="CCEEFF"/>
          </w:tcPr>
          <w:p>
            <w:pPr>
              <w:spacing w:after="0"/>
              <w:rPr>
                <w:sz w:val="23"/>
                <w:szCs w:val="23"/>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Provision (benefit) for income taxes</w:t>
            </w:r>
          </w:p>
        </w:tc>
      </w:tr>
      <w:tr>
        <w:trPr>
          <w:trHeight w:val="25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Reclassifications during the period</w:t>
            </w:r>
          </w:p>
        </w:tc>
        <w:tc>
          <w:tcPr>
            <w:tcW w:w="130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2"/>
                <w:szCs w:val="22"/>
                <w:color w:val="auto"/>
              </w:rPr>
            </w:pPr>
          </w:p>
        </w:tc>
        <w:tc>
          <w:tcPr>
            <w:tcW w:w="3980" w:type="dxa"/>
            <w:vAlign w:val="bottom"/>
          </w:tcPr>
          <w:p>
            <w:pPr>
              <w:spacing w:after="0"/>
              <w:rPr>
                <w:sz w:val="22"/>
                <w:szCs w:val="2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Equity-Based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Williams’ Plan Information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Williams Companies, Inc. 2007 Incentive Plan (the Plan) provides common-stock-based awards to both employees and nonmanagement directors. To date, 40 million new shares have been authorized for making awards under the Plan. The Plan permits the granting of various types of awards including, but not limited to, restricted stock units and stock options. At December 31, 2019, 23 million shares of our common stock were reserved for issuance pursuant to existing and future stock awards, of which 11 million shares were available for future grants.</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Additionally, up to 3.6 million new shares of our common stock have been authorized to date to be available for sale under our Employee Stock Purchase Plan (ESPP). Employees purchased 322 thousand shares at a weighted-average price of $19.55 per share during 2019. Approximately 424 thousand shares were available for purchase under the ESPP at December 31, 2019.</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Operating and maintenance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 </w:t>
      </w:r>
      <w:r>
        <w:rPr>
          <w:rFonts w:ascii="Arial" w:cs="Arial" w:eastAsia="Arial" w:hAnsi="Arial"/>
          <w:sz w:val="18"/>
          <w:szCs w:val="18"/>
          <w:color w:val="auto"/>
        </w:rPr>
        <w:t>in the Consolidated Statement of Operations include equity-based compensation expense for the years ended December 31, 2019, 2018, and 2017 of $57 million, $54 million, and $70 million, respectively. Income tax benefit recognized related to the stock-based compensation expense for the years ended December 31, 2019, 2018, and 2017 was $14 million, $14 million, and $17 million, respectively. Measured but unrecognized stock-based compensation expense at December 31, 2019, was $60 million, comprised of $2 million related to stock options and $58 million related to restricted stock units. These amounts are expected to be recognized over a weighted-average period of 2.8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summary reflects stock option activity and related information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457"/>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w w:val="88"/>
              </w:rPr>
              <w:t>Stock Options</w:t>
            </w:r>
          </w:p>
        </w:tc>
        <w:tc>
          <w:tcPr>
            <w:tcW w:w="30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3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7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4"/>
              </w:rPr>
              <w:t>Options</w:t>
            </w:r>
          </w:p>
        </w:tc>
        <w:tc>
          <w:tcPr>
            <w:tcW w:w="1080" w:type="dxa"/>
            <w:vAlign w:val="bottom"/>
          </w:tcPr>
          <w:p>
            <w:pPr>
              <w:jc w:val="center"/>
              <w:ind w:left="437"/>
              <w:spacing w:after="0" w:line="125" w:lineRule="exact"/>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jc w:val="center"/>
              <w:ind w:right="202"/>
              <w:spacing w:after="0" w:line="12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234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(Millions)</w:t>
            </w: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center"/>
              <w:ind w:right="222"/>
              <w:spacing w:after="0"/>
              <w:rPr>
                <w:sz w:val="20"/>
                <w:szCs w:val="20"/>
                <w:color w:val="auto"/>
              </w:rPr>
            </w:pPr>
            <w:r>
              <w:rPr>
                <w:rFonts w:ascii="Arial" w:cs="Arial" w:eastAsia="Arial" w:hAnsi="Arial"/>
                <w:sz w:val="14"/>
                <w:szCs w:val="14"/>
                <w:b w:val="1"/>
                <w:bCs w:val="1"/>
                <w:color w:val="auto"/>
                <w:w w:val="97"/>
              </w:rPr>
              <w:t>(Millions)</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3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31.55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234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3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Cancelled</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35.62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23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32.64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60" w:type="dxa"/>
            <w:vAlign w:val="bottom"/>
            <w:gridSpan w:val="3"/>
          </w:tcPr>
          <w:p>
            <w:pPr>
              <w:ind w:left="40"/>
              <w:spacing w:after="0"/>
              <w:rPr>
                <w:sz w:val="20"/>
                <w:szCs w:val="20"/>
                <w:color w:val="auto"/>
              </w:rPr>
            </w:pPr>
            <w:r>
              <w:rPr>
                <w:rFonts w:ascii="Arial" w:cs="Arial" w:eastAsia="Arial" w:hAnsi="Arial"/>
                <w:sz w:val="18"/>
                <w:szCs w:val="18"/>
                <w:color w:val="auto"/>
              </w:rPr>
              <w:t>Exercisable at December 31, 2019</w:t>
            </w:r>
          </w:p>
        </w:tc>
        <w:tc>
          <w:tcPr>
            <w:tcW w:w="3960" w:type="dxa"/>
            <w:vAlign w:val="bottom"/>
            <w:gridSpan w:val="2"/>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40" w:type="dxa"/>
            <w:vAlign w:val="bottom"/>
            <w:vMerge w:val="restart"/>
          </w:tcPr>
          <w:p>
            <w:pPr>
              <w:jc w:val="right"/>
              <w:ind w:right="470"/>
              <w:spacing w:after="0"/>
              <w:rPr>
                <w:sz w:val="20"/>
                <w:szCs w:val="20"/>
                <w:color w:val="auto"/>
              </w:rPr>
            </w:pPr>
            <w:r>
              <w:rPr>
                <w:rFonts w:ascii="Arial" w:cs="Arial" w:eastAsia="Arial" w:hAnsi="Arial"/>
                <w:sz w:val="18"/>
                <w:szCs w:val="18"/>
                <w:color w:val="auto"/>
              </w:rPr>
              <w:t>130</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additional information related to stock option activity during each of the last three years: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0"/>
        </w:trPr>
        <w:tc>
          <w:tcPr>
            <w:tcW w:w="7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(Millions)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66"/>
        </w:trPr>
        <w:tc>
          <w:tcPr>
            <w:tcW w:w="7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intrinsic value of options exercised</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0"/>
        </w:trPr>
        <w:tc>
          <w:tcPr>
            <w:tcW w:w="7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Tax benefits realized on options exercised</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received from the exercise of options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remaining contractual lives for stock options outstanding and exercisable at December 31, 2019, were 4.2 years and 3.6 years,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at date of grant of options for our common stock granted in each respective year, using the Black-Scholes option pricing model,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3"/>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 of options for our common stock granted during the year, per share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8640" w:type="dxa"/>
            <w:vAlign w:val="bottom"/>
            <w:vMerge w:val="restart"/>
          </w:tcPr>
          <w:p>
            <w:pPr>
              <w:ind w:left="40"/>
              <w:spacing w:after="0"/>
              <w:rPr>
                <w:sz w:val="20"/>
                <w:szCs w:val="20"/>
                <w:color w:val="auto"/>
              </w:rPr>
            </w:pPr>
            <w:r>
              <w:rPr>
                <w:rFonts w:ascii="Arial" w:cs="Arial" w:eastAsia="Arial" w:hAnsi="Arial"/>
                <w:sz w:val="18"/>
                <w:szCs w:val="18"/>
                <w:color w:val="auto"/>
              </w:rPr>
              <w:t>Weighted-average assumptions:</w:t>
            </w: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Dividend yield</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640" w:type="dxa"/>
            <w:vAlign w:val="bottom"/>
          </w:tcPr>
          <w:p>
            <w:pPr>
              <w:ind w:left="540"/>
              <w:spacing w:after="0"/>
              <w:rPr>
                <w:sz w:val="20"/>
                <w:szCs w:val="20"/>
                <w:color w:val="auto"/>
              </w:rPr>
            </w:pPr>
            <w:r>
              <w:rPr>
                <w:rFonts w:ascii="Arial" w:cs="Arial" w:eastAsia="Arial" w:hAnsi="Arial"/>
                <w:sz w:val="18"/>
                <w:szCs w:val="18"/>
                <w:color w:val="auto"/>
              </w:rPr>
              <w:t>Volatility</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Risk-free interest rate</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640" w:type="dxa"/>
            <w:vAlign w:val="bottom"/>
          </w:tcPr>
          <w:p>
            <w:pPr>
              <w:ind w:left="540"/>
              <w:spacing w:after="0"/>
              <w:rPr>
                <w:sz w:val="20"/>
                <w:szCs w:val="20"/>
                <w:color w:val="auto"/>
              </w:rPr>
            </w:pPr>
            <w:r>
              <w:rPr>
                <w:rFonts w:ascii="Arial" w:cs="Arial" w:eastAsia="Arial" w:hAnsi="Arial"/>
                <w:sz w:val="18"/>
                <w:szCs w:val="18"/>
                <w:color w:val="auto"/>
              </w:rPr>
              <w:t>Expected life (years)</w:t>
            </w:r>
          </w:p>
        </w:tc>
        <w:tc>
          <w:tcPr>
            <w:tcW w:w="82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were no stock options granted in 2019. The expected dividend yield for each respective year is based on the dividend forecast for that year and the grant-date market price of our stock. Our expected future volatility is determined using the historical volatility of our stock and implied volatility on our traded options. Historical volatility is based on the blended 10-year historical volatility of our stock and certain peer companies. The risk-free interest rate is based on the U.S. Treasury Constant Maturity rates as of the grant date. The expected life of the option is based on historical exercise behavior and expected future experience.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Nonvested 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summary reflects nonvested restricted stock unit activity and related information for the year ended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Arial" w:cs="Arial" w:eastAsia="Arial" w:hAnsi="Arial"/>
                <w:sz w:val="16"/>
                <w:szCs w:val="16"/>
                <w:b w:val="1"/>
                <w:bCs w:val="1"/>
                <w:color w:val="auto"/>
                <w:w w:val="89"/>
              </w:rPr>
              <w:t>Restricted Stock Units Outstanding</w:t>
            </w:r>
          </w:p>
        </w:tc>
        <w:tc>
          <w:tcPr>
            <w:tcW w:w="5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440" w:type="dxa"/>
            <w:vAlign w:val="bottom"/>
            <w:tcBorders>
              <w:bottom w:val="single" w:sz="8" w:color="auto"/>
            </w:tcBorders>
            <w:vMerge w:val="continue"/>
          </w:tcPr>
          <w:p>
            <w:pPr>
              <w:spacing w:after="0"/>
              <w:rPr>
                <w:sz w:val="11"/>
                <w:szCs w:val="11"/>
                <w:color w:val="auto"/>
              </w:rPr>
            </w:pPr>
          </w:p>
        </w:tc>
        <w:tc>
          <w:tcPr>
            <w:tcW w:w="5640" w:type="dxa"/>
            <w:vAlign w:val="bottom"/>
          </w:tcPr>
          <w:p>
            <w:pPr>
              <w:spacing w:after="0"/>
              <w:rPr>
                <w:sz w:val="11"/>
                <w:szCs w:val="11"/>
                <w:color w:val="auto"/>
              </w:rPr>
            </w:pPr>
          </w:p>
        </w:tc>
        <w:tc>
          <w:tcPr>
            <w:tcW w:w="160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1"/>
                <w:szCs w:val="11"/>
                <w:color w:val="auto"/>
              </w:rPr>
            </w:pPr>
          </w:p>
        </w:tc>
        <w:tc>
          <w:tcPr>
            <w:tcW w:w="1420" w:type="dxa"/>
            <w:vAlign w:val="bottom"/>
          </w:tcPr>
          <w:p>
            <w:pPr>
              <w:jc w:val="center"/>
              <w:ind w:right="197"/>
              <w:spacing w:after="0" w:line="125" w:lineRule="exact"/>
              <w:rPr>
                <w:sz w:val="20"/>
                <w:szCs w:val="20"/>
                <w:color w:val="auto"/>
              </w:rPr>
            </w:pPr>
            <w:r>
              <w:rPr>
                <w:rFonts w:ascii="Arial" w:cs="Arial" w:eastAsia="Arial" w:hAnsi="Arial"/>
                <w:sz w:val="14"/>
                <w:szCs w:val="14"/>
                <w:b w:val="1"/>
                <w:bCs w:val="1"/>
                <w:color w:val="auto"/>
                <w:w w:val="97"/>
              </w:rPr>
              <w:t>Fair Value (1)</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564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(Millions)</w:t>
            </w: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1"/>
                <w:szCs w:val="11"/>
                <w:color w:val="auto"/>
              </w:rPr>
              <w:t>______________</w:t>
            </w:r>
          </w:p>
        </w:tc>
        <w:tc>
          <w:tcPr>
            <w:tcW w:w="5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480" w:type="dxa"/>
            <w:vAlign w:val="bottom"/>
            <w:gridSpan w:val="2"/>
            <w:vMerge w:val="continue"/>
          </w:tcPr>
          <w:p>
            <w:pPr>
              <w:spacing w:after="0"/>
              <w:rPr>
                <w:sz w:val="9"/>
                <w:szCs w:val="9"/>
                <w:color w:val="auto"/>
              </w:rPr>
            </w:pPr>
          </w:p>
        </w:tc>
        <w:tc>
          <w:tcPr>
            <w:tcW w:w="5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line="321"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Performance-based restricted stock units are valued considering measures of total shareholder return utilizing a Monte Carlo valuation method and return on capital employed. All other restricted stock units are valued at the grant-date market price. Restricted stock units generally vest after three years.</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931" w:right="23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Value of Restricted Stock Units</w:t>
            </w:r>
          </w:p>
        </w:tc>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2140" w:type="dxa"/>
            <w:vAlign w:val="bottom"/>
            <w:tcBorders>
              <w:bottom w:val="single" w:sz="8" w:color="CCEEFF"/>
            </w:tcBorders>
          </w:tcPr>
          <w:p>
            <w:pPr>
              <w:spacing w:after="0"/>
              <w:rPr>
                <w:sz w:val="4"/>
                <w:szCs w:val="4"/>
                <w:color w:val="auto"/>
              </w:rPr>
            </w:pPr>
          </w:p>
        </w:tc>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Weighted-average grant date fair value of restricted stock units granted during the year,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30.48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29.47</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Total fair value of restricted stock units vested during the year (in millions)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Performance-based restricted stock units granted under the Plan represent 39 percent of nonvested restricted stock units outstanding at December 31, 2019. These grants may be earned at the end of the vesting period based on actual performance against a performance target. Based on the extent to which certain financial targets are achieved, vested shares may range from zero percent to 200 percent of the original grant amount.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Measurements, Guarantees, and Concentration of Credit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by level within the fair value hierarchy, certain of our financial assets and liabilities. The carrying values of cash and cash equivalents, accounts receivable, margin deposits, and accounts payable approximate fair value because of the short-term nature of these instruments. Therefore, these assets and liabilities are not presented in the following table.</w:t>
      </w:r>
    </w:p>
    <w:p>
      <w:pPr>
        <w:spacing w:after="0" w:line="141"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37465</wp:posOffset>
            </wp:positionV>
            <wp:extent cx="2521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61"/>
              <w:spacing w:after="0"/>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Prices In</w:t>
            </w:r>
          </w:p>
        </w:tc>
        <w:tc>
          <w:tcPr>
            <w:tcW w:w="240" w:type="dxa"/>
            <w:vAlign w:val="bottom"/>
          </w:tcPr>
          <w:p>
            <w:pPr>
              <w:spacing w:after="0"/>
              <w:rPr>
                <w:sz w:val="12"/>
                <w:szCs w:val="12"/>
                <w:color w:val="auto"/>
              </w:rPr>
            </w:pPr>
          </w:p>
        </w:tc>
        <w:tc>
          <w:tcPr>
            <w:tcW w:w="100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0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vMerge w:val="restart"/>
          </w:tcPr>
          <w:p>
            <w:pPr>
              <w:jc w:val="right"/>
              <w:ind w:right="397"/>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1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10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4"/>
              </w:rPr>
              <w:t>Observable</w:t>
            </w:r>
          </w:p>
        </w:tc>
        <w:tc>
          <w:tcPr>
            <w:tcW w:w="26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2"/>
                <w:szCs w:val="12"/>
                <w:color w:val="auto"/>
              </w:rPr>
            </w:pPr>
          </w:p>
        </w:tc>
        <w:tc>
          <w:tcPr>
            <w:tcW w:w="10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81"/>
              <w:spacing w:after="0"/>
              <w:rPr>
                <w:sz w:val="20"/>
                <w:szCs w:val="20"/>
                <w:color w:val="auto"/>
              </w:rPr>
            </w:pPr>
            <w:r>
              <w:rPr>
                <w:rFonts w:ascii="Arial" w:cs="Arial" w:eastAsia="Arial" w:hAnsi="Arial"/>
                <w:sz w:val="14"/>
                <w:szCs w:val="14"/>
                <w:b w:val="1"/>
                <w:bCs w:val="1"/>
                <w:color w:val="auto"/>
              </w:rPr>
              <w:t>(Millions)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Assets (liabilities) at December 31, 2019:</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80"/>
              <w:spacing w:after="0"/>
              <w:rPr>
                <w:sz w:val="20"/>
                <w:szCs w:val="20"/>
                <w:color w:val="auto"/>
              </w:rPr>
            </w:pPr>
            <w:r>
              <w:rPr>
                <w:rFonts w:ascii="Arial" w:cs="Arial" w:eastAsia="Arial" w:hAnsi="Arial"/>
                <w:sz w:val="17"/>
                <w:szCs w:val="17"/>
                <w:color w:val="auto"/>
              </w:rPr>
              <w:t>Measured on a recurring basis: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ARO Trust investments</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201</w:t>
            </w:r>
          </w:p>
        </w:tc>
        <w:tc>
          <w:tcPr>
            <w:tcW w:w="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201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80"/>
              <w:spacing w:after="0"/>
              <w:rPr>
                <w:sz w:val="20"/>
                <w:szCs w:val="20"/>
                <w:color w:val="auto"/>
              </w:rPr>
            </w:pPr>
            <w:r>
              <w:rPr>
                <w:rFonts w:ascii="Arial" w:cs="Arial" w:eastAsia="Arial" w:hAnsi="Arial"/>
                <w:sz w:val="17"/>
                <w:szCs w:val="17"/>
                <w:color w:val="auto"/>
                <w:w w:val="95"/>
              </w:rPr>
              <w:t>Energy derivative assets not designated as hedging instruments</w:t>
            </w:r>
          </w:p>
        </w:tc>
        <w:tc>
          <w:tcPr>
            <w:tcW w:w="220" w:type="dxa"/>
            <w:vAlign w:val="bottom"/>
          </w:tcPr>
          <w:p>
            <w:pPr>
              <w:spacing w:after="0"/>
              <w:rPr>
                <w:sz w:val="20"/>
                <w:szCs w:val="20"/>
                <w:color w:val="auto"/>
              </w:rPr>
            </w:pPr>
          </w:p>
        </w:tc>
        <w:tc>
          <w:tcPr>
            <w:tcW w:w="1000" w:type="dxa"/>
            <w:vAlign w:val="bottom"/>
          </w:tcPr>
          <w:p>
            <w:pPr>
              <w:jc w:val="right"/>
              <w:ind w:right="77"/>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20"/>
                <w:szCs w:val="20"/>
                <w:color w:val="auto"/>
              </w:rPr>
            </w:pP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2"/>
              </w:rPr>
              <w:t>Energy derivative liabilities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9"/>
        </w:trPr>
        <w:tc>
          <w:tcPr>
            <w:tcW w:w="4920" w:type="dxa"/>
            <w:vAlign w:val="bottom"/>
          </w:tcPr>
          <w:p>
            <w:pPr>
              <w:ind w:left="180"/>
              <w:spacing w:after="0"/>
              <w:rPr>
                <w:sz w:val="20"/>
                <w:szCs w:val="20"/>
                <w:color w:val="auto"/>
              </w:rPr>
            </w:pPr>
            <w:r>
              <w:rPr>
                <w:rFonts w:ascii="Arial" w:cs="Arial" w:eastAsia="Arial" w:hAnsi="Arial"/>
                <w:sz w:val="17"/>
                <w:szCs w:val="17"/>
                <w:color w:val="auto"/>
              </w:rPr>
              <w:t>Additional disclosures: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Long-term debt, including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(22,288)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(25,319)</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(25,319)</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80"/>
              <w:spacing w:after="0"/>
              <w:rPr>
                <w:sz w:val="20"/>
                <w:szCs w:val="20"/>
                <w:color w:val="auto"/>
              </w:rPr>
            </w:pPr>
            <w:r>
              <w:rPr>
                <w:rFonts w:ascii="Arial" w:cs="Arial" w:eastAsia="Arial" w:hAnsi="Arial"/>
                <w:sz w:val="17"/>
                <w:szCs w:val="17"/>
                <w:color w:val="auto"/>
              </w:rPr>
              <w:t>Guarantees</w:t>
            </w:r>
          </w:p>
        </w:tc>
        <w:tc>
          <w:tcPr>
            <w:tcW w:w="2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c>
          <w:tcPr>
            <w:tcW w:w="26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40"/>
              <w:spacing w:after="0"/>
              <w:rPr>
                <w:sz w:val="20"/>
                <w:szCs w:val="20"/>
                <w:color w:val="auto"/>
              </w:rPr>
            </w:pPr>
            <w:r>
              <w:rPr>
                <w:rFonts w:ascii="Arial" w:cs="Arial" w:eastAsia="Arial" w:hAnsi="Arial"/>
                <w:sz w:val="17"/>
                <w:szCs w:val="17"/>
                <w:color w:val="auto"/>
              </w:rPr>
              <w:t>Assets (liabilities) at December 31, 2018:</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Measured on a recurring basis: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80"/>
              <w:spacing w:after="0"/>
              <w:rPr>
                <w:sz w:val="20"/>
                <w:szCs w:val="20"/>
                <w:color w:val="auto"/>
              </w:rPr>
            </w:pPr>
            <w:r>
              <w:rPr>
                <w:rFonts w:ascii="Arial" w:cs="Arial" w:eastAsia="Arial" w:hAnsi="Arial"/>
                <w:sz w:val="17"/>
                <w:szCs w:val="17"/>
                <w:color w:val="auto"/>
              </w:rPr>
              <w:t>ARO Trust investments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77"/>
              <w:spacing w:after="0"/>
              <w:rPr>
                <w:sz w:val="20"/>
                <w:szCs w:val="20"/>
                <w:color w:val="auto"/>
              </w:rPr>
            </w:pPr>
            <w:r>
              <w:rPr>
                <w:rFonts w:ascii="Arial" w:cs="Arial" w:eastAsia="Arial" w:hAnsi="Arial"/>
                <w:sz w:val="17"/>
                <w:szCs w:val="17"/>
                <w:color w:val="auto"/>
              </w:rPr>
              <w:t>150</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57"/>
              <w:spacing w:after="0"/>
              <w:rPr>
                <w:sz w:val="20"/>
                <w:szCs w:val="20"/>
                <w:color w:val="auto"/>
              </w:rPr>
            </w:pPr>
            <w:r>
              <w:rPr>
                <w:rFonts w:ascii="Arial" w:cs="Arial" w:eastAsia="Arial" w:hAnsi="Arial"/>
                <w:sz w:val="17"/>
                <w:szCs w:val="17"/>
                <w:color w:val="auto"/>
              </w:rPr>
              <w:t>150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150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5"/>
              </w:rPr>
              <w:t>Energy derivative assets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tcPr>
          <w:p>
            <w:pPr>
              <w:ind w:left="280"/>
              <w:spacing w:after="0"/>
              <w:rPr>
                <w:sz w:val="20"/>
                <w:szCs w:val="20"/>
                <w:color w:val="auto"/>
              </w:rPr>
            </w:pPr>
            <w:r>
              <w:rPr>
                <w:rFonts w:ascii="Arial" w:cs="Arial" w:eastAsia="Arial" w:hAnsi="Arial"/>
                <w:sz w:val="17"/>
                <w:szCs w:val="17"/>
                <w:color w:val="auto"/>
                <w:w w:val="92"/>
              </w:rPr>
              <w:t>Energy derivative liabilities not designated as hedging instruments</w:t>
            </w:r>
          </w:p>
        </w:tc>
        <w:tc>
          <w:tcPr>
            <w:tcW w:w="2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(7)</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disclosures: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280"/>
              <w:spacing w:after="0"/>
              <w:rPr>
                <w:sz w:val="20"/>
                <w:szCs w:val="20"/>
                <w:color w:val="auto"/>
              </w:rPr>
            </w:pPr>
            <w:r>
              <w:rPr>
                <w:rFonts w:ascii="Arial" w:cs="Arial" w:eastAsia="Arial" w:hAnsi="Arial"/>
                <w:sz w:val="17"/>
                <w:szCs w:val="17"/>
                <w:color w:val="auto"/>
              </w:rPr>
              <w:t>Long-term debt, including current portion</w:t>
            </w:r>
          </w:p>
        </w:tc>
        <w:tc>
          <w:tcPr>
            <w:tcW w:w="22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7"/>
                <w:szCs w:val="17"/>
                <w:color w:val="auto"/>
              </w:rPr>
              <w:t>(22,414)</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(23,330)</w:t>
            </w:r>
          </w:p>
        </w:tc>
        <w:tc>
          <w:tcPr>
            <w:tcW w:w="260" w:type="dxa"/>
            <w:vAlign w:val="bottom"/>
          </w:tcPr>
          <w:p>
            <w:pPr>
              <w:spacing w:after="0"/>
              <w:rPr>
                <w:sz w:val="20"/>
                <w:szCs w:val="20"/>
                <w:color w:val="auto"/>
              </w:rPr>
            </w:pP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(23,330)</w:t>
            </w:r>
          </w:p>
        </w:tc>
        <w:tc>
          <w:tcPr>
            <w:tcW w:w="26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9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Guarantees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4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931"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Methods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methods and assumptions in estimating the fair value of our financial instruments: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u w:val="single" w:color="auto"/>
          <w:color w:val="auto"/>
        </w:rPr>
        <w:t>ARO Trust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Transco deposits a portion of its collected rates, pursuant to its rate case settlement, into an external trust that is specifically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designated to fund future ARO’s. The ARO Trust invests in a portfolio of actively traded mutual funds that are measured at fair value on a recurring basis based on quoted prices in an active market and is reported in </w:t>
      </w:r>
      <w:r>
        <w:rPr>
          <w:rFonts w:ascii="Arial" w:cs="Arial" w:eastAsia="Arial" w:hAnsi="Arial"/>
          <w:sz w:val="18"/>
          <w:szCs w:val="18"/>
          <w:i w:val="1"/>
          <w:iCs w:val="1"/>
          <w:color w:val="auto"/>
        </w:rPr>
        <w:t>Regulatory assets, deferred charges, and other</w:t>
      </w:r>
      <w:r>
        <w:rPr>
          <w:rFonts w:ascii="Arial" w:cs="Arial" w:eastAsia="Arial" w:hAnsi="Arial"/>
          <w:sz w:val="18"/>
          <w:szCs w:val="18"/>
          <w:color w:val="auto"/>
        </w:rPr>
        <w:t xml:space="preserve"> in the Consolidated Balance Sheet. Both realized and unrealized gains and losses are ultimately recorded as regulatory assets or liabilities.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u w:val="single" w:color="auto"/>
          <w:color w:val="auto"/>
        </w:rPr>
        <w:t>Energy 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derivatives include commodity-based exchange-traded contracts and over-the-counter contracts, which consist of physical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forwards, futures, and swaps that are measured at fair value on a recurring basis. The fair value amounts are presented on a gross basis and do not reflect the netting of asset and liability positions permitted under the terms of our master netting arrangements. Further, the amounts do not include cash held on deposit in margin accounts that we have received or remitted to collateralize certain derivative positions. Energy derivative assets are reported in </w:t>
      </w:r>
      <w:r>
        <w:rPr>
          <w:rFonts w:ascii="Arial" w:cs="Arial" w:eastAsia="Arial" w:hAnsi="Arial"/>
          <w:sz w:val="17"/>
          <w:szCs w:val="17"/>
          <w:i w:val="1"/>
          <w:iCs w:val="1"/>
          <w:color w:val="auto"/>
        </w:rPr>
        <w:t>Other current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deferred charges </w:t>
      </w:r>
      <w:r>
        <w:rPr>
          <w:rFonts w:ascii="Arial" w:cs="Arial" w:eastAsia="Arial" w:hAnsi="Arial"/>
          <w:sz w:val="17"/>
          <w:szCs w:val="17"/>
          <w:color w:val="auto"/>
        </w:rPr>
        <w:t>and</w:t>
      </w:r>
      <w:r>
        <w:rPr>
          <w:rFonts w:ascii="Arial" w:cs="Arial" w:eastAsia="Arial" w:hAnsi="Arial"/>
          <w:sz w:val="17"/>
          <w:szCs w:val="17"/>
          <w:i w:val="1"/>
          <w:iCs w:val="1"/>
          <w:color w:val="auto"/>
        </w:rPr>
        <w:t xml:space="preserve"> Regulatory assets, deferred charges, and other </w:t>
      </w:r>
      <w:r>
        <w:rPr>
          <w:rFonts w:ascii="Arial" w:cs="Arial" w:eastAsia="Arial" w:hAnsi="Arial"/>
          <w:sz w:val="17"/>
          <w:szCs w:val="17"/>
          <w:color w:val="auto"/>
        </w:rPr>
        <w:t>in the Consolidated Balance Sheet. Energy derivative liabilities are reported in</w:t>
      </w:r>
      <w:r>
        <w:rPr>
          <w:rFonts w:ascii="Arial" w:cs="Arial" w:eastAsia="Arial" w:hAnsi="Arial"/>
          <w:sz w:val="17"/>
          <w:szCs w:val="17"/>
          <w:i w:val="1"/>
          <w:iCs w:val="1"/>
          <w:color w:val="auto"/>
        </w:rPr>
        <w:t xml:space="preserve"> Accrued liabilities </w:t>
      </w:r>
      <w:r>
        <w:rPr>
          <w:rFonts w:ascii="Arial" w:cs="Arial" w:eastAsia="Arial" w:hAnsi="Arial"/>
          <w:sz w:val="17"/>
          <w:szCs w:val="17"/>
          <w:color w:val="auto"/>
        </w:rPr>
        <w:t>and</w:t>
      </w:r>
      <w:r>
        <w:rPr>
          <w:rFonts w:ascii="Arial" w:cs="Arial" w:eastAsia="Arial" w:hAnsi="Arial"/>
          <w:sz w:val="17"/>
          <w:szCs w:val="17"/>
          <w:i w:val="1"/>
          <w:iCs w:val="1"/>
          <w:color w:val="auto"/>
        </w:rPr>
        <w:t xml:space="preserve"> Regulatory liabilities, deferred income, and other </w:t>
      </w:r>
      <w:r>
        <w:rPr>
          <w:rFonts w:ascii="Arial" w:cs="Arial" w:eastAsia="Arial" w:hAnsi="Arial"/>
          <w:sz w:val="17"/>
          <w:szCs w:val="17"/>
          <w:color w:val="auto"/>
        </w:rPr>
        <w:t>in the Consolidated Balance Sheet.</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Reclassifications of fair value between Level 1, Level 2, and Level 3 of the fair value hierarchy, if applicable, are made at the end of each quarter. No transfers between Level 1 and Level 2 occurred during the years ended December 31, 2019 or 2018.</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Additional fair value disclosures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u w:val="single" w:color="auto"/>
          <w:color w:val="auto"/>
        </w:rPr>
        <w:t>Long-term debt, including current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disclosed fair value of our long-term debt is determined primarily by a market approach using broker</w:t>
      </w:r>
      <w:r>
        <w:rPr>
          <w:rFonts w:ascii="Arial" w:cs="Arial" w:eastAsia="Arial" w:hAnsi="Arial"/>
          <w:sz w:val="18"/>
          <w:szCs w:val="18"/>
          <w:i w:val="1"/>
          <w:iCs w:val="1"/>
          <w:color w:val="auto"/>
        </w:rPr>
        <w:t xml:space="preserve"> </w:t>
      </w:r>
      <w:r>
        <w:rPr>
          <w:rFonts w:ascii="Arial" w:cs="Arial" w:eastAsia="Arial" w:hAnsi="Arial"/>
          <w:sz w:val="18"/>
          <w:szCs w:val="18"/>
          <w:color w:val="auto"/>
        </w:rPr>
        <w:t>quoted indicative period-end bond prices. The quoted prices are based on observable transactions in less active markets for our debt or similar instruments. The fair values of the financing obligations associated with our Dalton lateral and Atlantic Sunrise projects, which are included within long-term debt, were determined using an income approach (see Note 15 – Debt and Banking Arrangements).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u w:val="single" w:color="auto"/>
          <w:color w:val="auto"/>
        </w:rPr>
        <w:t>Guarantees</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Guarantees primarily consist of a guarantee we have provided in the event of nonpayment by our previously owned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Williams Communications Group (WilTel), on a lease performance obligation that extends through 2042. Guarantees also include an indemnification related to a disposed operation.</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To estimate the fair value of the WilTel guarantee, an estimated default rate is applied to the sum of the future contractual lease payments using an income approach. The estimated default rate is determined by obtaining the average cumulative issuer-weighted corporate default rate based on the credit rating of WilTel’s current owner and the term of the underlying obligation. The default rate is published by Moody’s Investors Service. The carrying value of the WilTel guarantee is reported in </w:t>
      </w:r>
      <w:r>
        <w:rPr>
          <w:rFonts w:ascii="Arial" w:cs="Arial" w:eastAsia="Arial" w:hAnsi="Arial"/>
          <w:sz w:val="17"/>
          <w:szCs w:val="17"/>
          <w:i w:val="1"/>
          <w:iCs w:val="1"/>
          <w:color w:val="auto"/>
        </w:rPr>
        <w:t>Accrued liabilities</w:t>
      </w:r>
      <w:r>
        <w:rPr>
          <w:rFonts w:ascii="Arial" w:cs="Arial" w:eastAsia="Arial" w:hAnsi="Arial"/>
          <w:sz w:val="17"/>
          <w:szCs w:val="17"/>
          <w:color w:val="auto"/>
        </w:rPr>
        <w:t xml:space="preserve"> in the Consolidated Balance Sheet. The maximum potential undiscounted exposure is approximately $28 million at December 31, 2019. Our exposure declines systematically through the remaining term of WilTel’s obligation.</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fair value of the guarantee associated with the indemnification related to a disposed operation was estimated using an income approach that considered probability-weighted scenarios of potential levels of future performance. The terms of the indemnification do not limit the maximum potential future payments associated with the guarantee. The carrying value of this guarantee is reported in </w:t>
      </w:r>
      <w:r>
        <w:rPr>
          <w:rFonts w:ascii="Arial" w:cs="Arial" w:eastAsia="Arial" w:hAnsi="Arial"/>
          <w:sz w:val="18"/>
          <w:szCs w:val="18"/>
          <w:i w:val="1"/>
          <w:iCs w:val="1"/>
          <w:color w:val="auto"/>
        </w:rPr>
        <w:t>Regulatory liabilities, deferred income, and other</w:t>
      </w:r>
      <w:r>
        <w:rPr>
          <w:rFonts w:ascii="Arial" w:cs="Arial" w:eastAsia="Arial" w:hAnsi="Arial"/>
          <w:sz w:val="18"/>
          <w:szCs w:val="18"/>
          <w:color w:val="auto"/>
        </w:rPr>
        <w:t xml:space="preserve"> in the Consolidated Balance Sheet.</w:t>
      </w:r>
    </w:p>
    <w:p>
      <w:pPr>
        <w:spacing w:after="0" w:line="1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by our revolving credit agreement to indemnify lenders for certain taxes required to be withheld from payments due to the lenders and for certain tax payments made by the lenders. The maximum potential amount of future payments under these indemnifications is based on the related borrowings and such future payments cannot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931" w:right="2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currently be determined. These indemnifications generally continue indefinitely unless limited by the underlying tax regulations and have no carrying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never been called upon to perform under these indemnifications and have no current expectation of a future claim.</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following table presents impairments of assets and equity-method investments associated with certain nonrecurring fair value measurements within Level 3 of the fair value hierarchy, except as specifically noted. Impairments of equity-method investments are reported in </w:t>
      </w:r>
      <w:r>
        <w:rPr>
          <w:rFonts w:ascii="Arial" w:cs="Arial" w:eastAsia="Arial" w:hAnsi="Arial"/>
          <w:sz w:val="18"/>
          <w:szCs w:val="18"/>
          <w:i w:val="1"/>
          <w:iCs w:val="1"/>
          <w:color w:val="auto"/>
        </w:rPr>
        <w:t>Other investing income (loss) – net</w:t>
      </w:r>
      <w:r>
        <w:rPr>
          <w:rFonts w:ascii="Arial" w:cs="Arial" w:eastAsia="Arial" w:hAnsi="Arial"/>
          <w:sz w:val="18"/>
          <w:szCs w:val="18"/>
          <w:color w:val="auto"/>
        </w:rPr>
        <w:t xml:space="preserve"> in the Consolidated Statement of Operations</w:t>
      </w:r>
      <w:r>
        <w:rPr>
          <w:rFonts w:ascii="Arial" w:cs="Arial" w:eastAsia="Arial" w:hAnsi="Arial"/>
          <w:sz w:val="18"/>
          <w:szCs w:val="18"/>
          <w:b w:val="1"/>
          <w:bCs w:val="1"/>
          <w:color w:val="auto"/>
        </w:rPr>
        <w:t>.</w:t>
      </w:r>
    </w:p>
    <w:p>
      <w:pPr>
        <w:sectPr>
          <w:pgSz w:w="11900" w:h="16838" w:orient="portrait"/>
          <w:cols w:equalWidth="0" w:num="1">
            <w:col w:w="11420"/>
          </w:cols>
          <w:pgMar w:left="240" w:top="9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Impairment of certain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pipeline project (1)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gathering assets (2)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gathering assets (2)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idle gathering assets (3)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gathering assets (4)</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idle pipeline assets (5)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gathering assets (6)</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gathering assets (7)</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NGL pipeline (8)</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Certain olefins pipeline project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impairments and write-downs (10)</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Impairment of certain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Impairment of equity-method investments: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Laurel Mountain (11)</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Appalachia Midstream Investments (12)</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Pennant (13)</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UEOM (14)</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UEOM (14)</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Impairment of equity-method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Date of</w:t>
      </w:r>
    </w:p>
    <w:p>
      <w:pPr>
        <w:spacing w:after="0" w:line="4" w:lineRule="exact"/>
        <w:rPr>
          <w:sz w:val="20"/>
          <w:szCs w:val="20"/>
          <w:color w:val="auto"/>
        </w:rPr>
      </w:pPr>
    </w:p>
    <w:p>
      <w:pPr>
        <w:ind w:left="200"/>
        <w:spacing w:after="0"/>
        <w:tabs>
          <w:tab w:leader="none" w:pos="1460" w:val="left"/>
        </w:tabs>
        <w:rPr>
          <w:sz w:val="20"/>
          <w:szCs w:val="20"/>
          <w:color w:val="auto"/>
        </w:rPr>
      </w:pPr>
      <w:r>
        <w:rPr>
          <w:rFonts w:ascii="Arial" w:cs="Arial" w:eastAsia="Arial" w:hAnsi="Arial"/>
          <w:sz w:val="14"/>
          <w:szCs w:val="14"/>
          <w:b w:val="1"/>
          <w:bCs w:val="1"/>
          <w:color w:val="auto"/>
        </w:rPr>
        <w:t>Segment</w:t>
      </w:r>
      <w:r>
        <w:rPr>
          <w:sz w:val="20"/>
          <w:szCs w:val="20"/>
          <w:color w:val="auto"/>
        </w:rPr>
        <w:tab/>
      </w:r>
      <w:r>
        <w:rPr>
          <w:rFonts w:ascii="Arial" w:cs="Arial" w:eastAsia="Arial" w:hAnsi="Arial"/>
          <w:sz w:val="14"/>
          <w:szCs w:val="14"/>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193675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13335</wp:posOffset>
            </wp:positionV>
            <wp:extent cx="17494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120" w:type="dxa"/>
            <w:vAlign w:val="bottom"/>
          </w:tcPr>
          <w:p>
            <w:pPr>
              <w:jc w:val="center"/>
              <w:ind w:right="103"/>
              <w:spacing w:after="0"/>
              <w:rPr>
                <w:sz w:val="20"/>
                <w:szCs w:val="20"/>
                <w:color w:val="auto"/>
              </w:rPr>
            </w:pPr>
            <w:r>
              <w:rPr>
                <w:rFonts w:ascii="Arial" w:cs="Arial" w:eastAsia="Arial" w:hAnsi="Arial"/>
                <w:sz w:val="15"/>
                <w:szCs w:val="15"/>
                <w:color w:val="auto"/>
              </w:rPr>
              <w:t>Atlantic-Gulf</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December 31,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87"/>
              </w:rPr>
              <w:t>West</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December 31,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87"/>
              </w:rPr>
              <w:t>West</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88"/>
              </w:rPr>
              <w:t>June 30,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87"/>
              </w:rPr>
              <w:t>West</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2"/>
              </w:rPr>
              <w:t>March 31,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87"/>
              </w:rPr>
              <w:t>West</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December 31, 2018</w:t>
            </w:r>
          </w:p>
        </w:tc>
      </w:tr>
      <w:tr>
        <w:trPr>
          <w:trHeight w:val="270"/>
        </w:trPr>
        <w:tc>
          <w:tcPr>
            <w:tcW w:w="1120" w:type="dxa"/>
            <w:vAlign w:val="bottom"/>
          </w:tcPr>
          <w:p>
            <w:pPr>
              <w:jc w:val="center"/>
              <w:ind w:right="123"/>
              <w:spacing w:after="0"/>
              <w:rPr>
                <w:sz w:val="20"/>
                <w:szCs w:val="20"/>
                <w:color w:val="auto"/>
              </w:rPr>
            </w:pPr>
            <w:r>
              <w:rPr>
                <w:rFonts w:ascii="Arial" w:cs="Arial" w:eastAsia="Arial" w:hAnsi="Arial"/>
                <w:sz w:val="15"/>
                <w:szCs w:val="15"/>
                <w:color w:val="auto"/>
                <w:w w:val="95"/>
              </w:rPr>
              <w:t>Other</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88"/>
              </w:rPr>
              <w:t>June 30, 2018</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87"/>
              </w:rPr>
              <w:t>West</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September 30, 2017</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September 30, 2017</w:t>
            </w:r>
          </w:p>
        </w:tc>
      </w:tr>
      <w:tr>
        <w:trPr>
          <w:trHeight w:val="270"/>
        </w:trPr>
        <w:tc>
          <w:tcPr>
            <w:tcW w:w="1120" w:type="dxa"/>
            <w:vAlign w:val="bottom"/>
          </w:tcPr>
          <w:p>
            <w:pPr>
              <w:jc w:val="center"/>
              <w:ind w:right="123"/>
              <w:spacing w:after="0"/>
              <w:rPr>
                <w:sz w:val="20"/>
                <w:szCs w:val="20"/>
                <w:color w:val="auto"/>
              </w:rPr>
            </w:pPr>
            <w:r>
              <w:rPr>
                <w:rFonts w:ascii="Arial" w:cs="Arial" w:eastAsia="Arial" w:hAnsi="Arial"/>
                <w:sz w:val="15"/>
                <w:szCs w:val="15"/>
                <w:color w:val="auto"/>
                <w:w w:val="95"/>
              </w:rPr>
              <w:t>Other</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September 30, 2017</w:t>
            </w:r>
          </w:p>
        </w:tc>
      </w:tr>
      <w:tr>
        <w:trPr>
          <w:trHeight w:val="270"/>
        </w:trPr>
        <w:tc>
          <w:tcPr>
            <w:tcW w:w="1120" w:type="dxa"/>
            <w:vAlign w:val="bottom"/>
          </w:tcPr>
          <w:p>
            <w:pPr>
              <w:jc w:val="center"/>
              <w:ind w:right="123"/>
              <w:spacing w:after="0"/>
              <w:rPr>
                <w:sz w:val="20"/>
                <w:szCs w:val="20"/>
                <w:color w:val="auto"/>
              </w:rPr>
            </w:pPr>
            <w:r>
              <w:rPr>
                <w:rFonts w:ascii="Arial" w:cs="Arial" w:eastAsia="Arial" w:hAnsi="Arial"/>
                <w:sz w:val="15"/>
                <w:szCs w:val="15"/>
                <w:color w:val="auto"/>
                <w:w w:val="95"/>
              </w:rPr>
              <w:t>Other</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88"/>
              </w:rPr>
              <w:t>June 30, 2017</w:t>
            </w:r>
          </w:p>
        </w:tc>
      </w:tr>
      <w:tr>
        <w:trPr>
          <w:trHeight w:val="1121"/>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September 30,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September 30,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103"/>
              <w:spacing w:after="0"/>
              <w:rPr>
                <w:sz w:val="20"/>
                <w:szCs w:val="20"/>
                <w:color w:val="auto"/>
              </w:rPr>
            </w:pPr>
            <w:r>
              <w:rPr>
                <w:rFonts w:ascii="Arial" w:cs="Arial" w:eastAsia="Arial" w:hAnsi="Arial"/>
                <w:sz w:val="15"/>
                <w:szCs w:val="15"/>
                <w:color w:val="auto"/>
                <w:w w:val="93"/>
              </w:rPr>
              <w:t>August 31,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2"/>
              </w:rPr>
              <w:t>March 17, 2019</w:t>
            </w:r>
          </w:p>
        </w:tc>
      </w:tr>
      <w:tr>
        <w:trPr>
          <w:trHeight w:val="270"/>
        </w:trPr>
        <w:tc>
          <w:tcPr>
            <w:tcW w:w="1120" w:type="dxa"/>
            <w:vAlign w:val="bottom"/>
          </w:tcPr>
          <w:p>
            <w:pPr>
              <w:jc w:val="center"/>
              <w:ind w:right="103"/>
              <w:spacing w:after="0"/>
              <w:rPr>
                <w:sz w:val="20"/>
                <w:szCs w:val="20"/>
                <w:color w:val="auto"/>
              </w:rPr>
            </w:pPr>
            <w:r>
              <w:rPr>
                <w:rFonts w:ascii="Arial" w:cs="Arial" w:eastAsia="Arial" w:hAnsi="Arial"/>
                <w:sz w:val="15"/>
                <w:szCs w:val="15"/>
                <w:color w:val="auto"/>
                <w:w w:val="93"/>
              </w:rPr>
              <w:t>Northeast G&amp;P</w:t>
            </w:r>
          </w:p>
        </w:tc>
        <w:tc>
          <w:tcPr>
            <w:tcW w:w="1400" w:type="dxa"/>
            <w:vAlign w:val="bottom"/>
          </w:tcPr>
          <w:p>
            <w:pPr>
              <w:jc w:val="center"/>
              <w:ind w:left="83"/>
              <w:spacing w:after="0"/>
              <w:rPr>
                <w:sz w:val="20"/>
                <w:szCs w:val="20"/>
                <w:color w:val="auto"/>
              </w:rPr>
            </w:pPr>
            <w:r>
              <w:rPr>
                <w:rFonts w:ascii="Arial" w:cs="Arial" w:eastAsia="Arial" w:hAnsi="Arial"/>
                <w:sz w:val="15"/>
                <w:szCs w:val="15"/>
                <w:color w:val="auto"/>
                <w:w w:val="91"/>
              </w:rPr>
              <w:t>December 31,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-2935605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-2592705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-2249805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-1906905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-1563370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-1220470</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-852170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-508635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-165735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176530</wp:posOffset>
            </wp:positionV>
            <wp:extent cx="7246620"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left="-699"/>
        <w:spacing w:after="0"/>
        <w:rPr>
          <w:sz w:val="20"/>
          <w:szCs w:val="20"/>
          <w:color w:val="auto"/>
        </w:rPr>
      </w:pPr>
      <w:r>
        <w:rPr>
          <w:rFonts w:ascii="Arial" w:cs="Arial" w:eastAsia="Arial" w:hAnsi="Arial"/>
          <w:sz w:val="14"/>
          <w:szCs w:val="14"/>
          <w:b w:val="1"/>
          <w:bCs w:val="1"/>
          <w:color w:val="auto"/>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23495</wp:posOffset>
            </wp:positionV>
            <wp:extent cx="1800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jc w:val="center"/>
        <w:ind w:left="-69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23495</wp:posOffset>
            </wp:positionV>
            <wp:extent cx="1800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r>
      <w:tr>
        <w:trPr>
          <w:trHeight w:val="258"/>
        </w:trPr>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7"/>
              </w:rPr>
              <w:t>(Millions)</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521"/>
        </w:trPr>
        <w:tc>
          <w:tcPr>
            <w:tcW w:w="280" w:type="dxa"/>
            <w:vAlign w:val="bottom"/>
          </w:tcPr>
          <w:p>
            <w:pPr>
              <w:jc w:val="right"/>
              <w:ind w:right="81"/>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23"/>
                <w:szCs w:val="23"/>
                <w:color w:val="auto"/>
              </w:rPr>
            </w:pP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23"/>
                <w:szCs w:val="23"/>
                <w:color w:val="auto"/>
              </w:rPr>
            </w:pP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470</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1,849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25</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439</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1,019</w:t>
            </w: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115</w:t>
            </w: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68</w:t>
            </w:r>
          </w:p>
        </w:tc>
      </w:tr>
      <w:tr>
        <w:trPr>
          <w:trHeight w:val="270"/>
        </w:trPr>
        <w:tc>
          <w:tcPr>
            <w:tcW w:w="2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270"/>
        </w:trPr>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23</w:t>
            </w:r>
          </w:p>
        </w:tc>
      </w:tr>
      <w:tr>
        <w:trPr>
          <w:trHeight w:val="31"/>
        </w:trPr>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9"/>
        </w:trPr>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8"/>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ind w:right="17"/>
              <w:spacing w:after="0"/>
              <w:rPr>
                <w:sz w:val="20"/>
                <w:szCs w:val="20"/>
                <w:color w:val="auto"/>
              </w:rPr>
            </w:pPr>
            <w:r>
              <w:rPr>
                <w:rFonts w:ascii="Arial" w:cs="Arial" w:eastAsia="Arial" w:hAnsi="Arial"/>
                <w:sz w:val="17"/>
                <w:szCs w:val="17"/>
                <w:color w:val="auto"/>
              </w:rPr>
              <w:t>1,915</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1,248</w:t>
            </w:r>
          </w:p>
        </w:tc>
      </w:tr>
      <w:tr>
        <w:trPr>
          <w:trHeight w:val="31"/>
        </w:trPr>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20"/>
        <w:spacing w:after="0"/>
        <w:tabs>
          <w:tab w:leader="none" w:pos="420" w:val="left"/>
          <w:tab w:leader="none" w:pos="920" w:val="left"/>
          <w:tab w:leader="none" w:pos="14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242</w:t>
        <w:tab/>
        <w:t>$</w:t>
      </w:r>
      <w:r>
        <w:rPr>
          <w:sz w:val="20"/>
          <w:szCs w:val="20"/>
          <w:color w:val="auto"/>
        </w:rPr>
        <w:tab/>
      </w:r>
      <w:r>
        <w:rPr>
          <w:rFonts w:ascii="Arial" w:cs="Arial" w:eastAsia="Arial" w:hAnsi="Arial"/>
          <w:sz w:val="16"/>
          <w:szCs w:val="16"/>
          <w:color w:val="auto"/>
        </w:rPr>
        <w:t>79</w:t>
      </w:r>
    </w:p>
    <w:p>
      <w:pPr>
        <w:spacing w:after="0" w:line="75" w:lineRule="exact"/>
        <w:rPr>
          <w:sz w:val="20"/>
          <w:szCs w:val="20"/>
          <w:color w:val="auto"/>
        </w:rPr>
      </w:pPr>
    </w:p>
    <w:p>
      <w:pPr>
        <w:ind w:left="1420" w:hanging="989"/>
        <w:spacing w:after="0"/>
        <w:tabs>
          <w:tab w:leader="none" w:pos="1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17</w:t>
      </w:r>
    </w:p>
    <w:p>
      <w:pPr>
        <w:spacing w:after="0" w:line="74" w:lineRule="exact"/>
        <w:rPr>
          <w:rFonts w:ascii="Arial" w:cs="Arial" w:eastAsia="Arial" w:hAnsi="Arial"/>
          <w:sz w:val="17"/>
          <w:szCs w:val="17"/>
          <w:color w:val="auto"/>
        </w:rPr>
      </w:pPr>
    </w:p>
    <w:p>
      <w:pPr>
        <w:ind w:left="1420" w:hanging="897"/>
        <w:spacing w:after="0"/>
        <w:tabs>
          <w:tab w:leader="none" w:pos="1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17</w:t>
      </w:r>
    </w:p>
    <w:p>
      <w:pPr>
        <w:spacing w:after="0" w:line="75" w:lineRule="exact"/>
        <w:rPr>
          <w:sz w:val="20"/>
          <w:szCs w:val="20"/>
          <w:color w:val="auto"/>
        </w:rPr>
      </w:pPr>
    </w:p>
    <w:p>
      <w:pPr>
        <w:ind w:left="300"/>
        <w:spacing w:after="0"/>
        <w:tabs>
          <w:tab w:leader="none" w:pos="1400" w:val="left"/>
        </w:tabs>
        <w:rPr>
          <w:sz w:val="20"/>
          <w:szCs w:val="20"/>
          <w:color w:val="auto"/>
        </w:rPr>
      </w:pPr>
      <w:r>
        <w:rPr>
          <w:rFonts w:ascii="Arial" w:cs="Arial" w:eastAsia="Arial" w:hAnsi="Arial"/>
          <w:sz w:val="17"/>
          <w:szCs w:val="17"/>
          <w:color w:val="auto"/>
        </w:rPr>
        <w:t>1,210</w:t>
      </w:r>
      <w:r>
        <w:rPr>
          <w:sz w:val="20"/>
          <w:szCs w:val="20"/>
          <w:color w:val="auto"/>
        </w:rPr>
        <w:tab/>
      </w:r>
      <w:r>
        <w:rPr>
          <w:rFonts w:ascii="Arial" w:cs="Arial" w:eastAsia="Arial" w:hAnsi="Arial"/>
          <w:sz w:val="17"/>
          <w:szCs w:val="17"/>
          <w:color w:val="auto"/>
        </w:rPr>
        <w:t>74</w:t>
      </w:r>
    </w:p>
    <w:p>
      <w:pPr>
        <w:spacing w:after="0" w:line="75" w:lineRule="exact"/>
        <w:rPr>
          <w:sz w:val="20"/>
          <w:szCs w:val="20"/>
          <w:color w:val="auto"/>
        </w:rPr>
      </w:pPr>
    </w:p>
    <w:p>
      <w:pPr>
        <w:ind w:left="300"/>
        <w:spacing w:after="0"/>
        <w:tabs>
          <w:tab w:leader="none" w:pos="1820" w:val="left"/>
          <w:tab w:leader="none" w:pos="2300" w:val="left"/>
        </w:tabs>
        <w:rPr>
          <w:sz w:val="20"/>
          <w:szCs w:val="20"/>
          <w:color w:val="auto"/>
        </w:rPr>
      </w:pPr>
      <w:r>
        <w:rPr>
          <w:rFonts w:ascii="Arial" w:cs="Arial" w:eastAsia="Arial" w:hAnsi="Arial"/>
          <w:sz w:val="17"/>
          <w:szCs w:val="17"/>
          <w:color w:val="auto"/>
        </w:rPr>
        <w:t>1,293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32</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w:t>
      </w:r>
    </w:p>
    <w:p>
      <w:pPr>
        <w:spacing w:after="0" w:line="75" w:lineRule="exact"/>
        <w:rPr>
          <w:sz w:val="20"/>
          <w:szCs w:val="20"/>
          <w:color w:val="auto"/>
        </w:rPr>
      </w:pPr>
    </w:p>
    <w:p>
      <w:pPr>
        <w:ind w:left="940"/>
        <w:spacing w:after="0"/>
        <w:tabs>
          <w:tab w:leader="none" w:pos="1320" w:val="left"/>
          <w:tab w:leader="none" w:pos="1820" w:val="left"/>
          <w:tab w:leader="none" w:pos="2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186</w:t>
        <w:tab/>
        <w:t>$</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50165</wp:posOffset>
            </wp:positionV>
            <wp:extent cx="1080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60" w:space="720"/>
            <w:col w:w="2520" w:space="180"/>
            <w:col w:w="3740"/>
          </w:cols>
          <w:pgMar w:left="240" w:top="932" w:right="2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20" w:hanging="412"/>
        <w:spacing w:after="0" w:line="261" w:lineRule="auto"/>
        <w:tabs>
          <w:tab w:leader="none" w:pos="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Relates to the Constitution development project. The estimated fair value of the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was based on probability-weighted third-party quotes. See Note 4 – Variable Interest Entities for further discussion.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932" w:right="2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20" w:hanging="412"/>
        <w:spacing w:after="0" w:line="276"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Relates to a gas gathering system in the Eagle Ford region with expected declines in asset utilization and possible idling of the gathering system. We designated these operations as held for sale, included in </w:t>
      </w:r>
      <w:r>
        <w:rPr>
          <w:rFonts w:ascii="Arial" w:cs="Arial" w:eastAsia="Arial" w:hAnsi="Arial"/>
          <w:sz w:val="17"/>
          <w:szCs w:val="17"/>
          <w:i w:val="1"/>
          <w:iCs w:val="1"/>
          <w:color w:val="auto"/>
        </w:rPr>
        <w:t>Other current assets and deferred charges</w:t>
      </w:r>
      <w:r>
        <w:rPr>
          <w:rFonts w:ascii="Arial" w:cs="Arial" w:eastAsia="Arial" w:hAnsi="Arial"/>
          <w:sz w:val="17"/>
          <w:szCs w:val="17"/>
          <w:color w:val="auto"/>
        </w:rPr>
        <w:t xml:space="preserve">, as of December 31, 2019. As a result, we measured the fair value of the disposal group using the expected sales price under a contract with a third party. These inputs resulted in a fair value measurement within Level 2 of the fair value hierarchy. The estimated fair value of the </w:t>
      </w:r>
      <w:r>
        <w:rPr>
          <w:rFonts w:ascii="Arial" w:cs="Arial" w:eastAsia="Arial" w:hAnsi="Arial"/>
          <w:sz w:val="17"/>
          <w:szCs w:val="17"/>
          <w:i w:val="1"/>
          <w:iCs w:val="1"/>
          <w:color w:val="auto"/>
        </w:rPr>
        <w:t>Property, plant, and equipment – net</w:t>
      </w:r>
      <w:r>
        <w:rPr>
          <w:rFonts w:ascii="Arial" w:cs="Arial" w:eastAsia="Arial" w:hAnsi="Arial"/>
          <w:sz w:val="17"/>
          <w:szCs w:val="17"/>
          <w:color w:val="auto"/>
        </w:rPr>
        <w:t xml:space="preserve"> at June 30, 2019, was determined using a market approach, which incorporated indications of interest from third parties.</w:t>
      </w:r>
    </w:p>
    <w:p>
      <w:pPr>
        <w:spacing w:after="0" w:line="172" w:lineRule="exact"/>
        <w:rPr>
          <w:rFonts w:ascii="Arial" w:cs="Arial" w:eastAsia="Arial" w:hAnsi="Arial"/>
          <w:sz w:val="17"/>
          <w:szCs w:val="17"/>
          <w:color w:val="auto"/>
        </w:rPr>
      </w:pPr>
    </w:p>
    <w:p>
      <w:pPr>
        <w:ind w:left="420" w:hanging="412"/>
        <w:spacing w:after="0" w:line="277" w:lineRule="auto"/>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Reflects impairment of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that is no longer in use for which the fair value was determined to be lower than the carrying value.</w:t>
      </w:r>
    </w:p>
    <w:p>
      <w:pPr>
        <w:spacing w:after="0" w:line="170" w:lineRule="exact"/>
        <w:rPr>
          <w:rFonts w:ascii="Arial" w:cs="Arial" w:eastAsia="Arial" w:hAnsi="Arial"/>
          <w:sz w:val="18"/>
          <w:szCs w:val="18"/>
          <w:color w:val="auto"/>
        </w:rPr>
      </w:pPr>
    </w:p>
    <w:p>
      <w:pPr>
        <w:jc w:val="both"/>
        <w:ind w:left="420" w:hanging="412"/>
        <w:spacing w:after="0" w:line="290"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Relates to our gathering operations in the Barnett Shale. Certain of our contractual gathering rates, primarily those in the Barnett Shale, are based on a percentage of the New York Mercantile Exchange (NYMEX) natural gas prices. During the fourth quarter of 2018, we determined there was a sustained decline in the forward price curves for natural gas. During this same period, a large producer customer in the Barnett Shale removed their remaining drilling rig. These factors gave rise to an impairment evaluation of these assets, which incorporated management’s projections of future drilling activity and gathering rates, taking into consideration the information previously noted as well as recently available information regarding producer drilling cost assumptions in the basin. The resulting estimate of future undiscounted cash flows was less than our carrying value, necessitating the estimation of the fair value of the </w:t>
      </w:r>
      <w:r>
        <w:rPr>
          <w:rFonts w:ascii="Arial" w:cs="Arial" w:eastAsia="Arial" w:hAnsi="Arial"/>
          <w:sz w:val="16"/>
          <w:szCs w:val="16"/>
          <w:i w:val="1"/>
          <w:iCs w:val="1"/>
          <w:color w:val="auto"/>
        </w:rPr>
        <w:t>Property, plant, and equipment – net</w:t>
      </w:r>
      <w:r>
        <w:rPr>
          <w:rFonts w:ascii="Arial" w:cs="Arial" w:eastAsia="Arial" w:hAnsi="Arial"/>
          <w:sz w:val="16"/>
          <w:szCs w:val="16"/>
          <w:color w:val="auto"/>
        </w:rPr>
        <w:t xml:space="preserve"> and </w:t>
      </w:r>
      <w:r>
        <w:rPr>
          <w:rFonts w:ascii="Arial" w:cs="Arial" w:eastAsia="Arial" w:hAnsi="Arial"/>
          <w:sz w:val="16"/>
          <w:szCs w:val="16"/>
          <w:i w:val="1"/>
          <w:iCs w:val="1"/>
          <w:color w:val="auto"/>
        </w:rPr>
        <w:t>Intangible assets – net of accumulated amortization</w:t>
      </w:r>
      <w:r>
        <w:rPr>
          <w:rFonts w:ascii="Arial" w:cs="Arial" w:eastAsia="Arial" w:hAnsi="Arial"/>
          <w:sz w:val="16"/>
          <w:szCs w:val="16"/>
          <w:color w:val="auto"/>
        </w:rPr>
        <w:t>. To arrive at the fair value, we utilized an income approach with a discount rate of 8.5 percent, reflecting an estimated cost of capital and risks associated with the underlying assets.</w:t>
      </w:r>
    </w:p>
    <w:p>
      <w:pPr>
        <w:spacing w:after="0" w:line="166" w:lineRule="exact"/>
        <w:rPr>
          <w:rFonts w:ascii="Arial" w:cs="Arial" w:eastAsia="Arial" w:hAnsi="Arial"/>
          <w:sz w:val="16"/>
          <w:szCs w:val="16"/>
          <w:color w:val="auto"/>
        </w:rPr>
      </w:pPr>
    </w:p>
    <w:p>
      <w:pPr>
        <w:jc w:val="both"/>
        <w:ind w:left="420" w:hanging="412"/>
        <w:spacing w:after="0" w:line="259" w:lineRule="auto"/>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Relates to certain idle pipelines. The estimated fair value of the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was determined by a market approach incorporating information derived from bids received for these assets, which we marketed for sale together with certain other assets. These inputs resulted in a fair value measurement within Level 2 of the fair value hierarchy. We sold these assets in the fourth quarter of 2018. (See Note 3 – Acquisitions and Divestitures.)</w:t>
      </w:r>
    </w:p>
    <w:p>
      <w:pPr>
        <w:spacing w:after="0" w:line="186" w:lineRule="exact"/>
        <w:rPr>
          <w:rFonts w:ascii="Arial" w:cs="Arial" w:eastAsia="Arial" w:hAnsi="Arial"/>
          <w:sz w:val="18"/>
          <w:szCs w:val="18"/>
          <w:color w:val="auto"/>
        </w:rPr>
      </w:pPr>
    </w:p>
    <w:p>
      <w:pPr>
        <w:jc w:val="both"/>
        <w:ind w:left="420" w:hanging="412"/>
        <w:spacing w:after="0" w:line="291" w:lineRule="auto"/>
        <w:tabs>
          <w:tab w:leader="none" w:pos="4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Relates to certain gathering operations in the Mid-Continent region. During the third quarter of 2017, we received solicitations and engaged in negotiations for the sale of certain of these assets which led to our impairment evaluation. The estimated fair value of the </w:t>
      </w:r>
      <w:r>
        <w:rPr>
          <w:rFonts w:ascii="Arial" w:cs="Arial" w:eastAsia="Arial" w:hAnsi="Arial"/>
          <w:sz w:val="16"/>
          <w:szCs w:val="16"/>
          <w:i w:val="1"/>
          <w:iCs w:val="1"/>
          <w:color w:val="auto"/>
        </w:rPr>
        <w:t>Property, plant, and equipment</w:t>
      </w:r>
    </w:p>
    <w:p>
      <w:pPr>
        <w:jc w:val="both"/>
        <w:ind w:left="420"/>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 xml:space="preserve">– net </w:t>
      </w:r>
      <w:r>
        <w:rPr>
          <w:rFonts w:ascii="Arial" w:cs="Arial" w:eastAsia="Arial" w:hAnsi="Arial"/>
          <w:sz w:val="18"/>
          <w:szCs w:val="18"/>
          <w:color w:val="auto"/>
        </w:rPr>
        <w:t>and</w:t>
      </w:r>
      <w:r>
        <w:rPr>
          <w:rFonts w:ascii="Arial" w:cs="Arial" w:eastAsia="Arial" w:hAnsi="Arial"/>
          <w:sz w:val="18"/>
          <w:szCs w:val="18"/>
          <w:i w:val="1"/>
          <w:iCs w:val="1"/>
          <w:color w:val="auto"/>
        </w:rPr>
        <w:t xml:space="preserve"> Intangible assets – net of accumulated amortization </w:t>
      </w:r>
      <w:r>
        <w:rPr>
          <w:rFonts w:ascii="Arial" w:cs="Arial" w:eastAsia="Arial" w:hAnsi="Arial"/>
          <w:sz w:val="18"/>
          <w:szCs w:val="18"/>
          <w:color w:val="auto"/>
        </w:rPr>
        <w:t>was determined using an income approach and incorporated market inputs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negotiations for a potential sale of a portion of the underlying assets. For the income approach, we utilized a discount rate of 10.2 percent, reflecting an estimated cost of capital and risks associated with the underlying assets.</w:t>
      </w:r>
    </w:p>
    <w:p>
      <w:pPr>
        <w:spacing w:after="0" w:line="190" w:lineRule="exact"/>
        <w:rPr>
          <w:rFonts w:ascii="Arial" w:cs="Arial" w:eastAsia="Arial" w:hAnsi="Arial"/>
          <w:sz w:val="16"/>
          <w:szCs w:val="16"/>
          <w:color w:val="auto"/>
        </w:rPr>
      </w:pPr>
    </w:p>
    <w:p>
      <w:pPr>
        <w:jc w:val="both"/>
        <w:ind w:left="420" w:hanging="412"/>
        <w:spacing w:after="0" w:line="259" w:lineRule="auto"/>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Relates to certain gathering operations in the Marcellus South region resulting from an anticipated decline in future volumes following a third-quarter 2017 shut-in by the primary producer. The estimated fair value of the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Intangible assets – net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amortization </w:t>
      </w:r>
      <w:r>
        <w:rPr>
          <w:rFonts w:ascii="Arial" w:cs="Arial" w:eastAsia="Arial" w:hAnsi="Arial"/>
          <w:sz w:val="18"/>
          <w:szCs w:val="18"/>
          <w:color w:val="auto"/>
        </w:rPr>
        <w:t>was determined by the income approach utilizing a discount rate of 11.1 percent, reflecting an estimated cost of capital and risks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underlying assets.</w:t>
      </w:r>
    </w:p>
    <w:p>
      <w:pPr>
        <w:spacing w:after="0" w:line="186" w:lineRule="exact"/>
        <w:rPr>
          <w:rFonts w:ascii="Arial" w:cs="Arial" w:eastAsia="Arial" w:hAnsi="Arial"/>
          <w:sz w:val="18"/>
          <w:szCs w:val="18"/>
          <w:color w:val="auto"/>
        </w:rPr>
      </w:pPr>
    </w:p>
    <w:p>
      <w:pPr>
        <w:jc w:val="both"/>
        <w:ind w:left="420" w:hanging="412"/>
        <w:spacing w:after="0" w:line="286" w:lineRule="auto"/>
        <w:tabs>
          <w:tab w:leader="none" w:pos="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Relates to an NGL pipeline near the Houston Ship Channel region which we anticipated would be underutilized for the foreseeable future. The estimated fair value of the </w:t>
      </w:r>
      <w:r>
        <w:rPr>
          <w:rFonts w:ascii="Arial" w:cs="Arial" w:eastAsia="Arial" w:hAnsi="Arial"/>
          <w:sz w:val="17"/>
          <w:szCs w:val="17"/>
          <w:i w:val="1"/>
          <w:iCs w:val="1"/>
          <w:color w:val="auto"/>
        </w:rPr>
        <w:t>Property, plant, and equipment – net</w:t>
      </w:r>
      <w:r>
        <w:rPr>
          <w:rFonts w:ascii="Arial" w:cs="Arial" w:eastAsia="Arial" w:hAnsi="Arial"/>
          <w:sz w:val="17"/>
          <w:szCs w:val="17"/>
          <w:color w:val="auto"/>
        </w:rPr>
        <w:t xml:space="preserve"> was primarily determined by using a market approach based on our analysis of observable inputs in the principal market. We sold these assets in the fourth quarter of 2018. (See Note 3 – Acquisitions and Divestitures.)</w:t>
      </w:r>
    </w:p>
    <w:p>
      <w:pPr>
        <w:spacing w:after="0" w:line="165" w:lineRule="exact"/>
        <w:rPr>
          <w:rFonts w:ascii="Arial" w:cs="Arial" w:eastAsia="Arial" w:hAnsi="Arial"/>
          <w:sz w:val="17"/>
          <w:szCs w:val="17"/>
          <w:color w:val="auto"/>
        </w:rPr>
      </w:pPr>
    </w:p>
    <w:p>
      <w:pPr>
        <w:jc w:val="both"/>
        <w:ind w:left="420" w:hanging="412"/>
        <w:spacing w:after="0" w:line="264" w:lineRule="auto"/>
        <w:tabs>
          <w:tab w:leader="none" w:pos="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Relates primarily to project development costs associated with an olefins pipeline project in the Gulf Coast region, where we consider the likelihood of completion to be remote. The estimated fair value of the remaining </w:t>
      </w:r>
      <w:r>
        <w:rPr>
          <w:rFonts w:ascii="Arial" w:cs="Arial" w:eastAsia="Arial" w:hAnsi="Arial"/>
          <w:sz w:val="18"/>
          <w:szCs w:val="18"/>
          <w:i w:val="1"/>
          <w:iCs w:val="1"/>
          <w:color w:val="auto"/>
        </w:rPr>
        <w:t>Property, plant, and equipment – net</w:t>
      </w:r>
      <w:r>
        <w:rPr>
          <w:rFonts w:ascii="Arial" w:cs="Arial" w:eastAsia="Arial" w:hAnsi="Arial"/>
          <w:sz w:val="18"/>
          <w:szCs w:val="18"/>
          <w:color w:val="auto"/>
        </w:rPr>
        <w:t xml:space="preserve"> considered a market approach based on our analysis of observable inputs in the principal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93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market, as well as an estimate of replacement cost. We sold these assets in the fourth quarter of 2018. (See Note 3 – Acquisitions and Divestitures.)</w:t>
      </w:r>
    </w:p>
    <w:p>
      <w:pPr>
        <w:spacing w:after="0" w:line="237" w:lineRule="exact"/>
        <w:rPr>
          <w:sz w:val="20"/>
          <w:szCs w:val="20"/>
          <w:color w:val="auto"/>
        </w:rPr>
      </w:pPr>
    </w:p>
    <w:p>
      <w:pPr>
        <w:ind w:left="420" w:right="20" w:hanging="412"/>
        <w:spacing w:after="0" w:line="277"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Reflects multiple individually insignificant impairments and write-downs of other certain assets that may no longer be in use or are surplus in nature for which the fair value was determined to be lower than the carrying value.</w:t>
      </w:r>
    </w:p>
    <w:p>
      <w:pPr>
        <w:spacing w:after="0" w:line="170"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Relates to a gas gathering system in the Marcellus region that was adversely impacted by lower sustained forward natural gas price expectations and changes in expected producer activity. The estimated fair value was determined using an income approach. We utilized a discount rate of 10.2 percent in our analysis.</w:t>
      </w:r>
    </w:p>
    <w:p>
      <w:pPr>
        <w:spacing w:after="0" w:line="181" w:lineRule="exact"/>
        <w:rPr>
          <w:rFonts w:ascii="Arial" w:cs="Arial" w:eastAsia="Arial" w:hAnsi="Arial"/>
          <w:sz w:val="18"/>
          <w:szCs w:val="18"/>
          <w:color w:val="auto"/>
        </w:rPr>
      </w:pPr>
    </w:p>
    <w:p>
      <w:pPr>
        <w:ind w:left="420" w:right="20" w:hanging="412"/>
        <w:spacing w:after="0" w:line="342" w:lineRule="auto"/>
        <w:tabs>
          <w:tab w:leader="none" w:pos="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Relates to a certain gathering system held in Appalachia Midstream Investments that was adversely impacted by changes in the timing of expected producer activity. The estimated fair value was determined using an income approach. We utilized a discount rate of 9.0 percent in our analysis.</w:t>
      </w:r>
    </w:p>
    <w:p>
      <w:pPr>
        <w:spacing w:after="0" w:line="123" w:lineRule="exact"/>
        <w:rPr>
          <w:rFonts w:ascii="Arial" w:cs="Arial" w:eastAsia="Arial" w:hAnsi="Arial"/>
          <w:sz w:val="16"/>
          <w:szCs w:val="16"/>
          <w:color w:val="auto"/>
        </w:rPr>
      </w:pPr>
    </w:p>
    <w:p>
      <w:pPr>
        <w:ind w:left="420" w:right="20" w:hanging="412"/>
        <w:spacing w:after="0" w:line="277"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estimated fair value of Pennant Midstream, LLC (“Pennant”) was determined by a market approach based on recent observable third-party transactions. These inputs resulted in a fair value measurement within Level 2 of the fair value hierarchy.</w:t>
      </w:r>
    </w:p>
    <w:p>
      <w:pPr>
        <w:spacing w:after="0" w:line="170"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estimated fair value at March 17, 2019, was determined by a market approach based on the transaction price for the purchase of the remaining interest in UEOM as finalized just prior to the signing and closing of the acquisition in March 2019 (see Note 3 – Acquisitions and Divestitures). These inputs resulted in a fair value measurement within Level 2 of the fair value hierarchy. The estimated fair value at December 31, 2018, was determined by a market approach based on our analysis of inputs in the principal market.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concentration of receivables, net of allowances: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196"/>
        </w:trPr>
        <w:tc>
          <w:tcPr>
            <w:tcW w:w="8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gridSpan w:val="3"/>
          </w:tcPr>
          <w:p>
            <w:pPr>
              <w:ind w:left="280"/>
              <w:spacing w:after="0"/>
              <w:rPr>
                <w:sz w:val="20"/>
                <w:szCs w:val="20"/>
                <w:color w:val="auto"/>
              </w:rPr>
            </w:pPr>
            <w:r>
              <w:rPr>
                <w:rFonts w:ascii="Arial" w:cs="Arial" w:eastAsia="Arial" w:hAnsi="Arial"/>
                <w:sz w:val="14"/>
                <w:szCs w:val="14"/>
                <w:b w:val="1"/>
                <w:bCs w:val="1"/>
                <w:color w:val="auto"/>
              </w:rPr>
              <w:t>(Millions)</w:t>
            </w:r>
          </w:p>
        </w:tc>
        <w:tc>
          <w:tcPr>
            <w:tcW w:w="108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NGLs, natural gas, and related products and services</w:t>
            </w:r>
          </w:p>
        </w:tc>
        <w:tc>
          <w:tcPr>
            <w:tcW w:w="108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Transportation of natural gas and related products</w:t>
            </w:r>
          </w:p>
        </w:tc>
        <w:tc>
          <w:tcPr>
            <w:tcW w:w="108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232</w:t>
            </w: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Receivable related to revenues from contracts with customers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w:t>
            </w: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rPr>
              <w:t>Trade accounts and other receivables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Customers include producers, distribution companies, industrial users, gas marketers, and pipelines primarily located in the continental United States. As a general policy, collateral is not required for receivables, but customers’ financial condition and credit worthiness are evaluated regularly. Based upon this evaluation, we may obtain collateral to support receivables.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2019, 2018, and 2017, Chesapeake Energy Corporation, and its affiliates, a customer currently primarily within our West segment, accounted for approximately 6 percent, 8 percent, and 10 percent, respectively, of our consolidated revenues, and as of December 31, 2019, accounted for $78 million of the consolidated </w:t>
      </w:r>
      <w:r>
        <w:rPr>
          <w:rFonts w:ascii="Arial" w:cs="Arial" w:eastAsia="Arial" w:hAnsi="Arial"/>
          <w:sz w:val="18"/>
          <w:szCs w:val="18"/>
          <w:i w:val="1"/>
          <w:iCs w:val="1"/>
          <w:color w:val="auto"/>
        </w:rPr>
        <w:t>Trade accounts and other receivables</w:t>
      </w:r>
      <w:r>
        <w:rPr>
          <w:rFonts w:ascii="Arial" w:cs="Arial" w:eastAsia="Arial" w:hAnsi="Arial"/>
          <w:sz w:val="18"/>
          <w:szCs w:val="18"/>
          <w:color w:val="auto"/>
        </w:rPr>
        <w:t xml:space="preserve"> balance.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931"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Contingent Liabilities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of Natural Gas-Related Information to Trade Publications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Direct and indirect purchasers of natural gas in various states filed individual and class actions against us, our former affiliate WPX Energy, Inc. (WPX) and its subsidiaries, and others alleging the manipulation of published gas price indices and seeking unspecified amounts of damages. Such actions were transferred to the Nevada federal district court for consolidation of discovery and pre-trial issues. We have agreed to indemnify WPX and its subsidiaries related to this matter.</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individual action, filed by Farmland Industries Inc. (Farmland), the court issued an order on May 24, 2016, granting one of our co-defendant’s motion for summary judgment as to Farmland’s claims. On January 5, 2017, the court extended such ruling to us, entering final judgment in our favor. Farmland appealed. On March 27, 2018, the appellate court reversed the district court’s grant of summary judgment, and on April 10, 2018, the defendants filed a petition for rehearing with the appellate court, which was denied on May 9, 2018. The case was remanded to the Nevada federal district court and subsequently has been remanded to its originally filed court, the Kansas federal district court.</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putative class actions, on March 30, 2017, the court issued an order denying the plaintiffs’ motions for class certification. On June 13, 2017, the United States Court of Appeals for the Ninth Circuit granted the plaintiffs’ petition for permission to appeal the order. On August 6, 2018, the Ninth Circuit reversed the order denying class certification and remanded the case to the Nevada federal district court.</w:t>
      </w:r>
    </w:p>
    <w:p>
      <w:pPr>
        <w:spacing w:after="0" w:line="14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reached an agreement to settle two of the actions, and on April 22, 2019, the Nevada federal district court preliminarily approved the settlements, which are on behalf of Kansas and Missouri class members. The final fairness hearing on the settlement occurred August 5, 2019, and a final judgment of dismissal with prejudice was entered the same day.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Two putative class actions remain unresolved, and they have been remanded to their originally filed court, the Wisconsin federal district court.</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of the uncertainty around the remaining pending unresolved issues, we cannot reasonably estimate a range of potential exposure at this time. However, it is reasonably possible that the ultimate resolution of these actions and our related indemnification obligation could result in a potential loss that may be material to our results of operations. In connection with this indemnification, we have an accrued liability balance associated with this matter, and as a result, have exposure to future developments.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Alaska Refinery Contamination Litigation</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involved in litigation arising from our ownership and operation of the North Pole Refinery in North Pole, Alaska, from 1980 until 2004, through our wholly owned subsidiaries, Williams Alaska Petroleum Inc. (WAPI) and MAPCO Inc. We sold the refinery to Flint Hills Resources Alaska, LLC (FHRA), a subsidiary of Koch Industries, Inc., in 2004. The litigation involves three cases, with filing dates ranging from 2010 to 2014. The actions primarily arise from sulfolane contamination allegedly emanating from the refinery. A putative class action lawsuit was filed by James West in 2010 naming us, WAPI, and FHRA as defendants. We and FHRA filed claims against each other seeking, among other things, contractual indemnification alleging that the other party caused the sulfolane contamination. In 2011, we and FHRA settled the claim with James West. Certain claims by FHRA against us were resolved by the Alaska Supreme Court in our favor. FHRA’s claims against us for contractual indemnification and statutory claims for damages related to off-site sulfolane were remanded to the Alaska Superior Court. The State of Alaska filed its action in March 2014, seeking damages. The City of North Pole (North Pole) filed its lawsuit in November 2014, seeking past and future damages, as well as punitive damages. Both we and WAPI asserted counterclaims against the State of Alaska and North Pole, and cross-claims against FHRA. FHRA has also filed cross-claims against us.</w:t>
      </w:r>
    </w:p>
    <w:p>
      <w:pPr>
        <w:spacing w:after="0" w:line="1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underlying factual basis and claims in the cases are similar and may duplicate exposure. As such, in February 2017, the three cases were consolidated into one action in state court containing the remaining claims from the James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93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West case and those of the State of Alaska and North Pole. The State of Alaska later announced the discovery of additional contaminants per- and polyfluoralkyl (PFOS and PFOA) offsite of the refinery, and the Court permitted the State of Alaska to amend its complaint to add a claim for offsite PFOS/PFOA contamination. The Court subsequently remanded the offsite PFOS/PFOA claims to the Alaska Department of Environmental Conservation for investigation and stayed the claims pending their potential resolution at the administrative agency. Several trial dates encompassing all three cases have been scheduled and stricken. In the summer of 2019, the Court deconsolidated the cases for purposes of trial. A bench trial on all claims except North Pole’s claims began in October 2019.</w:t>
      </w:r>
    </w:p>
    <w:p>
      <w:pPr>
        <w:spacing w:after="0" w:line="1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January 2020, the Alaska Superior Court issued its Memorandum of Decision finding in favor of the State of Alaska and FHRA, with the total incurred and potential future damages estimated to be $86 million. The Court did not award natural resource damages to the State of Alaska and also found that FHRA is not entitled to contractual indemnification from us because FHRA contributed to the sulfolane contamination. A final judgment has not been entered in the case. We expect to appeal the decision. We have recorded an additional charge in the fourth quarter of 2019, reported within </w:t>
      </w:r>
      <w:r>
        <w:rPr>
          <w:rFonts w:ascii="Arial" w:cs="Arial" w:eastAsia="Arial" w:hAnsi="Arial"/>
          <w:sz w:val="17"/>
          <w:szCs w:val="17"/>
          <w:i w:val="1"/>
          <w:iCs w:val="1"/>
          <w:color w:val="auto"/>
        </w:rPr>
        <w:t>Income (loss) from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in the Consolidated Statement of Operations, adjusting our accrued liability to our estimate of the probable loss. It is reasonably possible that we</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successful on appeal and could ultimately pay up to the amount of judgment.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Matters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of our customers, including one major customer, have been named in various lawsuits alleging underpayment of royalties and claiming, among other things, violations of anti-trust laws and the Racketeer Influenced and Corrupt Organizations Act. We have also been named as a defendant in certain of these cases filed in Pennsylvania based on allegations that we improperly participated with that major customer in causing the alleged royalty underpayments. We believe that the claims asserted are subject to indemnity obligations owed to us by that major customer. That customer has reached a tentative settlement to resolve substantially all Pennsylvania royalty cases pending, which settlement would apply to both the customer and us. The settlement as reported would not require any contribution from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Energy Transfer and Related Parties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6, 2016, we filed suit in Delaware Chancery Court against Energy Transfer Equity, L.P. (Energy Transfer) and LE GP, LLC (the general partner for Energy Transfer) alleging willful and material breaches of the Agreement and Plan of Merger (ETE Merger Agreement) with Energy Transfer resulting from the private offering by Energy Transfer on March 8, 2016, of Series A Convertible Preferred Units (Special Offering) to certain Energy Transfer insiders and other accredited investors. The suit seeks, among other things, an injunction ordering the defendants to unwind the Special Offering and to specifically perform their obligations under the ETE Merger Agreement. On April 19, 2016, we filed an amended complaint seeking the same relief. On May 3, 2016, Energy Transfer and LE GP, LLC filed an answer and counterclaims.</w:t>
      </w:r>
    </w:p>
    <w:p>
      <w:pPr>
        <w:spacing w:after="0" w:line="1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May 13, 2016, we filed a separate complaint in Delaware Chancery Court against Energy Transfer, LE GP, LLC, and the other Energy Transfer affiliates that are parties to the ETE Merger Agreement, alleging material breaches of the ETE Merger Agreement for failing to cooperate and use necessary efforts to obtain a tax opinion required under the ETE Merger Agreement (Tax Opinion) and for otherwise failing to use necessary efforts to consummate the merger under the ETE Merger Agreement wherein we would be merged with and into the newly formed Energy Transfer Corp LP (ETC) (ETC Merger). The suit sought, among other things, a declaratory judgment and injunction preventing Energy Transfer from terminating or otherwise avoiding its obligations under the ETE Merger Agreement due to any failure to obtain the Tax Opinion.</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Court of Chancery coordinated the Special Offering and Tax Opinion suits. On May 20, 2016, the Energy Transfer defendants filed amended affirmative defenses and verified counterclaims in the Special Offering and Tax Opinion suits, alleging certain breaches of the ETE Merger Agreement by us and seeking, among other things, a declaration that we were not entitled to specific performance, that Energy Transfer could terminate the ETC Merger, and that Energy Transfer is entitled to a $1.48 billion termination fee. On June 24, 2016, following a two-day trial,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931"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court issued a Memorandum Opinion and Order denying our requested relief in the Tax Opinion suit. The court did not rule on the substance of our claims related to the Special Offering or on the substance of Energy Transfer’s counterclaims. On June 27, 2016, we filed an appeal of the court’s decision with the Supreme Court of Delaware, seeking reversal and remand to pursue damages. On March 23, 2017, the Supreme Court of Delaware affirmed the Court of Chancery’s ruling. On March 30, 2017, we filed a motion for reargument with the Supreme Court of Delaware, which was denied on April 5, 2017.</w:t>
      </w:r>
    </w:p>
    <w:p>
      <w:pPr>
        <w:spacing w:after="0" w:line="1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16, 2016, we filed an amended complaint with the Court of Chancery seeking damages for breaches of the ETE Merger Agreement by defendants. On September 23, 2016, Energy Transfer filed a second amended and supplemental affirmative defenses and verified counterclaim with the Court of Chancery seeking, among other things, payment of the $1.48 billion termination fee due to our alleged breaches of the ETE Merger Agreement. On December 1, 2017, the court granted our motion to dismiss certain of Energy Transfer’s counterclaims, including its claim seeking payment of the $1.48 billion termination fee. On December 8, 2017, Energy Transfer filed a motion for reargument, which the Court of Chancery denied on April 16, 2018. The Court of Chancery previously scheduled trial for May 20 through May 24, 2019; the court struck the trial setting and has re-scheduled trial for June 8 through June 11 and June 15,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Former Olefins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SABIC Petrochemicals, the other interest owner in our former Geismar, Louisiana, olefins facility we sold in July 2017, is seeking recovery from us for losses it allegedly suffered, including its share of personal injury settlements in which it was a co-defendant, as well as amounts related to lost income, defense costs, and property damage associated with an explosion and fire at the plant in June 2013. Due to the complexity of the various claims and available defenses, we are unable to reliably estimate any reasonably possible losses at this time. Trial began on October 14, 2019, as scheduled, but on October 21, 2019, the Court declared a mistrial due to the conduct of an officer of SABIC Petrochemicals and SABIC Petrochemicals’ expert witness. No new trial date has been set. We believe that certain losses incurred arising directly from the explosion and fire will be covered by our general liability policy and any uninsured losses are not expected to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31, 2018, Transco submitted to the FERC a general rate filing principally designed to recover increased costs and to comply with the terms of the settlement in its prior rate proceeding. The new rates became effective March 1, 2019, subject to refund and the outcome of a hearing. In October 2019, we reached an agreement on the terms of a settlement with the participants that would resolve all issues in the rate case without the need for a hearing, and on December 31, 2019, we filed a formal stipulation and agreement with the FERC setting forth such terms of settlement. We anticipate FERC approval of the stipulation and agreement in the second quarter of 2020. As of December 31, 2019, we have provided a $189 million reserve for rate refunds related to increased rates collected since March 2019, which we believe is adequate for any refunds that may be required.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 participant in certain environmental activities in various stages including assessment studies, cleanup operations, and/or remedial processes at certain sites, some of which we currently do not own. We are monitoring these sites in a coordinated effort with other potentially responsible parties, the U.S. Environmental Protection Agency (EPA), or other governmental authorities. We are jointly and severally liable along with unrelated third parties in some of these activities and solely responsible in others. Certain of our subsidiaries have been identified as potentially responsible parties at various Superfund and state waste disposal sites. In addition, these subsidiaries have incurred, or are alleged to have incurred, various other hazardous materials removal or remediation obligations under environmental laws. As of December 31, 2019, we have accrued liabilities totaling $31 million for these matters, as discussed below. Estimates of the most likely costs of cleanup are generally based on completed assessment studies, preliminary results of studies, or our experience with other similar cleanup operations. At December 31, 2019, certain assessment studies were still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932"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EPA and various state regulatory agencies routinely promulgate and propose new rules and issue updated guidance to existing rules. These rulemakings include, but are not limited to, rules for reciprocating internal combustion engine and combustion turbine maximum achievable control technology, air quality standards for one-hour nitrogen dioxide emissions, and volatile organic compound and methane new source performance standards impacting design and operation of storage vessels, pressure valves, and compressors. The EPA previously issued its rule regarding National Ambient Air Quality Standards for ground-level ozone. We are monitoring the rule’s implementation as it will trigger additional federal and state regulatory actions that may impact our operations. Implementation of the regulations is expected to result in impacts to our operations and increase the cost of additions to </w:t>
      </w:r>
      <w:r>
        <w:rPr>
          <w:rFonts w:ascii="Arial" w:cs="Arial" w:eastAsia="Arial" w:hAnsi="Arial"/>
          <w:sz w:val="17"/>
          <w:szCs w:val="17"/>
          <w:i w:val="1"/>
          <w:iCs w:val="1"/>
          <w:color w:val="auto"/>
        </w:rPr>
        <w:t>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plant, and equipment – net </w:t>
      </w:r>
      <w:r>
        <w:rPr>
          <w:rFonts w:ascii="Arial" w:cs="Arial" w:eastAsia="Arial" w:hAnsi="Arial"/>
          <w:sz w:val="17"/>
          <w:szCs w:val="17"/>
          <w:color w:val="auto"/>
        </w:rPr>
        <w:t>in the Consolidated Balance Sheet for both new and existing facilities in affected areas. We are unable to reasonably estimate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cost of additions that may be required to meet the regulations at this time due to uncertainty created by various legal challenges to these regulations and the need for further specific regulatory guidance.</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Continuing operations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interstate gas pipelines are involved in remediation activities related to certain facilities and locations for polychlorinated biphenyls, mercury, and other hazardous substances. These activities have involved the EPA and various state environmental authorities, resulting in our identification as a potentially responsible party at various Superfund waste sites. At December 31, 2019, we have accrued liabilities of $4 million for these costs. We expect that these costs will be recoverable through rates.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also accrue environmental remediation costs for natural gas underground storage facilities, primarily related to soil and groundwater contamination.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have accrued liabilities totaling $7 million for these costs.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Former operations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potential obligations in connection with assets and businesses we no longer operate. These potential obligations include remediation activities at the direction of federal and state environmental authorities and the indemnification of the purchasers of certain of these assets and businesses for environmental and other liabilities existing at the time the sale was consummated. Our responsibilities relate to the operations of the assets and businesses described below.</w:t>
      </w:r>
    </w:p>
    <w:p>
      <w:pPr>
        <w:spacing w:after="0" w:line="15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Former agricultural fertilizer and chemical operations and former retail petroleum and refining operations;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Former petroleum products and natural gas pipelines;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Former petroleum refining facilities;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Former exploration and production and mining operations;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8"/>
          <w:szCs w:val="18"/>
          <w:color w:val="auto"/>
        </w:rPr>
        <w:t>Former electricity and natural gas marketing and trading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have accrued environmental liabilities of $20 million related to these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Divestiture Indemnifications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Pursuant to various purchase and sale agreements relating to divested businesses and assets, we have indemnified certain purchasers against liabilities that they may incur with respect to the businesses and assets acquired from us. The indemnities provided to the purchasers are customary in sale transactions and are contingent upon the purchasers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931"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incurring liabilities that are not otherwise recoverable from third parties. The indemnities generally relate to breach of warranties, tax, historic litigation, personal injury, property damage, environmental matters, right of way, and other representations that we have provided.</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2019, other than as previously disclosed, we are not aware of any material claims against us involving the indemnities; thus, we do not expect any of the indemnities provided pursuant to the sales agreements to have a material impact on our future financial position. Any claim for indemnity brought against us in the future may have a material adverse effect on our results of operations in the period in which the claim is made.</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foregoing, various other proceedings are pending against us which are incidental to our operations, none of which are expected to be material to our expected future annual results of operations, liquidity, and financial 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disclosed our estimated range of reasonably possible losses for certain matters above, as well as all significant matters for which we are unable to reasonably estimate a range of possible loss. We estimate that for all other matters for which we are able to reasonably estimate a range of loss, our aggregate reasonably possible losses beyond amounts accrued are immaterial to our expected future annual results of operations, liquidity, and financial position. These calculations have been made without consideration of any potential recovery from third parties.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Commitments for construction and acquisition of property, plant, and equipment are approximately $206 million at December 31,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Disclosures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reportable segments are Atlantic-Gulf, Northeast G&amp;P, and West. All remaining business activities are included in Other. (See Note 1 – General, Description of Business, Basis of Presentation, and Summary of Significant Accounting Policies.)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Measurement</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evaluate segment operating performance based upon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(earnings before interest, taxes, depreciation, and amortization). This measure represents the basis of our internal financial reporting and is the primary performance measure used by our chief operating decision maker in measuring performance and allocating resources among our reportable segments. Intersegment revenues primarily represent the sale of NGLs from our natural gas processing plants to our marketing business.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define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as follows:</w:t>
      </w:r>
    </w:p>
    <w:p>
      <w:pPr>
        <w:spacing w:after="0" w:line="176" w:lineRule="exact"/>
        <w:rPr>
          <w:sz w:val="20"/>
          <w:szCs w:val="20"/>
          <w:color w:val="auto"/>
        </w:rPr>
      </w:pPr>
    </w:p>
    <w:p>
      <w:pPr>
        <w:ind w:left="740" w:hanging="408"/>
        <w:spacing w:after="0"/>
        <w:tabs>
          <w:tab w:leader="none" w:pos="740" w:val="left"/>
        </w:tabs>
        <w:numPr>
          <w:ilvl w:val="0"/>
          <w:numId w:val="80"/>
        </w:numPr>
        <w:rPr>
          <w:rFonts w:ascii="Arial" w:cs="Arial" w:eastAsia="Arial" w:hAnsi="Arial"/>
          <w:sz w:val="22"/>
          <w:szCs w:val="22"/>
          <w:color w:val="auto"/>
        </w:rPr>
      </w:pPr>
      <w:r>
        <w:rPr>
          <w:rFonts w:ascii="Arial" w:cs="Arial" w:eastAsia="Arial" w:hAnsi="Arial"/>
          <w:sz w:val="18"/>
          <w:szCs w:val="18"/>
          <w:color w:val="auto"/>
        </w:rPr>
        <w:t>Net income (loss) before:</w:t>
      </w:r>
    </w:p>
    <w:p>
      <w:pPr>
        <w:spacing w:after="0" w:line="161" w:lineRule="exact"/>
        <w:rPr>
          <w:rFonts w:ascii="Arial" w:cs="Arial" w:eastAsia="Arial" w:hAnsi="Arial"/>
          <w:sz w:val="22"/>
          <w:szCs w:val="22"/>
          <w:color w:val="auto"/>
        </w:rPr>
      </w:pPr>
    </w:p>
    <w:p>
      <w:pPr>
        <w:ind w:left="1040" w:hanging="384"/>
        <w:spacing w:after="0"/>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Income (loss) from discontinued operations;</w:t>
      </w:r>
    </w:p>
    <w:p>
      <w:pPr>
        <w:spacing w:after="0" w:line="184" w:lineRule="exact"/>
        <w:rPr>
          <w:rFonts w:ascii="Arial" w:cs="Arial" w:eastAsia="Arial" w:hAnsi="Arial"/>
          <w:sz w:val="18"/>
          <w:szCs w:val="18"/>
          <w:color w:val="auto"/>
        </w:rPr>
      </w:pPr>
    </w:p>
    <w:p>
      <w:pPr>
        <w:ind w:left="1040" w:hanging="384"/>
        <w:spacing w:after="0"/>
        <w:tabs>
          <w:tab w:leader="none" w:pos="10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Provision (benefit) for income taxes;</w:t>
      </w:r>
    </w:p>
    <w:p>
      <w:pPr>
        <w:spacing w:after="0" w:line="175" w:lineRule="exact"/>
        <w:rPr>
          <w:rFonts w:ascii="Arial" w:cs="Arial" w:eastAsia="Arial" w:hAnsi="Arial"/>
          <w:sz w:val="18"/>
          <w:szCs w:val="18"/>
          <w:color w:val="auto"/>
        </w:rPr>
      </w:pPr>
    </w:p>
    <w:p>
      <w:pPr>
        <w:ind w:left="1060" w:hanging="404"/>
        <w:spacing w:after="0"/>
        <w:tabs>
          <w:tab w:leader="none" w:pos="1060" w:val="left"/>
        </w:tabs>
        <w:numPr>
          <w:ilvl w:val="1"/>
          <w:numId w:val="80"/>
        </w:numPr>
        <w:rPr>
          <w:rFonts w:ascii="Arial" w:cs="Arial" w:eastAsia="Arial" w:hAnsi="Arial"/>
          <w:sz w:val="22"/>
          <w:szCs w:val="22"/>
          <w:color w:val="auto"/>
        </w:rPr>
      </w:pPr>
      <w:r>
        <w:rPr>
          <w:rFonts w:ascii="Arial" w:cs="Arial" w:eastAsia="Arial" w:hAnsi="Arial"/>
          <w:sz w:val="18"/>
          <w:szCs w:val="18"/>
          <w:color w:val="auto"/>
        </w:rPr>
        <w:t>Interest incurred, net of interest capitalized;</w:t>
      </w:r>
    </w:p>
    <w:p>
      <w:pPr>
        <w:spacing w:after="0" w:line="152" w:lineRule="exact"/>
        <w:rPr>
          <w:rFonts w:ascii="Arial" w:cs="Arial" w:eastAsia="Arial" w:hAnsi="Arial"/>
          <w:sz w:val="22"/>
          <w:szCs w:val="22"/>
          <w:color w:val="auto"/>
        </w:rPr>
      </w:pPr>
    </w:p>
    <w:p>
      <w:pPr>
        <w:ind w:left="1060" w:hanging="404"/>
        <w:spacing w:after="0"/>
        <w:tabs>
          <w:tab w:leader="none" w:pos="1060" w:val="left"/>
        </w:tabs>
        <w:numPr>
          <w:ilvl w:val="1"/>
          <w:numId w:val="80"/>
        </w:numPr>
        <w:rPr>
          <w:rFonts w:ascii="Arial" w:cs="Arial" w:eastAsia="Arial" w:hAnsi="Arial"/>
          <w:sz w:val="22"/>
          <w:szCs w:val="22"/>
          <w:color w:val="auto"/>
        </w:rPr>
      </w:pPr>
      <w:r>
        <w:rPr>
          <w:rFonts w:ascii="Arial" w:cs="Arial" w:eastAsia="Arial" w:hAnsi="Arial"/>
          <w:sz w:val="18"/>
          <w:szCs w:val="18"/>
          <w:color w:val="auto"/>
        </w:rPr>
        <w:t>Equity earnings (losses);</w:t>
      </w:r>
    </w:p>
    <w:p>
      <w:pPr>
        <w:spacing w:after="0" w:line="152" w:lineRule="exact"/>
        <w:rPr>
          <w:rFonts w:ascii="Arial" w:cs="Arial" w:eastAsia="Arial" w:hAnsi="Arial"/>
          <w:sz w:val="22"/>
          <w:szCs w:val="22"/>
          <w:color w:val="auto"/>
        </w:rPr>
      </w:pPr>
    </w:p>
    <w:p>
      <w:pPr>
        <w:ind w:left="1060" w:hanging="404"/>
        <w:spacing w:after="0"/>
        <w:tabs>
          <w:tab w:leader="none" w:pos="1060" w:val="left"/>
        </w:tabs>
        <w:numPr>
          <w:ilvl w:val="1"/>
          <w:numId w:val="80"/>
        </w:numPr>
        <w:rPr>
          <w:rFonts w:ascii="Arial" w:cs="Arial" w:eastAsia="Arial" w:hAnsi="Arial"/>
          <w:sz w:val="22"/>
          <w:szCs w:val="22"/>
          <w:color w:val="auto"/>
        </w:rPr>
      </w:pPr>
      <w:r>
        <w:rPr>
          <w:rFonts w:ascii="Arial" w:cs="Arial" w:eastAsia="Arial" w:hAnsi="Arial"/>
          <w:sz w:val="18"/>
          <w:szCs w:val="18"/>
          <w:color w:val="auto"/>
        </w:rPr>
        <w:t xml:space="preserve">Other investing income (loss) </w:t>
      </w:r>
      <w:r>
        <w:rPr>
          <w:rFonts w:ascii="Arial" w:cs="Arial" w:eastAsia="Arial" w:hAnsi="Arial"/>
          <w:sz w:val="17"/>
          <w:szCs w:val="17"/>
          <w:color w:val="auto"/>
        </w:rPr>
        <w:t>–</w:t>
      </w:r>
      <w:r>
        <w:rPr>
          <w:rFonts w:ascii="Arial" w:cs="Arial" w:eastAsia="Arial" w:hAnsi="Arial"/>
          <w:sz w:val="18"/>
          <w:szCs w:val="18"/>
          <w:color w:val="auto"/>
        </w:rPr>
        <w:t xml:space="preserve"> net;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932" w:right="239" w:bottom="1440" w:gutter="0" w:footer="0" w:header="0"/>
        </w:sectPr>
      </w:pPr>
    </w:p>
    <w:bookmarkStart w:id="144" w:name="page145"/>
    <w:bookmarkEnd w:id="144"/>
    <w:p>
      <w:pPr>
        <w:jc w:val="center"/>
        <w:ind w:right="292"/>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ind w:right="292"/>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28" w:hanging="404"/>
        <w:spacing w:after="0"/>
        <w:tabs>
          <w:tab w:leader="none" w:pos="728" w:val="left"/>
        </w:tabs>
        <w:numPr>
          <w:ilvl w:val="1"/>
          <w:numId w:val="81"/>
        </w:numPr>
        <w:rPr>
          <w:rFonts w:ascii="Arial" w:cs="Arial" w:eastAsia="Arial" w:hAnsi="Arial"/>
          <w:sz w:val="22"/>
          <w:szCs w:val="22"/>
          <w:color w:val="auto"/>
        </w:rPr>
      </w:pPr>
      <w:r>
        <w:rPr>
          <w:rFonts w:ascii="Arial" w:cs="Arial" w:eastAsia="Arial" w:hAnsi="Arial"/>
          <w:sz w:val="18"/>
          <w:szCs w:val="18"/>
          <w:color w:val="auto"/>
        </w:rPr>
        <w:t>Depreciation and amortization expenses;</w:t>
      </w:r>
    </w:p>
    <w:p>
      <w:pPr>
        <w:spacing w:after="0" w:line="152" w:lineRule="exact"/>
        <w:rPr>
          <w:rFonts w:ascii="Arial" w:cs="Arial" w:eastAsia="Arial" w:hAnsi="Arial"/>
          <w:sz w:val="22"/>
          <w:szCs w:val="22"/>
          <w:color w:val="auto"/>
        </w:rPr>
      </w:pPr>
    </w:p>
    <w:p>
      <w:pPr>
        <w:ind w:left="728" w:hanging="404"/>
        <w:spacing w:after="0"/>
        <w:tabs>
          <w:tab w:leader="none" w:pos="728" w:val="left"/>
        </w:tabs>
        <w:numPr>
          <w:ilvl w:val="1"/>
          <w:numId w:val="81"/>
        </w:numPr>
        <w:rPr>
          <w:rFonts w:ascii="Arial" w:cs="Arial" w:eastAsia="Arial" w:hAnsi="Arial"/>
          <w:sz w:val="22"/>
          <w:szCs w:val="22"/>
          <w:color w:val="auto"/>
        </w:rPr>
      </w:pPr>
      <w:r>
        <w:rPr>
          <w:rFonts w:ascii="Arial" w:cs="Arial" w:eastAsia="Arial" w:hAnsi="Arial"/>
          <w:sz w:val="18"/>
          <w:szCs w:val="18"/>
          <w:color w:val="auto"/>
        </w:rPr>
        <w:t>Accretion expense associated with asset retirement obligations for nonregulated operations.</w:t>
      </w:r>
    </w:p>
    <w:p>
      <w:pPr>
        <w:spacing w:after="0" w:line="174" w:lineRule="exact"/>
        <w:rPr>
          <w:rFonts w:ascii="Arial" w:cs="Arial" w:eastAsia="Arial" w:hAnsi="Arial"/>
          <w:sz w:val="22"/>
          <w:szCs w:val="22"/>
          <w:color w:val="auto"/>
        </w:rPr>
      </w:pPr>
    </w:p>
    <w:p>
      <w:pPr>
        <w:ind w:left="328" w:hanging="328"/>
        <w:spacing w:after="0" w:line="271" w:lineRule="auto"/>
        <w:tabs>
          <w:tab w:leader="none" w:pos="328" w:val="left"/>
        </w:tabs>
        <w:numPr>
          <w:ilvl w:val="0"/>
          <w:numId w:val="81"/>
        </w:numPr>
        <w:rPr>
          <w:rFonts w:ascii="Arial" w:cs="Arial" w:eastAsia="Arial" w:hAnsi="Arial"/>
          <w:sz w:val="22"/>
          <w:szCs w:val="22"/>
          <w:color w:val="auto"/>
        </w:rPr>
      </w:pPr>
      <w:r>
        <w:rPr>
          <w:rFonts w:ascii="Arial" w:cs="Arial" w:eastAsia="Arial" w:hAnsi="Arial"/>
          <w:sz w:val="18"/>
          <w:szCs w:val="18"/>
          <w:color w:val="auto"/>
        </w:rPr>
        <w:t xml:space="preserve">This measure is further adjusted to include our proportionate share (based on ownership interest) of </w:t>
      </w:r>
      <w:r>
        <w:rPr>
          <w:rFonts w:ascii="Arial" w:cs="Arial" w:eastAsia="Arial" w:hAnsi="Arial"/>
          <w:sz w:val="18"/>
          <w:szCs w:val="18"/>
          <w:i w:val="1"/>
          <w:iCs w:val="1"/>
          <w:color w:val="auto"/>
        </w:rPr>
        <w:t>Modified EBITDA</w:t>
      </w:r>
      <w:r>
        <w:rPr>
          <w:rFonts w:ascii="Arial" w:cs="Arial" w:eastAsia="Arial" w:hAnsi="Arial"/>
          <w:sz w:val="18"/>
          <w:szCs w:val="18"/>
          <w:color w:val="auto"/>
        </w:rPr>
        <w:t xml:space="preserve"> from our equity-method investments calculated consistently with the definition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8"/>
          </w:cols>
          <w:pgMar w:left="572" w:top="931" w:right="25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following table reflects the reconciliation of </w:t>
      </w:r>
      <w:r>
        <w:rPr>
          <w:rFonts w:ascii="Arial" w:cs="Arial" w:eastAsia="Arial" w:hAnsi="Arial"/>
          <w:sz w:val="18"/>
          <w:szCs w:val="18"/>
          <w:i w:val="1"/>
          <w:iCs w:val="1"/>
          <w:color w:val="auto"/>
        </w:rPr>
        <w:t>Segment revenues</w:t>
      </w:r>
      <w:r>
        <w:rPr>
          <w:rFonts w:ascii="Arial" w:cs="Arial" w:eastAsia="Arial" w:hAnsi="Arial"/>
          <w:sz w:val="18"/>
          <w:szCs w:val="18"/>
          <w:color w:val="auto"/>
        </w:rPr>
        <w:t xml:space="preserve"> to </w:t>
      </w:r>
      <w:r>
        <w:rPr>
          <w:rFonts w:ascii="Arial" w:cs="Arial" w:eastAsia="Arial" w:hAnsi="Arial"/>
          <w:sz w:val="18"/>
          <w:szCs w:val="18"/>
          <w:i w:val="1"/>
          <w:iCs w:val="1"/>
          <w:color w:val="auto"/>
        </w:rPr>
        <w:t>Total revenues</w:t>
      </w:r>
      <w:r>
        <w:rPr>
          <w:rFonts w:ascii="Arial" w:cs="Arial" w:eastAsia="Arial" w:hAnsi="Arial"/>
          <w:sz w:val="18"/>
          <w:szCs w:val="18"/>
          <w:color w:val="auto"/>
        </w:rPr>
        <w:t xml:space="preserve"> as reported in the Consolidated Statement of Operations and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Atlantic-Gulf</w:t>
            </w: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Northeast G&amp;P</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West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Other</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Eliminations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1"/>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gridSpan w:val="5"/>
          </w:tcPr>
          <w:p>
            <w:pPr>
              <w:ind w:left="52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b w:val="1"/>
                <w:bCs w:val="1"/>
                <w:i w:val="1"/>
                <w:iCs w:val="1"/>
                <w:color w:val="auto"/>
              </w:rPr>
              <w:t>2019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5"/>
                <w:szCs w:val="15"/>
                <w:color w:val="auto"/>
              </w:rPr>
              <w:t>Segment revenues: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Service revenues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60"/>
              <w:spacing w:after="0"/>
              <w:rPr>
                <w:sz w:val="20"/>
                <w:szCs w:val="20"/>
                <w:color w:val="auto"/>
              </w:rPr>
            </w:pPr>
            <w:r>
              <w:rPr>
                <w:rFonts w:ascii="Arial" w:cs="Arial" w:eastAsia="Arial" w:hAnsi="Arial"/>
                <w:sz w:val="15"/>
                <w:szCs w:val="15"/>
                <w:color w:val="auto"/>
              </w:rPr>
              <w:t>External</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2,812</w:t>
            </w: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1,291</w:t>
            </w:r>
          </w:p>
        </w:tc>
        <w:tc>
          <w:tcPr>
            <w:tcW w:w="12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5,933</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Internal</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5"/>
                <w:szCs w:val="15"/>
                <w:color w:val="auto"/>
              </w:rPr>
              <w:t>Total service revenues</w:t>
            </w: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2,861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1,338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1,813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5,933</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service revenues – commodity consideration</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Product sales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External</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2,065</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Internal</w:t>
            </w: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71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product sales</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1,797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2,065</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3,190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1,500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3,760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8,201</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5"/>
                <w:szCs w:val="15"/>
                <w:color w:val="auto"/>
              </w:rPr>
              <w:t>Other financial information:</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Additions to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1,179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2,911</w:t>
            </w:r>
          </w:p>
        </w:tc>
        <w:tc>
          <w:tcPr>
            <w:tcW w:w="0" w:type="dxa"/>
            <w:vAlign w:val="bottom"/>
          </w:tcPr>
          <w:p>
            <w:pPr>
              <w:spacing w:after="0"/>
              <w:rPr>
                <w:sz w:val="1"/>
                <w:szCs w:val="1"/>
                <w:color w:val="auto"/>
              </w:rPr>
            </w:pPr>
          </w:p>
        </w:tc>
      </w:tr>
      <w:tr>
        <w:trPr>
          <w:trHeight w:val="266"/>
        </w:trPr>
        <w:tc>
          <w:tcPr>
            <w:tcW w:w="5160" w:type="dxa"/>
            <w:vAlign w:val="bottom"/>
          </w:tcPr>
          <w:p>
            <w:pPr>
              <w:ind w:left="120"/>
              <w:spacing w:after="0"/>
              <w:rPr>
                <w:sz w:val="20"/>
                <w:szCs w:val="20"/>
                <w:color w:val="auto"/>
              </w:rPr>
            </w:pPr>
            <w:r>
              <w:rPr>
                <w:rFonts w:ascii="Arial" w:cs="Arial" w:eastAsia="Arial" w:hAnsi="Arial"/>
                <w:sz w:val="15"/>
                <w:szCs w:val="15"/>
                <w:color w:val="auto"/>
              </w:rPr>
              <w:t>Proportional Modified EBITDA of equity-method investments</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454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746</w:t>
            </w:r>
          </w:p>
        </w:tc>
        <w:tc>
          <w:tcPr>
            <w:tcW w:w="0" w:type="dxa"/>
            <w:vAlign w:val="bottom"/>
          </w:tcPr>
          <w:p>
            <w:pPr>
              <w:spacing w:after="0"/>
              <w:rPr>
                <w:sz w:val="1"/>
                <w:szCs w:val="1"/>
                <w:color w:val="auto"/>
              </w:rPr>
            </w:pPr>
          </w:p>
        </w:tc>
      </w:tr>
      <w:tr>
        <w:trPr>
          <w:trHeight w:val="166"/>
        </w:trPr>
        <w:tc>
          <w:tcPr>
            <w:tcW w:w="5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5"/>
                <w:szCs w:val="15"/>
                <w:b w:val="1"/>
                <w:bCs w:val="1"/>
                <w:i w:val="1"/>
                <w:iCs w:val="1"/>
                <w:color w:val="auto"/>
              </w:rPr>
              <w:t>2018</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Segment revenues: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Service revenues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External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2,460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2,085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5,502</w:t>
            </w:r>
          </w:p>
        </w:tc>
        <w:tc>
          <w:tcPr>
            <w:tcW w:w="0" w:type="dxa"/>
            <w:vAlign w:val="bottom"/>
          </w:tcPr>
          <w:p>
            <w:pPr>
              <w:spacing w:after="0"/>
              <w:rPr>
                <w:sz w:val="1"/>
                <w:szCs w:val="1"/>
                <w:color w:val="auto"/>
              </w:rPr>
            </w:pPr>
          </w:p>
        </w:tc>
      </w:tr>
      <w:tr>
        <w:trPr>
          <w:trHeight w:val="266"/>
        </w:trPr>
        <w:tc>
          <w:tcPr>
            <w:tcW w:w="5160" w:type="dxa"/>
            <w:vAlign w:val="bottom"/>
          </w:tcPr>
          <w:p>
            <w:pPr>
              <w:ind w:left="460"/>
              <w:spacing w:after="0"/>
              <w:rPr>
                <w:sz w:val="20"/>
                <w:szCs w:val="20"/>
                <w:color w:val="auto"/>
              </w:rPr>
            </w:pPr>
            <w:r>
              <w:rPr>
                <w:rFonts w:ascii="Arial" w:cs="Arial" w:eastAsia="Arial" w:hAnsi="Arial"/>
                <w:sz w:val="15"/>
                <w:szCs w:val="15"/>
                <w:color w:val="auto"/>
              </w:rPr>
              <w:t>Internal</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4"/>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service revenues</w:t>
            </w:r>
          </w:p>
        </w:tc>
        <w:tc>
          <w:tcPr>
            <w:tcW w:w="10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2,509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976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2,085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5,502</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color w:val="auto"/>
              </w:rPr>
              <w:t>Total service revenues – commodity consideration</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59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Product sales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460"/>
              <w:spacing w:after="0"/>
              <w:rPr>
                <w:sz w:val="20"/>
                <w:szCs w:val="20"/>
                <w:color w:val="auto"/>
              </w:rPr>
            </w:pPr>
            <w:r>
              <w:rPr>
                <w:rFonts w:ascii="Arial" w:cs="Arial" w:eastAsia="Arial" w:hAnsi="Arial"/>
                <w:sz w:val="15"/>
                <w:szCs w:val="15"/>
                <w:color w:val="auto"/>
              </w:rPr>
              <w:t>External</w:t>
            </w:r>
          </w:p>
        </w:tc>
        <w:tc>
          <w:tcPr>
            <w:tcW w:w="100" w:type="dxa"/>
            <w:vAlign w:val="bottom"/>
          </w:tcPr>
          <w:p>
            <w:pPr>
              <w:spacing w:after="0"/>
              <w:rPr>
                <w:sz w:val="23"/>
                <w:szCs w:val="23"/>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2,365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2,784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Internal</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261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5"/>
                <w:szCs w:val="15"/>
                <w:color w:val="auto"/>
              </w:rPr>
              <w:t>Total product sales</w:t>
            </w:r>
          </w:p>
        </w:tc>
        <w:tc>
          <w:tcPr>
            <w:tcW w:w="100" w:type="dxa"/>
            <w:vAlign w:val="bottom"/>
          </w:tcPr>
          <w:p>
            <w:pPr>
              <w:spacing w:after="0"/>
              <w:rPr>
                <w:sz w:val="21"/>
                <w:szCs w:val="21"/>
                <w:color w:val="auto"/>
              </w:rPr>
            </w:pP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287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2,448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2,784</w:t>
            </w:r>
          </w:p>
        </w:tc>
        <w:tc>
          <w:tcPr>
            <w:tcW w:w="0" w:type="dxa"/>
            <w:vAlign w:val="bottom"/>
          </w:tcPr>
          <w:p>
            <w:pPr>
              <w:spacing w:after="0"/>
              <w:rPr>
                <w:sz w:val="1"/>
                <w:szCs w:val="1"/>
                <w:color w:val="auto"/>
              </w:rPr>
            </w:pPr>
          </w:p>
        </w:tc>
      </w:tr>
      <w:tr>
        <w:trPr>
          <w:trHeight w:val="241"/>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3,003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8,686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financial information:</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120"/>
              <w:spacing w:after="0"/>
              <w:rPr>
                <w:sz w:val="20"/>
                <w:szCs w:val="20"/>
                <w:color w:val="auto"/>
              </w:rPr>
            </w:pPr>
            <w:r>
              <w:rPr>
                <w:rFonts w:ascii="Arial" w:cs="Arial" w:eastAsia="Arial" w:hAnsi="Arial"/>
                <w:sz w:val="15"/>
                <w:szCs w:val="15"/>
                <w:color w:val="auto"/>
              </w:rPr>
              <w:t>Additions to long-lived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2,297</w:t>
            </w: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477</w:t>
            </w:r>
          </w:p>
        </w:tc>
        <w:tc>
          <w:tcPr>
            <w:tcW w:w="12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3,171</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Proportional Modified EBITDA of equity-method investments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183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b w:val="1"/>
                <w:bCs w:val="1"/>
                <w:i w:val="1"/>
                <w:iCs w:val="1"/>
                <w:color w:val="auto"/>
              </w:rPr>
              <w:t>2017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40"/>
              <w:spacing w:after="0"/>
              <w:rPr>
                <w:sz w:val="20"/>
                <w:szCs w:val="20"/>
                <w:color w:val="auto"/>
              </w:rPr>
            </w:pPr>
            <w:r>
              <w:rPr>
                <w:rFonts w:ascii="Arial" w:cs="Arial" w:eastAsia="Arial" w:hAnsi="Arial"/>
                <w:sz w:val="15"/>
                <w:szCs w:val="15"/>
                <w:color w:val="auto"/>
              </w:rPr>
              <w:t>Segment revenues: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Service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380"/>
              <w:spacing w:after="0"/>
              <w:rPr>
                <w:sz w:val="20"/>
                <w:szCs w:val="20"/>
                <w:color w:val="auto"/>
              </w:rPr>
            </w:pPr>
            <w:r>
              <w:rPr>
                <w:rFonts w:ascii="Arial" w:cs="Arial" w:eastAsia="Arial" w:hAnsi="Arial"/>
                <w:sz w:val="15"/>
                <w:szCs w:val="15"/>
                <w:color w:val="auto"/>
              </w:rPr>
              <w:t>External</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vMerge w:val="restart"/>
          </w:tcPr>
          <w:p>
            <w:pPr>
              <w:jc w:val="right"/>
              <w:ind w:right="44"/>
              <w:spacing w:after="0"/>
              <w:rPr>
                <w:sz w:val="20"/>
                <w:szCs w:val="20"/>
                <w:color w:val="auto"/>
              </w:rPr>
            </w:pPr>
            <w:r>
              <w:rPr>
                <w:rFonts w:ascii="Arial" w:cs="Arial" w:eastAsia="Arial" w:hAnsi="Arial"/>
                <w:sz w:val="15"/>
                <w:szCs w:val="15"/>
                <w:color w:val="auto"/>
              </w:rPr>
              <w:t>2,202</w:t>
            </w:r>
          </w:p>
        </w:tc>
        <w:tc>
          <w:tcPr>
            <w:tcW w:w="12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43"/>
              <w:spacing w:after="0"/>
              <w:rPr>
                <w:sz w:val="20"/>
                <w:szCs w:val="20"/>
                <w:color w:val="auto"/>
              </w:rPr>
            </w:pPr>
            <w:r>
              <w:rPr>
                <w:rFonts w:ascii="Arial" w:cs="Arial" w:eastAsia="Arial" w:hAnsi="Arial"/>
                <w:sz w:val="15"/>
                <w:szCs w:val="15"/>
                <w:color w:val="auto"/>
              </w:rPr>
              <w:t>837</w:t>
            </w:r>
          </w:p>
        </w:tc>
        <w:tc>
          <w:tcPr>
            <w:tcW w:w="120" w:type="dxa"/>
            <w:vAlign w:val="bottom"/>
          </w:tcPr>
          <w:p>
            <w:pPr>
              <w:spacing w:after="0"/>
              <w:rPr>
                <w:sz w:val="18"/>
                <w:szCs w:val="18"/>
                <w:color w:val="auto"/>
              </w:rPr>
            </w:pPr>
          </w:p>
        </w:tc>
        <w:tc>
          <w:tcPr>
            <w:tcW w:w="220" w:type="dxa"/>
            <w:vAlign w:val="bottom"/>
            <w:vMerge w:val="restart"/>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2,246</w:t>
            </w:r>
          </w:p>
        </w:tc>
        <w:tc>
          <w:tcPr>
            <w:tcW w:w="100" w:type="dxa"/>
            <w:vAlign w:val="bottom"/>
          </w:tcPr>
          <w:p>
            <w:pPr>
              <w:spacing w:after="0"/>
              <w:rPr>
                <w:sz w:val="18"/>
                <w:szCs w:val="18"/>
                <w:color w:val="auto"/>
              </w:rPr>
            </w:pP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5,312</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Internal</w:t>
            </w: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180"/>
              <w:spacing w:after="0"/>
              <w:rPr>
                <w:sz w:val="20"/>
                <w:szCs w:val="20"/>
                <w:color w:val="auto"/>
              </w:rPr>
            </w:pPr>
            <w:r>
              <w:rPr>
                <w:rFonts w:ascii="Arial" w:cs="Arial" w:eastAsia="Arial" w:hAnsi="Arial"/>
                <w:sz w:val="15"/>
                <w:szCs w:val="15"/>
                <w:color w:val="auto"/>
              </w:rPr>
              <w:t>Total service revenues</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2,239</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872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2,246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vMerge w:val="restart"/>
          </w:tcPr>
          <w:p>
            <w:pPr>
              <w:jc w:val="right"/>
              <w:ind w:right="44"/>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5,312</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Product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tcPr>
          <w:p>
            <w:pPr>
              <w:ind w:left="380"/>
              <w:spacing w:after="0"/>
              <w:rPr>
                <w:sz w:val="20"/>
                <w:szCs w:val="20"/>
                <w:color w:val="auto"/>
              </w:rPr>
            </w:pPr>
            <w:r>
              <w:rPr>
                <w:rFonts w:ascii="Arial" w:cs="Arial" w:eastAsia="Arial" w:hAnsi="Arial"/>
                <w:sz w:val="15"/>
                <w:szCs w:val="15"/>
                <w:color w:val="auto"/>
              </w:rPr>
              <w:t>External</w:t>
            </w:r>
          </w:p>
        </w:tc>
        <w:tc>
          <w:tcPr>
            <w:tcW w:w="100" w:type="dxa"/>
            <w:vAlign w:val="bottom"/>
          </w:tcPr>
          <w:p>
            <w:pPr>
              <w:spacing w:after="0"/>
              <w:rPr>
                <w:sz w:val="18"/>
                <w:szCs w:val="18"/>
                <w:color w:val="auto"/>
              </w:rPr>
            </w:pPr>
          </w:p>
        </w:tc>
        <w:tc>
          <w:tcPr>
            <w:tcW w:w="820" w:type="dxa"/>
            <w:vAlign w:val="bottom"/>
            <w:vMerge w:val="restart"/>
          </w:tcPr>
          <w:p>
            <w:pPr>
              <w:jc w:val="right"/>
              <w:ind w:right="44"/>
              <w:spacing w:after="0"/>
              <w:rPr>
                <w:sz w:val="20"/>
                <w:szCs w:val="20"/>
                <w:color w:val="auto"/>
              </w:rPr>
            </w:pPr>
            <w:r>
              <w:rPr>
                <w:rFonts w:ascii="Arial" w:cs="Arial" w:eastAsia="Arial" w:hAnsi="Arial"/>
                <w:sz w:val="15"/>
                <w:szCs w:val="15"/>
                <w:color w:val="auto"/>
              </w:rPr>
              <w:t>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vMerge w:val="restart"/>
          </w:tcPr>
          <w:p>
            <w:pPr>
              <w:jc w:val="right"/>
              <w:ind w:right="43"/>
              <w:spacing w:after="0"/>
              <w:rPr>
                <w:sz w:val="20"/>
                <w:szCs w:val="20"/>
                <w:color w:val="auto"/>
              </w:rPr>
            </w:pPr>
            <w:r>
              <w:rPr>
                <w:rFonts w:ascii="Arial" w:cs="Arial" w:eastAsia="Arial" w:hAnsi="Arial"/>
                <w:sz w:val="15"/>
                <w:szCs w:val="15"/>
                <w:color w:val="auto"/>
              </w:rPr>
              <w:t>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1,840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2,719</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Internal</w:t>
            </w:r>
          </w:p>
        </w:tc>
        <w:tc>
          <w:tcPr>
            <w:tcW w:w="1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516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160" w:type="dxa"/>
            <w:vAlign w:val="bottom"/>
          </w:tcPr>
          <w:p>
            <w:pPr>
              <w:ind w:left="180"/>
              <w:spacing w:after="0"/>
              <w:rPr>
                <w:sz w:val="20"/>
                <w:szCs w:val="20"/>
                <w:color w:val="auto"/>
              </w:rPr>
            </w:pPr>
            <w:r>
              <w:rPr>
                <w:rFonts w:ascii="Arial" w:cs="Arial" w:eastAsia="Arial" w:hAnsi="Arial"/>
                <w:sz w:val="15"/>
                <w:szCs w:val="15"/>
                <w:color w:val="auto"/>
              </w:rPr>
              <w:t>Total product sales</w:t>
            </w:r>
          </w:p>
        </w:tc>
        <w:tc>
          <w:tcPr>
            <w:tcW w:w="100" w:type="dxa"/>
            <w:vAlign w:val="bottom"/>
          </w:tcPr>
          <w:p>
            <w:pPr>
              <w:spacing w:after="0"/>
              <w:rPr>
                <w:sz w:val="16"/>
                <w:szCs w:val="16"/>
                <w:color w:val="auto"/>
              </w:rPr>
            </w:pPr>
          </w:p>
        </w:tc>
        <w:tc>
          <w:tcPr>
            <w:tcW w:w="820" w:type="dxa"/>
            <w:vAlign w:val="bottom"/>
            <w:vMerge w:val="restart"/>
          </w:tcPr>
          <w:p>
            <w:pPr>
              <w:jc w:val="right"/>
              <w:ind w:right="44"/>
              <w:spacing w:after="0"/>
              <w:rPr>
                <w:sz w:val="20"/>
                <w:szCs w:val="20"/>
                <w:color w:val="auto"/>
              </w:rPr>
            </w:pPr>
            <w:r>
              <w:rPr>
                <w:rFonts w:ascii="Arial" w:cs="Arial" w:eastAsia="Arial" w:hAnsi="Arial"/>
                <w:sz w:val="15"/>
                <w:szCs w:val="15"/>
                <w:color w:val="auto"/>
              </w:rPr>
              <w:t>484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restart"/>
          </w:tcPr>
          <w:p>
            <w:pPr>
              <w:jc w:val="right"/>
              <w:ind w:right="43"/>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restart"/>
          </w:tcPr>
          <w:p>
            <w:pPr>
              <w:jc w:val="right"/>
              <w:ind w:right="24"/>
              <w:spacing w:after="0"/>
              <w:rPr>
                <w:sz w:val="20"/>
                <w:szCs w:val="20"/>
                <w:color w:val="auto"/>
              </w:rPr>
            </w:pPr>
            <w:r>
              <w:rPr>
                <w:rFonts w:ascii="Arial" w:cs="Arial" w:eastAsia="Arial" w:hAnsi="Arial"/>
                <w:sz w:val="15"/>
                <w:szCs w:val="15"/>
                <w:color w:val="auto"/>
              </w:rPr>
              <w:t>2,719</w:t>
            </w:r>
          </w:p>
        </w:tc>
        <w:tc>
          <w:tcPr>
            <w:tcW w:w="0" w:type="dxa"/>
            <w:vAlign w:val="bottom"/>
          </w:tcPr>
          <w:p>
            <w:pPr>
              <w:spacing w:after="0"/>
              <w:rPr>
                <w:sz w:val="1"/>
                <w:szCs w:val="1"/>
                <w:color w:val="auto"/>
              </w:rPr>
            </w:pPr>
          </w:p>
        </w:tc>
      </w:tr>
      <w:tr>
        <w:trPr>
          <w:trHeight w:val="58"/>
        </w:trPr>
        <w:tc>
          <w:tcPr>
            <w:tcW w:w="51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2,723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4,259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8,031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financial information:</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120"/>
              <w:spacing w:after="0"/>
              <w:rPr>
                <w:sz w:val="20"/>
                <w:szCs w:val="20"/>
                <w:color w:val="auto"/>
              </w:rPr>
            </w:pPr>
            <w:r>
              <w:rPr>
                <w:rFonts w:ascii="Arial" w:cs="Arial" w:eastAsia="Arial" w:hAnsi="Arial"/>
                <w:sz w:val="15"/>
                <w:szCs w:val="15"/>
                <w:color w:val="auto"/>
              </w:rPr>
              <w:t>Additions to long-lived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2,001</w:t>
            </w:r>
          </w:p>
        </w:tc>
        <w:tc>
          <w:tcPr>
            <w:tcW w:w="12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43"/>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321</w:t>
            </w:r>
          </w:p>
        </w:tc>
        <w:tc>
          <w:tcPr>
            <w:tcW w:w="100" w:type="dxa"/>
            <w:vAlign w:val="bottom"/>
          </w:tcPr>
          <w:p>
            <w:pPr>
              <w:spacing w:after="0"/>
              <w:rPr>
                <w:sz w:val="23"/>
                <w:szCs w:val="23"/>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4"/>
              <w:spacing w:after="0"/>
              <w:rPr>
                <w:sz w:val="20"/>
                <w:szCs w:val="20"/>
                <w:color w:val="auto"/>
              </w:rPr>
            </w:pPr>
            <w:r>
              <w:rPr>
                <w:rFonts w:ascii="Arial" w:cs="Arial" w:eastAsia="Arial" w:hAnsi="Arial"/>
                <w:sz w:val="15"/>
                <w:szCs w:val="15"/>
                <w:color w:val="auto"/>
              </w:rPr>
              <w:t>2,814</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Proportional Modified EBITDA of equity-method investments</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795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22" w:gutter="0" w:footer="0" w:header="0"/>
        </w:sectPr>
      </w:pPr>
    </w:p>
    <w:bookmarkStart w:id="146" w:name="page147"/>
    <w:bookmarkEnd w:id="146"/>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9019"/>
          </w:cols>
          <w:pgMar w:left="1440" w:top="341"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reflects the reconciliation of </w:t>
      </w:r>
      <w:r>
        <w:rPr>
          <w:rFonts w:ascii="Arial" w:cs="Arial" w:eastAsia="Arial" w:hAnsi="Arial"/>
          <w:sz w:val="17"/>
          <w:szCs w:val="17"/>
          <w:i w:val="1"/>
          <w:iCs w:val="1"/>
          <w:color w:val="auto"/>
        </w:rPr>
        <w:t>Modified EBITDA</w:t>
      </w:r>
      <w:r>
        <w:rPr>
          <w:rFonts w:ascii="Arial" w:cs="Arial" w:eastAsia="Arial" w:hAnsi="Arial"/>
          <w:sz w:val="17"/>
          <w:szCs w:val="17"/>
          <w:color w:val="auto"/>
        </w:rPr>
        <w:t xml:space="preserve"> to </w:t>
      </w:r>
      <w:r>
        <w:rPr>
          <w:rFonts w:ascii="Arial" w:cs="Arial" w:eastAsia="Arial" w:hAnsi="Arial"/>
          <w:sz w:val="17"/>
          <w:szCs w:val="17"/>
          <w:i w:val="1"/>
          <w:iCs w:val="1"/>
          <w:color w:val="auto"/>
        </w:rPr>
        <w:t>Net income (loss)</w:t>
      </w:r>
      <w:r>
        <w:rPr>
          <w:rFonts w:ascii="Arial" w:cs="Arial" w:eastAsia="Arial" w:hAnsi="Arial"/>
          <w:sz w:val="17"/>
          <w:szCs w:val="17"/>
          <w:color w:val="auto"/>
        </w:rPr>
        <w:t xml:space="preserve"> as reported in the Consolidated Statement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r>
      <w:tr>
        <w:trPr>
          <w:trHeight w:val="250"/>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Modified EBITDA by segment:</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Atlantic-Gulf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Northeast G&amp;P</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West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 associated with asset retirement obligations for nonregulated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(losses)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investing income (loss) –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282</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Proportional Modified EBITDA of equity-method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2,509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reflects </w:t>
      </w:r>
      <w:r>
        <w:rPr>
          <w:rFonts w:ascii="Arial" w:cs="Arial" w:eastAsia="Arial" w:hAnsi="Arial"/>
          <w:sz w:val="18"/>
          <w:szCs w:val="18"/>
          <w:i w:val="1"/>
          <w:iCs w:val="1"/>
          <w:color w:val="auto"/>
        </w:rPr>
        <w:t>Total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Equity-method investments</w:t>
      </w:r>
      <w:r>
        <w:rPr>
          <w:rFonts w:ascii="Arial" w:cs="Arial" w:eastAsia="Arial" w:hAnsi="Arial"/>
          <w:sz w:val="18"/>
          <w:szCs w:val="18"/>
          <w:color w:val="auto"/>
        </w:rPr>
        <w:t xml:space="preserve"> by reportable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60" w:type="dxa"/>
            <w:vAlign w:val="bottom"/>
            <w:gridSpan w:val="5"/>
          </w:tcPr>
          <w:p>
            <w:pPr>
              <w:ind w:left="100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Pr>
          <w:p>
            <w:pPr>
              <w:spacing w:after="0"/>
              <w:rPr>
                <w:sz w:val="18"/>
                <w:szCs w:val="18"/>
                <w:color w:val="auto"/>
              </w:rPr>
            </w:pPr>
          </w:p>
        </w:tc>
        <w:tc>
          <w:tcPr>
            <w:tcW w:w="2920" w:type="dxa"/>
            <w:vAlign w:val="bottom"/>
            <w:gridSpan w:val="4"/>
          </w:tcPr>
          <w:p>
            <w:pPr>
              <w:jc w:val="right"/>
              <w:ind w:right="453"/>
              <w:spacing w:after="0"/>
              <w:rPr>
                <w:sz w:val="20"/>
                <w:szCs w:val="20"/>
                <w:color w:val="auto"/>
              </w:rPr>
            </w:pPr>
            <w:r>
              <w:rPr>
                <w:rFonts w:ascii="Arial" w:cs="Arial" w:eastAsia="Arial" w:hAnsi="Arial"/>
                <w:sz w:val="16"/>
                <w:szCs w:val="16"/>
                <w:b w:val="1"/>
                <w:bCs w:val="1"/>
                <w:color w:val="auto"/>
              </w:rPr>
              <w:t>Equity-Method Investments</w:t>
            </w: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31, 2018</w:t>
            </w:r>
          </w:p>
        </w:tc>
      </w:tr>
      <w:tr>
        <w:trPr>
          <w:trHeight w:val="190"/>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5"/>
          </w:tcPr>
          <w:p>
            <w:pPr>
              <w:ind w:left="108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66"/>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Atlantic-Gulf</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Northeast G&amp;P</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15,399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5,319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 (1)</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46,040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45,302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6,235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7,821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5580" w:right="2060" w:hanging="5572"/>
        <w:spacing w:after="0" w:line="762" w:lineRule="auto"/>
        <w:tabs>
          <w:tab w:leader="none" w:pos="333" w:val="left"/>
        </w:tabs>
        <w:numPr>
          <w:ilvl w:val="0"/>
          <w:numId w:val="82"/>
        </w:numPr>
        <w:rPr>
          <w:rFonts w:ascii="Arial" w:cs="Arial" w:eastAsia="Arial" w:hAnsi="Arial"/>
          <w:sz w:val="18"/>
          <w:szCs w:val="18"/>
          <w:color w:val="auto"/>
        </w:rPr>
      </w:pPr>
      <w:r>
        <w:rPr>
          <w:rFonts w:ascii="Arial" w:cs="Arial" w:eastAsia="Arial" w:hAnsi="Arial"/>
          <w:sz w:val="18"/>
          <w:szCs w:val="18"/>
          <w:color w:val="auto"/>
        </w:rPr>
        <w:t>Eliminations primarily relate to the intercompany notes and accounts receivable generated by our cash management program. 144</w:t>
      </w:r>
    </w:p>
    <w:p>
      <w:pPr>
        <w:sectPr>
          <w:pgSz w:w="11900" w:h="16838" w:orient="portrait"/>
          <w:cols w:equalWidth="0" w:num="1">
            <w:col w:w="11420"/>
          </w:cols>
          <w:pgMar w:left="240" w:top="931" w:right="239" w:bottom="1440" w:gutter="0" w:footer="0" w:header="0"/>
        </w:sectPr>
      </w:pPr>
    </w:p>
    <w:bookmarkStart w:id="148" w:name="page149"/>
    <w:bookmarkEnd w:id="148"/>
    <w:p>
      <w:pPr>
        <w:ind w:left="4580"/>
        <w:spacing w:after="0"/>
        <w:rPr>
          <w:sz w:val="20"/>
          <w:szCs w:val="20"/>
          <w:color w:val="auto"/>
        </w:rPr>
      </w:pPr>
      <w:r>
        <w:rPr>
          <w:rFonts w:ascii="Arial" w:cs="Arial" w:eastAsia="Arial" w:hAnsi="Arial"/>
          <w:sz w:val="18"/>
          <w:szCs w:val="18"/>
          <w:b w:val="1"/>
          <w:bCs w:val="1"/>
          <w:color w:val="auto"/>
        </w:rPr>
        <w:t>The Williams Companies Inc.</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Quarterly Financial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6"/>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Arial" w:cs="Arial" w:eastAsia="Arial" w:hAnsi="Arial"/>
                <w:sz w:val="14"/>
                <w:szCs w:val="14"/>
                <w:b w:val="1"/>
                <w:bCs w:val="1"/>
                <w:color w:val="auto"/>
              </w:rPr>
              <w:t>Second</w:t>
            </w:r>
          </w:p>
        </w:tc>
        <w:tc>
          <w:tcPr>
            <w:tcW w:w="280" w:type="dxa"/>
            <w:vAlign w:val="bottom"/>
          </w:tcPr>
          <w:p>
            <w:pPr>
              <w:spacing w:after="0"/>
              <w:rPr>
                <w:sz w:val="14"/>
                <w:szCs w:val="14"/>
                <w:color w:val="auto"/>
              </w:rPr>
            </w:pPr>
          </w:p>
        </w:tc>
        <w:tc>
          <w:tcPr>
            <w:tcW w:w="940" w:type="dxa"/>
            <w:vAlign w:val="bottom"/>
          </w:tcPr>
          <w:p>
            <w:pPr>
              <w:jc w:val="right"/>
              <w:ind w:right="336"/>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4"/>
                <w:szCs w:val="14"/>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Fourth</w:t>
            </w: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Quarter</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Quarter</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Quarter</w:t>
            </w: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(Millions, except per-share amounts)</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2019</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7"/>
                <w:szCs w:val="17"/>
                <w:color w:val="auto"/>
              </w:rPr>
              <w:t>Revenues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2,054</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2,041</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1,999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2,107</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Product costs and processing commodity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565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507</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453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541</w:t>
            </w:r>
          </w:p>
        </w:tc>
      </w:tr>
      <w:tr>
        <w:trPr>
          <w:trHeight w:val="243"/>
        </w:trPr>
        <w:tc>
          <w:tcPr>
            <w:tcW w:w="6980" w:type="dxa"/>
            <w:vAlign w:val="bottom"/>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214</w:t>
            </w:r>
          </w:p>
        </w:tc>
        <w:tc>
          <w:tcPr>
            <w:tcW w:w="3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324</w:t>
            </w:r>
          </w:p>
        </w:tc>
        <w:tc>
          <w:tcPr>
            <w:tcW w:w="28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242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9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214</w:t>
            </w:r>
          </w:p>
        </w:tc>
        <w:tc>
          <w:tcPr>
            <w:tcW w:w="3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324</w:t>
            </w:r>
          </w:p>
        </w:tc>
        <w:tc>
          <w:tcPr>
            <w:tcW w:w="28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242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attributable to The Williams Companies, Inc. available to common stockholders: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3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310</w:t>
            </w:r>
          </w:p>
        </w:tc>
        <w:tc>
          <w:tcPr>
            <w:tcW w:w="28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220</w:t>
            </w: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(loss)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980" w:type="dxa"/>
            <w:vAlign w:val="bottom"/>
          </w:tcPr>
          <w:p>
            <w:pPr>
              <w:ind w:left="380"/>
              <w:spacing w:after="0"/>
              <w:rPr>
                <w:sz w:val="20"/>
                <w:szCs w:val="20"/>
                <w:color w:val="auto"/>
              </w:rPr>
            </w:pPr>
            <w:r>
              <w:rPr>
                <w:rFonts w:ascii="Arial" w:cs="Arial" w:eastAsia="Arial" w:hAnsi="Arial"/>
                <w:sz w:val="17"/>
                <w:szCs w:val="17"/>
                <w:color w:val="auto"/>
              </w:rPr>
              <w:t>Net income (loss)</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3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310</w:t>
            </w:r>
          </w:p>
        </w:tc>
        <w:tc>
          <w:tcPr>
            <w:tcW w:w="28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220</w:t>
            </w: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Basic and diluted income (loss) from continuing operations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6980" w:type="dxa"/>
            <w:vAlign w:val="bottom"/>
          </w:tcPr>
          <w:p>
            <w:pPr>
              <w:ind w:left="380"/>
              <w:spacing w:after="0"/>
              <w:rPr>
                <w:sz w:val="20"/>
                <w:szCs w:val="20"/>
                <w:color w:val="auto"/>
              </w:rPr>
            </w:pPr>
            <w:r>
              <w:rPr>
                <w:rFonts w:ascii="Arial" w:cs="Arial" w:eastAsia="Arial" w:hAnsi="Arial"/>
                <w:sz w:val="17"/>
                <w:szCs w:val="17"/>
                <w:color w:val="auto"/>
              </w:rPr>
              <w:t>Basic and diluted income (loss) from discontinued operations per common share</w:t>
            </w: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Basic and diluted net income (loss)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428"/>
        </w:trPr>
        <w:tc>
          <w:tcPr>
            <w:tcW w:w="6980" w:type="dxa"/>
            <w:vAlign w:val="bottom"/>
          </w:tcPr>
          <w:p>
            <w:pPr>
              <w:ind w:left="40"/>
              <w:spacing w:after="0"/>
              <w:rPr>
                <w:sz w:val="20"/>
                <w:szCs w:val="20"/>
                <w:color w:val="auto"/>
              </w:rPr>
            </w:pPr>
            <w:r>
              <w:rPr>
                <w:rFonts w:ascii="Arial" w:cs="Arial" w:eastAsia="Arial" w:hAnsi="Arial"/>
                <w:sz w:val="17"/>
                <w:szCs w:val="17"/>
                <w:b w:val="1"/>
                <w:bCs w:val="1"/>
                <w:color w:val="auto"/>
              </w:rPr>
              <w:t>2018</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2,088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2,091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2,303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2,204</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Product costs and processing commodity expenses</w:t>
            </w: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648</w:t>
            </w:r>
          </w:p>
        </w:tc>
        <w:tc>
          <w:tcPr>
            <w:tcW w:w="32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662</w:t>
            </w:r>
          </w:p>
        </w:tc>
        <w:tc>
          <w:tcPr>
            <w:tcW w:w="280" w:type="dxa"/>
            <w:vAlign w:val="bottom"/>
          </w:tcPr>
          <w:p>
            <w:pPr>
              <w:spacing w:after="0"/>
              <w:rPr>
                <w:sz w:val="20"/>
                <w:szCs w:val="20"/>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820</w:t>
            </w:r>
          </w:p>
        </w:tc>
        <w:tc>
          <w:tcPr>
            <w:tcW w:w="20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714</w:t>
            </w:r>
          </w:p>
        </w:tc>
      </w:tr>
      <w:tr>
        <w:trPr>
          <w:trHeight w:val="31"/>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269</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200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w:t>
            </w:r>
          </w:p>
        </w:tc>
      </w:tr>
      <w:tr>
        <w:trPr>
          <w:trHeight w:val="239"/>
        </w:trPr>
        <w:tc>
          <w:tcPr>
            <w:tcW w:w="698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270</w:t>
            </w:r>
          </w:p>
        </w:tc>
        <w:tc>
          <w:tcPr>
            <w:tcW w:w="32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269</w:t>
            </w:r>
          </w:p>
        </w:tc>
        <w:tc>
          <w:tcPr>
            <w:tcW w:w="280" w:type="dxa"/>
            <w:vAlign w:val="bottom"/>
          </w:tcPr>
          <w:p>
            <w:pPr>
              <w:spacing w:after="0"/>
              <w:rPr>
                <w:sz w:val="20"/>
                <w:szCs w:val="20"/>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200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(546)</w:t>
            </w:r>
          </w:p>
        </w:tc>
      </w:tr>
      <w:tr>
        <w:trPr>
          <w:trHeight w:val="31"/>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Amounts attributable to The Williams Companies, Inc. available to common stockholders: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9"/>
        </w:trPr>
        <w:tc>
          <w:tcPr>
            <w:tcW w:w="6980" w:type="dxa"/>
            <w:vAlign w:val="bottom"/>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152</w:t>
            </w:r>
          </w:p>
        </w:tc>
        <w:tc>
          <w:tcPr>
            <w:tcW w:w="32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135</w:t>
            </w:r>
          </w:p>
        </w:tc>
        <w:tc>
          <w:tcPr>
            <w:tcW w:w="280" w:type="dxa"/>
            <w:vAlign w:val="bottom"/>
          </w:tcPr>
          <w:p>
            <w:pPr>
              <w:spacing w:after="0"/>
              <w:rPr>
                <w:sz w:val="20"/>
                <w:szCs w:val="20"/>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129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(572)</w:t>
            </w:r>
          </w:p>
        </w:tc>
      </w:tr>
      <w:tr>
        <w:trPr>
          <w:trHeight w:val="31"/>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135</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129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39"/>
        </w:trPr>
        <w:tc>
          <w:tcPr>
            <w:tcW w:w="6980" w:type="dxa"/>
            <w:vAlign w:val="bottom"/>
          </w:tcPr>
          <w:p>
            <w:pPr>
              <w:ind w:left="380"/>
              <w:spacing w:after="0"/>
              <w:rPr>
                <w:sz w:val="20"/>
                <w:szCs w:val="20"/>
                <w:color w:val="auto"/>
              </w:rPr>
            </w:pPr>
            <w:r>
              <w:rPr>
                <w:rFonts w:ascii="Arial" w:cs="Arial" w:eastAsia="Arial" w:hAnsi="Arial"/>
                <w:sz w:val="17"/>
                <w:szCs w:val="17"/>
                <w:color w:val="auto"/>
              </w:rPr>
              <w:t>Basic and diluted net income (loss) per common share</w:t>
            </w:r>
          </w:p>
        </w:tc>
        <w:tc>
          <w:tcPr>
            <w:tcW w:w="18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.18</w:t>
            </w:r>
          </w:p>
        </w:tc>
        <w:tc>
          <w:tcPr>
            <w:tcW w:w="320" w:type="dxa"/>
            <w:vAlign w:val="bottom"/>
          </w:tcPr>
          <w:p>
            <w:pPr>
              <w:spacing w:after="0"/>
              <w:rPr>
                <w:sz w:val="20"/>
                <w:szCs w:val="20"/>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.16</w:t>
            </w:r>
          </w:p>
        </w:tc>
        <w:tc>
          <w:tcPr>
            <w:tcW w:w="280" w:type="dxa"/>
            <w:vAlign w:val="bottom"/>
          </w:tcPr>
          <w:p>
            <w:pPr>
              <w:spacing w:after="0"/>
              <w:rPr>
                <w:sz w:val="20"/>
                <w:szCs w:val="20"/>
                <w:color w:val="auto"/>
              </w:rPr>
            </w:pPr>
          </w:p>
        </w:tc>
        <w:tc>
          <w:tcPr>
            <w:tcW w:w="940" w:type="dxa"/>
            <w:vAlign w:val="bottom"/>
          </w:tcPr>
          <w:p>
            <w:pPr>
              <w:jc w:val="right"/>
              <w:ind w:right="116"/>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sum of earnings (loss) per share for the four quarters may not equal the total earnings (loss) per share for the year due to changes in the average number of common shares outstanding and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for fourth-quarter 2019 includes $354 million of impairment of Constitution’s capitalized project costs (see Note 4 – Variable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of Notes to Consolidated Financial Statements).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for third-quarter 2019 includes $114 million of impairment of certain equity-method investments (see Note 18 –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Guarantees, and Concentration of Credit Risk of Notes to Consolidated Financial Statements).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for second-quarter 2019 includes a $122 million gain on sale of our equity-method investment in Jackalope (see Note 6 – Investing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for fourth-quarter 2018 includes:</w:t>
      </w:r>
    </w:p>
    <w:p>
      <w:pPr>
        <w:spacing w:after="0" w:line="144" w:lineRule="exact"/>
        <w:rPr>
          <w:sz w:val="20"/>
          <w:szCs w:val="20"/>
          <w:color w:val="auto"/>
        </w:rPr>
      </w:pPr>
    </w:p>
    <w:p>
      <w:pPr>
        <w:ind w:left="660" w:right="20" w:hanging="328"/>
        <w:spacing w:after="0" w:line="271"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18"/>
          <w:szCs w:val="18"/>
          <w:color w:val="auto"/>
        </w:rPr>
        <w:t>$1.849 billion impairment of certain assets in the Barnett Shale region (see Note 18 – Fair Value Measurements, Guarantees, and Concentration of Credit Risk of Notes to Consolidated Financial Statements);</w:t>
      </w:r>
    </w:p>
    <w:p>
      <w:pPr>
        <w:sectPr>
          <w:pgSz w:w="11900" w:h="16838" w:orient="portrait"/>
          <w:cols w:equalWidth="0" w:num="1">
            <w:col w:w="11420"/>
          </w:cols>
          <w:pgMar w:left="240" w:top="770"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770" w:right="239" w:bottom="1440" w:gutter="0" w:footer="0" w:header="0"/>
          <w:type w:val="continuous"/>
        </w:sectPr>
      </w:pPr>
    </w:p>
    <w:bookmarkStart w:id="149" w:name="page150"/>
    <w:bookmarkEnd w:id="149"/>
    <w:p>
      <w:pPr>
        <w:ind w:left="4248"/>
        <w:spacing w:after="0"/>
        <w:rPr>
          <w:sz w:val="20"/>
          <w:szCs w:val="20"/>
          <w:color w:val="auto"/>
        </w:rPr>
      </w:pPr>
      <w:r>
        <w:rPr>
          <w:rFonts w:ascii="Arial" w:cs="Arial" w:eastAsia="Arial" w:hAnsi="Arial"/>
          <w:sz w:val="18"/>
          <w:szCs w:val="18"/>
          <w:b w:val="1"/>
          <w:bCs w:val="1"/>
          <w:color w:val="auto"/>
        </w:rPr>
        <w:t>The Williams Companies Inc.</w:t>
      </w:r>
    </w:p>
    <w:p>
      <w:pPr>
        <w:spacing w:after="0" w:line="171" w:lineRule="exact"/>
        <w:rPr>
          <w:sz w:val="20"/>
          <w:szCs w:val="20"/>
          <w:color w:val="auto"/>
        </w:rPr>
      </w:pPr>
    </w:p>
    <w:p>
      <w:pPr>
        <w:ind w:left="3848"/>
        <w:spacing w:after="0"/>
        <w:rPr>
          <w:sz w:val="20"/>
          <w:szCs w:val="20"/>
          <w:color w:val="auto"/>
        </w:rPr>
      </w:pPr>
      <w:r>
        <w:rPr>
          <w:rFonts w:ascii="Arial" w:cs="Arial" w:eastAsia="Arial" w:hAnsi="Arial"/>
          <w:sz w:val="18"/>
          <w:szCs w:val="18"/>
          <w:b w:val="1"/>
          <w:bCs w:val="1"/>
          <w:color w:val="auto"/>
        </w:rPr>
        <w:t>Quarterly Financial Data – (Continued)</w:t>
      </w:r>
    </w:p>
    <w:p>
      <w:pPr>
        <w:spacing w:after="0" w:line="63"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 w:hanging="328"/>
        <w:spacing w:after="0" w:line="271" w:lineRule="auto"/>
        <w:tabs>
          <w:tab w:leader="none" w:pos="328" w:val="left"/>
        </w:tabs>
        <w:numPr>
          <w:ilvl w:val="0"/>
          <w:numId w:val="84"/>
        </w:numPr>
        <w:rPr>
          <w:rFonts w:ascii="Arial" w:cs="Arial" w:eastAsia="Arial" w:hAnsi="Arial"/>
          <w:sz w:val="22"/>
          <w:szCs w:val="22"/>
          <w:color w:val="auto"/>
        </w:rPr>
      </w:pPr>
      <w:r>
        <w:rPr>
          <w:rFonts w:ascii="Arial" w:cs="Arial" w:eastAsia="Arial" w:hAnsi="Arial"/>
          <w:sz w:val="18"/>
          <w:szCs w:val="18"/>
          <w:color w:val="auto"/>
        </w:rPr>
        <w:t>$591 million gain on the sale of our natural gas gathering and processing assets in the Four Corners area of New Mexico and Colorado (see Note 3 – Acquisitions and Divestitures of Notes to Consolidated Financial Statements);</w:t>
      </w:r>
    </w:p>
    <w:p>
      <w:pPr>
        <w:spacing w:after="0" w:line="101" w:lineRule="exact"/>
        <w:rPr>
          <w:rFonts w:ascii="Arial" w:cs="Arial" w:eastAsia="Arial" w:hAnsi="Arial"/>
          <w:sz w:val="22"/>
          <w:szCs w:val="22"/>
          <w:color w:val="auto"/>
        </w:rPr>
      </w:pPr>
    </w:p>
    <w:p>
      <w:pPr>
        <w:ind w:left="328" w:right="20" w:hanging="328"/>
        <w:spacing w:after="0" w:line="271" w:lineRule="auto"/>
        <w:tabs>
          <w:tab w:leader="none" w:pos="328" w:val="left"/>
        </w:tabs>
        <w:numPr>
          <w:ilvl w:val="0"/>
          <w:numId w:val="84"/>
        </w:numPr>
        <w:rPr>
          <w:rFonts w:ascii="Arial" w:cs="Arial" w:eastAsia="Arial" w:hAnsi="Arial"/>
          <w:sz w:val="22"/>
          <w:szCs w:val="22"/>
          <w:color w:val="auto"/>
        </w:rPr>
      </w:pPr>
      <w:r>
        <w:rPr>
          <w:rFonts w:ascii="Arial" w:cs="Arial" w:eastAsia="Arial" w:hAnsi="Arial"/>
          <w:sz w:val="18"/>
          <w:szCs w:val="18"/>
          <w:color w:val="auto"/>
        </w:rPr>
        <w:t>$141 million deconsolidation gain associated with our investment in the Brazos Permian II joint venture (see Note 6 – Investing Activities of Notes to Consolidated Financial Statements);</w:t>
      </w:r>
    </w:p>
    <w:p>
      <w:pPr>
        <w:spacing w:after="0" w:line="101" w:lineRule="exact"/>
        <w:rPr>
          <w:rFonts w:ascii="Arial" w:cs="Arial" w:eastAsia="Arial" w:hAnsi="Arial"/>
          <w:sz w:val="22"/>
          <w:szCs w:val="22"/>
          <w:color w:val="auto"/>
        </w:rPr>
      </w:pPr>
    </w:p>
    <w:p>
      <w:pPr>
        <w:ind w:left="328" w:hanging="328"/>
        <w:spacing w:after="0" w:line="271" w:lineRule="auto"/>
        <w:tabs>
          <w:tab w:leader="none" w:pos="328" w:val="left"/>
        </w:tabs>
        <w:numPr>
          <w:ilvl w:val="0"/>
          <w:numId w:val="84"/>
        </w:numPr>
        <w:rPr>
          <w:rFonts w:ascii="Arial" w:cs="Arial" w:eastAsia="Arial" w:hAnsi="Arial"/>
          <w:sz w:val="22"/>
          <w:szCs w:val="22"/>
          <w:color w:val="auto"/>
        </w:rPr>
      </w:pPr>
      <w:r>
        <w:rPr>
          <w:rFonts w:ascii="Arial" w:cs="Arial" w:eastAsia="Arial" w:hAnsi="Arial"/>
          <w:sz w:val="18"/>
          <w:szCs w:val="18"/>
          <w:color w:val="auto"/>
        </w:rPr>
        <w:t>$101 million gain on the sale of certain assets and operations located in the Gulf Coast area (see Note 3 – Acquisitions and Divestitures of Notes to Consolidated Financial Statements).</w:t>
      </w:r>
    </w:p>
    <w:p>
      <w:pPr>
        <w:spacing w:after="0" w:line="39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8"/>
          </w:cols>
          <w:pgMar w:left="572" w:top="932"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The Williams Companies,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857"/>
              <w:spacing w:after="0"/>
              <w:rPr>
                <w:sz w:val="20"/>
                <w:szCs w:val="20"/>
                <w:color w:val="auto"/>
              </w:rPr>
            </w:pPr>
            <w:r>
              <w:rPr>
                <w:rFonts w:ascii="Arial" w:cs="Arial" w:eastAsia="Arial" w:hAnsi="Arial"/>
                <w:sz w:val="14"/>
                <w:szCs w:val="14"/>
                <w:b w:val="1"/>
                <w:bCs w:val="1"/>
                <w:color w:val="auto"/>
              </w:rPr>
              <w:t>Additions</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41"/>
              <w:spacing w:after="0" w:line="153" w:lineRule="exact"/>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w w:val="99"/>
              </w:rPr>
              <w:t>Beginning</w:t>
            </w:r>
          </w:p>
        </w:tc>
        <w:tc>
          <w:tcPr>
            <w:tcW w:w="180" w:type="dxa"/>
            <w:vAlign w:val="bottom"/>
          </w:tcPr>
          <w:p>
            <w:pPr>
              <w:spacing w:after="0"/>
              <w:rPr>
                <w:sz w:val="12"/>
                <w:szCs w:val="12"/>
                <w:color w:val="auto"/>
              </w:rPr>
            </w:pPr>
          </w:p>
        </w:tc>
        <w:tc>
          <w:tcPr>
            <w:tcW w:w="11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6"/>
              </w:rPr>
              <w:t>(Credited)</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7"/>
              </w:rPr>
              <w:t>To Costs and</w:t>
            </w:r>
          </w:p>
        </w:tc>
        <w:tc>
          <w:tcPr>
            <w:tcW w:w="200" w:type="dxa"/>
            <w:vAlign w:val="bottom"/>
          </w:tcPr>
          <w:p>
            <w:pPr>
              <w:spacing w:after="0"/>
              <w:rPr>
                <w:sz w:val="12"/>
                <w:szCs w:val="12"/>
                <w:color w:val="auto"/>
              </w:rPr>
            </w:pPr>
          </w:p>
        </w:tc>
        <w:tc>
          <w:tcPr>
            <w:tcW w:w="10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2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8"/>
              </w:rPr>
              <w:t>Expenses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w w:val="97"/>
              </w:rPr>
              <w:t>(Millions)</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60" w:type="dxa"/>
            <w:vAlign w:val="bottom"/>
          </w:tcPr>
          <w:p>
            <w:pPr>
              <w:jc w:val="right"/>
              <w:ind w:right="1770"/>
              <w:spacing w:after="0"/>
              <w:rPr>
                <w:sz w:val="20"/>
                <w:szCs w:val="20"/>
                <w:color w:val="auto"/>
              </w:rPr>
            </w:pPr>
            <w:r>
              <w:rPr>
                <w:rFonts w:ascii="Arial" w:cs="Arial" w:eastAsia="Arial" w:hAnsi="Arial"/>
                <w:sz w:val="18"/>
                <w:szCs w:val="18"/>
                <w:color w:val="auto"/>
              </w:rPr>
              <w:t>Deferred tax asset valuation allowance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320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680"/>
              <w:spacing w:after="0"/>
              <w:rPr>
                <w:sz w:val="20"/>
                <w:szCs w:val="20"/>
                <w:color w:val="auto"/>
              </w:rPr>
            </w:pPr>
            <w:r>
              <w:rPr>
                <w:rFonts w:ascii="Arial" w:cs="Arial" w:eastAsia="Arial" w:hAnsi="Arial"/>
                <w:sz w:val="18"/>
                <w:szCs w:val="18"/>
                <w:color w:val="auto"/>
              </w:rPr>
              <w:t>—   $</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jc w:val="right"/>
              <w:ind w:right="1770"/>
              <w:spacing w:after="0"/>
              <w:rPr>
                <w:sz w:val="20"/>
                <w:szCs w:val="20"/>
                <w:color w:val="auto"/>
              </w:rPr>
            </w:pPr>
            <w:r>
              <w:rPr>
                <w:rFonts w:ascii="Arial" w:cs="Arial" w:eastAsia="Arial" w:hAnsi="Arial"/>
                <w:sz w:val="18"/>
                <w:szCs w:val="18"/>
                <w:color w:val="auto"/>
              </w:rPr>
              <w:t>Deferred tax asset valuation allowance (1)</w:t>
            </w:r>
          </w:p>
        </w:tc>
        <w:tc>
          <w:tcPr>
            <w:tcW w:w="200" w:type="dxa"/>
            <w:vAlign w:val="bottom"/>
          </w:tcPr>
          <w:p>
            <w:pPr>
              <w:spacing w:after="0"/>
              <w:rPr>
                <w:sz w:val="21"/>
                <w:szCs w:val="21"/>
                <w:color w:val="auto"/>
              </w:rPr>
            </w:pP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21"/>
                <w:szCs w:val="21"/>
                <w:color w:val="auto"/>
              </w:rPr>
            </w:pPr>
          </w:p>
        </w:tc>
        <w:tc>
          <w:tcPr>
            <w:tcW w:w="1120" w:type="dxa"/>
            <w:vAlign w:val="bottom"/>
          </w:tcPr>
          <w:p>
            <w:pPr>
              <w:jc w:val="right"/>
              <w:ind w:right="61"/>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jc w:val="right"/>
              <w:ind w:right="4770"/>
              <w:spacing w:after="0"/>
              <w:rPr>
                <w:sz w:val="20"/>
                <w:szCs w:val="20"/>
                <w:color w:val="auto"/>
              </w:rPr>
            </w:pPr>
            <w:r>
              <w:rPr>
                <w:rFonts w:ascii="Arial" w:cs="Arial" w:eastAsia="Arial" w:hAnsi="Arial"/>
                <w:sz w:val="18"/>
                <w:szCs w:val="18"/>
                <w:b w:val="1"/>
                <w:bCs w:val="1"/>
                <w:color w:val="auto"/>
                <w:w w:val="94"/>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jc w:val="right"/>
              <w:ind w:right="1770"/>
              <w:spacing w:after="0"/>
              <w:rPr>
                <w:sz w:val="20"/>
                <w:szCs w:val="20"/>
                <w:color w:val="auto"/>
              </w:rPr>
            </w:pPr>
            <w:r>
              <w:rPr>
                <w:rFonts w:ascii="Arial" w:cs="Arial" w:eastAsia="Arial" w:hAnsi="Arial"/>
                <w:sz w:val="18"/>
                <w:szCs w:val="18"/>
                <w:color w:val="auto"/>
              </w:rPr>
              <w:t>Deferred tax asset valuation allowance (1)</w:t>
            </w:r>
          </w:p>
        </w:tc>
        <w:tc>
          <w:tcPr>
            <w:tcW w:w="200" w:type="dxa"/>
            <w:vAlign w:val="bottom"/>
          </w:tcPr>
          <w:p>
            <w:pPr>
              <w:spacing w:after="0"/>
              <w:rPr>
                <w:sz w:val="21"/>
                <w:szCs w:val="21"/>
                <w:color w:val="auto"/>
              </w:rPr>
            </w:pPr>
          </w:p>
        </w:tc>
        <w:tc>
          <w:tcPr>
            <w:tcW w:w="1080" w:type="dxa"/>
            <w:vAlign w:val="bottom"/>
          </w:tcPr>
          <w:p>
            <w:pPr>
              <w:jc w:val="right"/>
              <w:ind w:right="137"/>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9"/>
        </w:trPr>
        <w:tc>
          <w:tcPr>
            <w:tcW w:w="5260" w:type="dxa"/>
            <w:vAlign w:val="bottom"/>
          </w:tcPr>
          <w:p>
            <w:pPr>
              <w:jc w:val="right"/>
              <w:ind w:right="4270"/>
              <w:spacing w:after="0"/>
              <w:rPr>
                <w:sz w:val="20"/>
                <w:szCs w:val="20"/>
                <w:color w:val="auto"/>
              </w:rPr>
            </w:pPr>
            <w:r>
              <w:rPr>
                <w:rFonts w:ascii="Arial" w:cs="Arial" w:eastAsia="Arial" w:hAnsi="Arial"/>
                <w:sz w:val="18"/>
                <w:szCs w:val="18"/>
                <w:color w:val="auto"/>
                <w:w w:val="87"/>
              </w:rPr>
              <w:t>__________</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jc w:val="right"/>
              <w:ind w:right="2590"/>
              <w:spacing w:after="0"/>
              <w:rPr>
                <w:sz w:val="20"/>
                <w:szCs w:val="20"/>
                <w:color w:val="auto"/>
              </w:rPr>
            </w:pPr>
            <w:r>
              <w:rPr>
                <w:rFonts w:ascii="Arial" w:cs="Arial" w:eastAsia="Arial" w:hAnsi="Arial"/>
                <w:sz w:val="18"/>
                <w:szCs w:val="18"/>
                <w:color w:val="auto"/>
                <w:w w:val="94"/>
              </w:rPr>
              <w:t>(1)  Deducted from related assets.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337"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(as defined in Rules 13a - 15(e) and 15d - 15(e) of the Securities Exchange Act) (Disclosure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We monitor our Disclosure Controls and make modifications as necessary; our intent in this regard is that the Disclosure Controls will be modified as systems change and conditions warrant.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evaluation of the effectiveness of the design and operation of our Disclosure Controls was performed as of the end of the period covered by this report. This evaluation was performed under the supervision and with the participation of our management, including our Chief Executive Officer and Chief Financial Officer. Based upon that evaluation, our Chief Executive Officer and Chief Financial Officer concluded that these Disclosure Controls are effective at a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during the fourth quarter of 2019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 - 15(f) and 15d - 15(f) under the Securities Exchange Act of 1934). Our internal control over financial reporting is designed to provide reasonable assurance to our management and board of directors regarding the preparation and fair presentation of financial statements in accordance with accounting principles generally accepted in the United States.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to permit preparation of financial statements in accordance with generally accepted accounting principles, and that our receipts and expenditures are being made only in accordance with authorization of our management and board of directors; and (iii) provide reasonable assurance regarding prevention or timely detection of unauthorized acquisition, use or disposition of our assets that could have a material effect on our financial statements.</w:t>
      </w:r>
    </w:p>
    <w:p>
      <w:pPr>
        <w:spacing w:after="0" w:line="1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including the possibility of human error and the circumvention or overriding of controls. Therefore, even those systems determined to be effective can provide only reasonable assurance with respect to financial statement preparation and presentation.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337" w:right="239" w:bottom="1440" w:gutter="0" w:footer="0" w:header="0"/>
        </w:sectPr>
      </w:pPr>
    </w:p>
    <w:bookmarkStart w:id="152" w:name="page153"/>
    <w:bookmarkEnd w:id="152"/>
    <w:p>
      <w:pPr>
        <w:jc w:val="both"/>
        <w:ind w:firstLine="324"/>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assessed the effectiveness of our internal control over financial reporting as of December 31, 2019, based on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Based on our assessment, we concluded that, as of December 31, 2019, our internal control over financial reporting was effective.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Ernst &amp; Young LLP, our independent registered public accounting firm, has audited our internal control over financial reporting, as stated in their report which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03"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and the Board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Williams Companies, Inc.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audited The Williams Companies, Inc.’s internal control over financial reporting as of December 31, 2019, based on criteria established in Internal Control-Integrated Framework issued by the Committee of Sponsoring Organizations of the Treadway Commission (2013 framework) (the COSO criteria). In our opinion, The Williams Companies, Inc. (the Company) maintained, in all material respects, effective internal control over financial reporting as of December 31, 2019, based on the COSO criteria.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 of the Company as of December 31, 2019 and 2018, and the related consolidated statements of operations, comprehensive income (loss), changes in equity and cash flows for each of the three years in the period ended December 31, 2019, and the related notes and the financial statement schedule listed in the index at Item 15(a) and our report dated February 24, 2020,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Tulsa, Oklahoma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338"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regarding our directors and nominees for director required by Item 401 of Regulation S-K will be presented under the heading “Election of Directors” in our definitive proxy statement prepared for the solicitation of proxies in connection with our Annual Meeting of Stockholders to be held April 28, 2020, which shall be filed no later than March 19, 2020 (Proxy Statement), which information is incorporated by reference herein.</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Information regarding our executive officers required by Item 401(b) of Regulation S-K is presented at the end of Part I herein and captioned “Information About Our Executive Officers,” as permitted by General Instruction G(3) to and Instruction 3 to Item 401(b) of Regulation S-K.</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required by paragraphs (c)(3), (d)(4) and (d)(5) of Item 407 of Regulation S-K will be included under the heading “Questions and Answers About the Annual Meeting and Voting” and “Corporate Governance and Board Matters” in our Proxy Statement, which information is incorporated by reference herein.</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Code of Business Conduct, together with our Corporate Governance Guidelines, the charters for each of our board committees, and our Code of Business Conduct applicable to all employees, including our Chief Executive Officer, Chief Financial Officer, and Chief Accounting Officer, or persons performing similar functions, are available on our Internet website at </w:t>
      </w:r>
      <w:r>
        <w:rPr>
          <w:rFonts w:ascii="Arial" w:cs="Arial" w:eastAsia="Arial" w:hAnsi="Arial"/>
          <w:sz w:val="17"/>
          <w:szCs w:val="17"/>
          <w:i w:val="1"/>
          <w:iCs w:val="1"/>
          <w:color w:val="auto"/>
        </w:rPr>
        <w:t>www.williams.com.</w:t>
      </w:r>
      <w:r>
        <w:rPr>
          <w:rFonts w:ascii="Arial" w:cs="Arial" w:eastAsia="Arial" w:hAnsi="Arial"/>
          <w:sz w:val="17"/>
          <w:szCs w:val="17"/>
          <w:color w:val="auto"/>
        </w:rPr>
        <w:t xml:space="preserve"> We will provide, free of charge, a copy of our Code of Business Conduct or any of our other corporate documents listed above upon written request to our Corporate Secretary at Williams, One Williams Center, Suite 4700, Tulsa, Oklahoma 74172. We intend to disclose any amendments to or waivers, in each case, of the Code of Business Conduct on behalf of our Chief Executive Officer, Chief Financial Officer, Chief Accounting Officer, and persons performing similar functions on the corporate governance section of our Internet website at </w:t>
      </w:r>
      <w:r>
        <w:rPr>
          <w:rFonts w:ascii="Arial" w:cs="Arial" w:eastAsia="Arial" w:hAnsi="Arial"/>
          <w:sz w:val="17"/>
          <w:szCs w:val="17"/>
          <w:i w:val="1"/>
          <w:iCs w:val="1"/>
          <w:color w:val="auto"/>
        </w:rPr>
        <w:t>www.williams.com</w:t>
      </w:r>
      <w:r>
        <w:rPr>
          <w:rFonts w:ascii="Arial" w:cs="Arial" w:eastAsia="Arial" w:hAnsi="Arial"/>
          <w:sz w:val="17"/>
          <w:szCs w:val="17"/>
          <w:color w:val="auto"/>
        </w:rPr>
        <w:t>, promptly following the date of any such amendment or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information required by Item 402 and paragraphs (e)(4) and (e)(5) of Item 407 of Regulation S-K regarding executive compensation will be presented under the headings “Compensation Discussion and Analysis,” “Executive Compensation and Other Information,” “Compensation of Directors,” “Compensation and Management Development Committee Report on Executive Compensation,” and “Compensation and Management Development Committee Interlocks and Insider Participation” in our Proxy Statement, which information is incorporated by reference herein. Notwithstanding the foregoing, the information provided under the heading “Compensation and Management Development Committee Report on Executive Compensation” in our Proxy Statement is furnished and shall not be deemed to be filed for purposes of Section 18 of the Securities Exchange Act of 1934, as amended, is not subject to the liabilities of that section and is not deemed incorporated by reference in any filing under the Securities Act of 1933, as amended.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regarding securities authorized for issuance under equity compensation plans required by Item 201(d) of Regulation S-K and the security ownership of certain beneficial owners and management required by Item 403 of Regulation S-K will be presented under the headings “Equity Compensation Stock Plans” and “Security Ownership of Certain Beneficial Owners and Management” in our Proxy Statement, which information is incorporated by reference 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99"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regarding certain relationships and related transactions required by Item 404 and Item 407(a) of Regulation S-K will be presented under the heading “Corporate Governance and Board Matters” in our Proxy Statement, which information is incorporated by reference herein.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regarding our principal accounting fees and services required by Item 9(e) of Schedule 14A will be presented under the heading “Principal Accountant Fees and Services” in our Proxy Statement, which information is incorporated by reference herein.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71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1 and 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0700" w:type="dxa"/>
            <w:vAlign w:val="bottom"/>
            <w:gridSpan w:val="12"/>
          </w:tcPr>
          <w:p>
            <w:pPr>
              <w:spacing w:after="0"/>
              <w:rPr>
                <w:sz w:val="20"/>
                <w:szCs w:val="20"/>
                <w:color w:val="auto"/>
              </w:rPr>
            </w:pPr>
            <w:r>
              <w:rPr>
                <w:rFonts w:ascii="Arial" w:cs="Arial" w:eastAsia="Arial" w:hAnsi="Arial"/>
                <w:sz w:val="18"/>
                <w:szCs w:val="18"/>
                <w:color w:val="auto"/>
              </w:rPr>
              <w:t>Covered by report of independent auditors: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10360" w:type="dxa"/>
            <w:vAlign w:val="bottom"/>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 of operations for each year in the three-year period ended December 31, 2019</w:t>
              </w:r>
            </w:hyperlink>
          </w:p>
        </w:tc>
        <w:tc>
          <w:tcPr>
            <w:tcW w:w="440" w:type="dxa"/>
            <w:vAlign w:val="bottom"/>
            <w:gridSpan w:val="2"/>
          </w:tcPr>
          <w:p>
            <w:pPr>
              <w:jc w:val="center"/>
              <w:ind w:left="172"/>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76</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360" w:type="dxa"/>
            <w:vAlign w:val="bottom"/>
            <w:gridSpan w:val="1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Consolidated statement of comprehensive income (loss) for each year in the three-year period ended December 31, 2019</w:t>
              </w:r>
            </w:hyperlink>
          </w:p>
        </w:tc>
        <w:tc>
          <w:tcPr>
            <w:tcW w:w="440" w:type="dxa"/>
            <w:vAlign w:val="bottom"/>
            <w:gridSpan w:val="2"/>
          </w:tcPr>
          <w:p>
            <w:pPr>
              <w:jc w:val="center"/>
              <w:ind w:left="172"/>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680" w:type="dxa"/>
            <w:vAlign w:val="bottom"/>
            <w:gridSpan w:val="1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Consolidated balance sheet at December 31, 2019 and 2018</w:t>
              </w:r>
            </w:hyperlink>
          </w:p>
        </w:tc>
        <w:tc>
          <w:tcPr>
            <w:tcW w:w="1680" w:type="dxa"/>
            <w:vAlign w:val="bottom"/>
          </w:tcPr>
          <w:p>
            <w:pPr>
              <w:spacing w:after="0"/>
              <w:rPr>
                <w:sz w:val="21"/>
                <w:szCs w:val="21"/>
                <w:color w:val="auto"/>
              </w:rPr>
            </w:pPr>
          </w:p>
        </w:tc>
        <w:tc>
          <w:tcPr>
            <w:tcW w:w="440" w:type="dxa"/>
            <w:vAlign w:val="bottom"/>
            <w:gridSpan w:val="2"/>
          </w:tcPr>
          <w:p>
            <w:pPr>
              <w:jc w:val="center"/>
              <w:ind w:left="172"/>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78</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840" w:type="dxa"/>
            <w:vAlign w:val="bottom"/>
            <w:gridSpan w:val="9"/>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 of changes in equity for each year in the three-year period ended December 31, 2019</w:t>
              </w:r>
            </w:hyperlink>
          </w:p>
        </w:tc>
        <w:tc>
          <w:tcPr>
            <w:tcW w:w="2520" w:type="dxa"/>
            <w:vAlign w:val="bottom"/>
            <w:gridSpan w:val="2"/>
          </w:tcPr>
          <w:p>
            <w:pPr>
              <w:spacing w:after="0"/>
              <w:rPr>
                <w:sz w:val="21"/>
                <w:szCs w:val="21"/>
                <w:color w:val="auto"/>
              </w:rPr>
            </w:pPr>
          </w:p>
        </w:tc>
        <w:tc>
          <w:tcPr>
            <w:tcW w:w="440" w:type="dxa"/>
            <w:vAlign w:val="bottom"/>
            <w:gridSpan w:val="2"/>
          </w:tcPr>
          <w:p>
            <w:pPr>
              <w:jc w:val="center"/>
              <w:ind w:left="172"/>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840" w:type="dxa"/>
            <w:vAlign w:val="bottom"/>
            <w:gridSpan w:val="9"/>
          </w:tcPr>
          <w:p>
            <w:pPr>
              <w:spacing w:after="0"/>
              <w:rPr>
                <w:rFonts w:ascii="Arial" w:cs="Arial" w:eastAsia="Arial" w:hAnsi="Arial"/>
                <w:sz w:val="18"/>
                <w:szCs w:val="18"/>
                <w:color w:val="0000EE"/>
                <w:w w:val="95"/>
              </w:rPr>
            </w:pPr>
            <w:hyperlink w:anchor="page81">
              <w:r>
                <w:rPr>
                  <w:rFonts w:ascii="Arial" w:cs="Arial" w:eastAsia="Arial" w:hAnsi="Arial"/>
                  <w:sz w:val="18"/>
                  <w:szCs w:val="18"/>
                  <w:color w:val="0000EE"/>
                  <w:w w:val="95"/>
                </w:rPr>
                <w:t>Consolidated statement of cash flows for each year in the three-year period ended December 31, 2019</w:t>
              </w:r>
            </w:hyperlink>
          </w:p>
        </w:tc>
        <w:tc>
          <w:tcPr>
            <w:tcW w:w="2520" w:type="dxa"/>
            <w:vAlign w:val="bottom"/>
            <w:gridSpan w:val="2"/>
          </w:tcPr>
          <w:p>
            <w:pPr>
              <w:spacing w:after="0"/>
              <w:rPr>
                <w:sz w:val="21"/>
                <w:szCs w:val="21"/>
                <w:color w:val="auto"/>
              </w:rPr>
            </w:pPr>
          </w:p>
        </w:tc>
        <w:tc>
          <w:tcPr>
            <w:tcW w:w="440" w:type="dxa"/>
            <w:vAlign w:val="bottom"/>
            <w:gridSpan w:val="2"/>
          </w:tcPr>
          <w:p>
            <w:pPr>
              <w:jc w:val="center"/>
              <w:ind w:left="172"/>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80</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80" w:type="dxa"/>
            <w:vAlign w:val="bottom"/>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3020" w:type="dxa"/>
            <w:vAlign w:val="bottom"/>
            <w:gridSpan w:val="3"/>
          </w:tcPr>
          <w:p>
            <w:pPr>
              <w:spacing w:after="0"/>
              <w:rPr>
                <w:sz w:val="21"/>
                <w:szCs w:val="21"/>
                <w:color w:val="auto"/>
              </w:rPr>
            </w:pPr>
          </w:p>
        </w:tc>
        <w:tc>
          <w:tcPr>
            <w:tcW w:w="440" w:type="dxa"/>
            <w:vAlign w:val="bottom"/>
            <w:gridSpan w:val="2"/>
          </w:tcPr>
          <w:p>
            <w:pPr>
              <w:jc w:val="center"/>
              <w:ind w:left="172"/>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81</w:t>
              </w:r>
            </w:hyperlink>
          </w:p>
        </w:tc>
        <w:tc>
          <w:tcPr>
            <w:tcW w:w="2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34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Schedule for each year in the three-year period ended December 31, 2019: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0" w:type="dxa"/>
            <w:vAlign w:val="bottom"/>
            <w:gridSpan w:val="10"/>
          </w:tcPr>
          <w:p>
            <w:pPr>
              <w:ind w:left="420"/>
              <w:spacing w:after="0"/>
              <w:rPr>
                <w:rFonts w:ascii="Arial" w:cs="Arial" w:eastAsia="Arial" w:hAnsi="Arial"/>
                <w:sz w:val="18"/>
                <w:szCs w:val="18"/>
                <w:color w:val="0000EE"/>
              </w:rPr>
            </w:pPr>
            <w:hyperlink w:anchor="page151">
              <w:r>
                <w:rPr>
                  <w:rFonts w:ascii="Arial" w:cs="Arial" w:eastAsia="Arial" w:hAnsi="Arial"/>
                  <w:sz w:val="18"/>
                  <w:szCs w:val="18"/>
                  <w:color w:val="0000EE"/>
                </w:rPr>
                <w:t>II — Valuation and qualifying accounts</w:t>
              </w:r>
            </w:hyperlink>
          </w:p>
        </w:tc>
        <w:tc>
          <w:tcPr>
            <w:tcW w:w="680" w:type="dxa"/>
            <w:vAlign w:val="bottom"/>
            <w:gridSpan w:val="3"/>
          </w:tcPr>
          <w:p>
            <w:pPr>
              <w:jc w:val="center"/>
              <w:spacing w:after="0"/>
              <w:rPr>
                <w:rFonts w:ascii="Arial" w:cs="Arial" w:eastAsia="Arial" w:hAnsi="Arial"/>
                <w:sz w:val="18"/>
                <w:szCs w:val="18"/>
                <w:color w:val="0000EE"/>
                <w:w w:val="93"/>
              </w:rPr>
            </w:pPr>
            <w:hyperlink w:anchor="page151">
              <w:r>
                <w:rPr>
                  <w:rFonts w:ascii="Arial" w:cs="Arial" w:eastAsia="Arial" w:hAnsi="Arial"/>
                  <w:sz w:val="18"/>
                  <w:szCs w:val="18"/>
                  <w:color w:val="0000EE"/>
                  <w:w w:val="93"/>
                </w:rPr>
                <w:t>147</w:t>
              </w:r>
            </w:hyperlink>
          </w:p>
        </w:tc>
      </w:tr>
      <w:tr>
        <w:trPr>
          <w:trHeight w:val="20"/>
        </w:trPr>
        <w:tc>
          <w:tcPr>
            <w:tcW w:w="920" w:type="dxa"/>
            <w:vAlign w:val="bottom"/>
            <w:gridSpan w:val="3"/>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940" w:type="dxa"/>
            <w:vAlign w:val="bottom"/>
            <w:gridSpan w:val="6"/>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291"/>
        </w:trPr>
        <w:tc>
          <w:tcPr>
            <w:tcW w:w="10700" w:type="dxa"/>
            <w:vAlign w:val="bottom"/>
            <w:gridSpan w:val="12"/>
          </w:tcPr>
          <w:p>
            <w:pPr>
              <w:spacing w:after="0"/>
              <w:rPr>
                <w:sz w:val="20"/>
                <w:szCs w:val="20"/>
                <w:color w:val="auto"/>
              </w:rPr>
            </w:pPr>
            <w:r>
              <w:rPr>
                <w:rFonts w:ascii="Arial" w:cs="Arial" w:eastAsia="Arial" w:hAnsi="Arial"/>
                <w:sz w:val="18"/>
                <w:szCs w:val="18"/>
                <w:color w:val="auto"/>
              </w:rPr>
              <w:t>Not covered by report of independent auditors: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49">
              <w:r>
                <w:rPr>
                  <w:rFonts w:ascii="Arial" w:cs="Arial" w:eastAsia="Arial" w:hAnsi="Arial"/>
                  <w:sz w:val="18"/>
                  <w:szCs w:val="18"/>
                  <w:color w:val="0000EE"/>
                  <w:w w:val="91"/>
                </w:rPr>
                <w:t>Quarterly financial data (unaudited)</w:t>
              </w:r>
            </w:hyperlink>
          </w:p>
        </w:tc>
        <w:tc>
          <w:tcPr>
            <w:tcW w:w="7600" w:type="dxa"/>
            <w:vAlign w:val="bottom"/>
            <w:gridSpan w:val="8"/>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73"/>
              </w:rPr>
            </w:pPr>
            <w:hyperlink w:anchor="page149">
              <w:r>
                <w:rPr>
                  <w:rFonts w:ascii="Arial" w:cs="Arial" w:eastAsia="Arial" w:hAnsi="Arial"/>
                  <w:sz w:val="18"/>
                  <w:szCs w:val="18"/>
                  <w:color w:val="0000EE"/>
                  <w:w w:val="73"/>
                </w:rPr>
                <w:t>145</w:t>
              </w:r>
            </w:hyperlink>
          </w:p>
        </w:tc>
        <w:tc>
          <w:tcPr>
            <w:tcW w:w="240" w:type="dxa"/>
            <w:vAlign w:val="bottom"/>
          </w:tcPr>
          <w:p>
            <w:pPr>
              <w:spacing w:after="0"/>
              <w:rPr>
                <w:sz w:val="19"/>
                <w:szCs w:val="19"/>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have been omitted since the required information is not present or is not present in amounts sufficient to require submission of the schedule, or because the information required is included in the financial statements and notes thereto.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and (b). The exhibits listed below are filed as part of this annual report.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3260"/>
              <w:spacing w:after="0"/>
              <w:rPr>
                <w:sz w:val="20"/>
                <w:szCs w:val="20"/>
                <w:color w:val="auto"/>
              </w:rPr>
            </w:pPr>
            <w:r>
              <w:rPr>
                <w:rFonts w:ascii="Arial" w:cs="Arial" w:eastAsia="Arial" w:hAnsi="Arial"/>
                <w:sz w:val="18"/>
                <w:szCs w:val="18"/>
                <w:b w:val="1"/>
                <w:bCs w:val="1"/>
                <w:color w:val="auto"/>
              </w:rPr>
              <w:t>INDEX TO EXHIBITS</w:t>
            </w:r>
          </w:p>
        </w:tc>
      </w:tr>
      <w:tr>
        <w:trPr>
          <w:trHeight w:val="522"/>
        </w:trPr>
        <w:tc>
          <w:tcPr>
            <w:tcW w:w="17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Exhibit</w:t>
            </w:r>
          </w:p>
        </w:tc>
        <w:tc>
          <w:tcPr>
            <w:tcW w:w="9700" w:type="dxa"/>
            <w:vAlign w:val="bottom"/>
          </w:tcPr>
          <w:p>
            <w:pPr>
              <w:spacing w:after="0"/>
              <w:rPr>
                <w:sz w:val="24"/>
                <w:szCs w:val="24"/>
                <w:color w:val="auto"/>
              </w:rPr>
            </w:pPr>
          </w:p>
        </w:tc>
      </w:tr>
      <w:tr>
        <w:trPr>
          <w:trHeight w:val="234"/>
        </w:trPr>
        <w:tc>
          <w:tcPr>
            <w:tcW w:w="1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No.</w:t>
            </w:r>
          </w:p>
        </w:tc>
        <w:tc>
          <w:tcPr>
            <w:tcW w:w="9700" w:type="dxa"/>
            <w:vAlign w:val="bottom"/>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jc w:val="both"/>
        <w:ind w:left="1400" w:right="40" w:hanging="1226"/>
        <w:spacing w:after="0" w:line="26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Agreement and Plan of Merger dated as of May 12, 2015, by and among The Williams Companies, Inc., SCMS LLC, Williams</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FF"/>
          </w:rPr>
          <w:t>Partners, L.P., and WPZ GP LLC (filed on May 13, 2015, as Exhibit 2.1 to The Williams Companies, Inc.’s current report on Form 8-</w:t>
        </w:r>
      </w:hyperlink>
      <w:hyperlink r:id="rId60">
        <w:r>
          <w:rPr>
            <w:rFonts w:ascii="Arial" w:cs="Arial" w:eastAsia="Arial" w:hAnsi="Arial"/>
            <w:sz w:val="18"/>
            <w:szCs w:val="18"/>
            <w:u w:val="single" w:color="auto"/>
            <w:color w:val="0000FF"/>
          </w:rPr>
          <w:t>K (File No. 001-04174) and incorporated herein by reference).</w:t>
        </w:r>
      </w:hyperlink>
    </w:p>
    <w:p>
      <w:pPr>
        <w:spacing w:after="0" w:line="208" w:lineRule="exact"/>
        <w:rPr>
          <w:rFonts w:ascii="Arial" w:cs="Arial" w:eastAsia="Arial" w:hAnsi="Arial"/>
          <w:sz w:val="18"/>
          <w:szCs w:val="18"/>
          <w:color w:val="auto"/>
        </w:rPr>
      </w:pPr>
    </w:p>
    <w:p>
      <w:pPr>
        <w:jc w:val="both"/>
        <w:ind w:left="1400" w:right="40" w:hanging="1226"/>
        <w:spacing w:after="0" w:line="26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Agreement and Plan of Merger dated as of May 16, 2018, by and among The Williams Companies, Inc., SCMS LLC, Williams</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FF"/>
          </w:rPr>
          <w:t>Partners L.P., and WPZ GP LLC (filed on May 17, 2018 as Exhibit 2.1 to The Williams Companies, Inc.’s current report on Form 8-</w:t>
        </w:r>
      </w:hyperlink>
      <w:hyperlink r:id="rId61">
        <w:r>
          <w:rPr>
            <w:rFonts w:ascii="Arial" w:cs="Arial" w:eastAsia="Arial" w:hAnsi="Arial"/>
            <w:sz w:val="18"/>
            <w:szCs w:val="18"/>
            <w:u w:val="single" w:color="auto"/>
            <w:color w:val="0000FF"/>
          </w:rPr>
          <w:t>K (File No. 001-04174) and incorporated herein by reference).</w:t>
        </w:r>
      </w:hyperlink>
    </w:p>
    <w:p>
      <w:pPr>
        <w:spacing w:after="0" w:line="208" w:lineRule="exact"/>
        <w:rPr>
          <w:rFonts w:ascii="Arial" w:cs="Arial" w:eastAsia="Arial" w:hAnsi="Arial"/>
          <w:sz w:val="18"/>
          <w:szCs w:val="18"/>
          <w:color w:val="auto"/>
        </w:rPr>
      </w:pPr>
    </w:p>
    <w:p>
      <w:pPr>
        <w:jc w:val="both"/>
        <w:ind w:left="1400" w:right="20" w:hanging="1226"/>
        <w:spacing w:after="0" w:line="259"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Amendment No 1. to Agreement and Plan of Merger dated as of May 1, 2016, by and among The Williams Companies, Inc., Energy</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FF"/>
          </w:rPr>
          <w:t>Transfer Corp LP, Energy Transfer Corp GP, LLC, Energy Transfer Equity, L.P., LE GP, LLC and Energy Transfer Equity GP,</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LLC (filed on May 3, 2016, as Exhibit 2.1 to The Williams Companies, Inc.’s current report on Form 8-K (File No. 001-04174) and</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incorporated herein by reference).</w:t>
        </w:r>
      </w:hyperlink>
    </w:p>
    <w:p>
      <w:pPr>
        <w:spacing w:after="0" w:line="214" w:lineRule="exact"/>
        <w:rPr>
          <w:rFonts w:ascii="Arial" w:cs="Arial" w:eastAsia="Arial" w:hAnsi="Arial"/>
          <w:sz w:val="18"/>
          <w:szCs w:val="18"/>
          <w:u w:val="single" w:color="auto"/>
          <w:color w:val="0000FF"/>
        </w:rPr>
      </w:pPr>
    </w:p>
    <w:p>
      <w:pPr>
        <w:jc w:val="both"/>
        <w:ind w:left="1400" w:right="20" w:hanging="1226"/>
        <w:spacing w:after="0" w:line="259"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FF"/>
          </w:rPr>
          <w:t>Agreement and Plan of Merger dated as of September 28, 2015, by and among The Williams Companies, Inc., Energy Transfer Corp</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FF"/>
          </w:rPr>
          <w:t>LP, Energy Transfer Corp GP, LLC, Energy Transfer Equity, L.P., LE GP, LLC and Energy Transfer Equity GP, LLC (filed on</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October 1, 2015, as Exhibit 2.1 to The Williams Companies, Inc.’s current report on Form 8-K (File No. 001-04174) and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pacing w:after="0" w:line="23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715" w:right="239" w:bottom="1440" w:gutter="0" w:footer="0" w:header="0"/>
        </w:sectPr>
      </w:pPr>
    </w:p>
    <w:bookmarkStart w:id="157" w:name="page158"/>
    <w:bookmarkEnd w:id="157"/>
    <w:p>
      <w:pPr>
        <w:jc w:val="center"/>
        <w:ind w:right="448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22860</wp:posOffset>
            </wp:positionV>
            <wp:extent cx="7975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48895</wp:posOffset>
            </wp:positionV>
            <wp:extent cx="6157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040" w:space="720"/>
            <w:col w:w="5280"/>
          </w:cols>
          <w:pgMar w:left="600" w:top="877" w:right="259" w:bottom="1440" w:gutter="0" w:footer="0" w:header="0"/>
        </w:sectPr>
      </w:pPr>
    </w:p>
    <w:p>
      <w:pPr>
        <w:spacing w:after="0" w:line="173" w:lineRule="exact"/>
        <w:rPr>
          <w:sz w:val="20"/>
          <w:szCs w:val="20"/>
          <w:color w:val="auto"/>
        </w:rPr>
      </w:pPr>
    </w:p>
    <w:p>
      <w:pPr>
        <w:jc w:val="both"/>
        <w:ind w:left="1040" w:hanging="1226"/>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FF"/>
          </w:rPr>
          <w:t>Interest Swap and Purchase Agreement by and among Western Gas Partners, LP, WGR Operating, LP, Delaware Basin JV Gathering</w:t>
        </w:r>
      </w:hyperlink>
      <w:r>
        <w:rPr>
          <w:rFonts w:ascii="Arial" w:cs="Arial" w:eastAsia="Arial" w:hAnsi="Arial"/>
          <w:sz w:val="18"/>
          <w:szCs w:val="18"/>
          <w:color w:val="auto"/>
        </w:rPr>
        <w:t xml:space="preserve"> </w:t>
      </w:r>
      <w:hyperlink r:id="rId66">
        <w:r>
          <w:rPr>
            <w:rFonts w:ascii="Arial" w:cs="Arial" w:eastAsia="Arial" w:hAnsi="Arial"/>
            <w:sz w:val="18"/>
            <w:szCs w:val="18"/>
            <w:u w:val="single" w:color="auto"/>
            <w:color w:val="0000FF"/>
          </w:rPr>
          <w:t>LLC, Williams Partners L.P., Williams Midstream Gas Services LLC, and Appalachia Midstream Services, L.L.C., dated February 9,</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2017 (filed on February 10, 2017, as Exhibit 2.1 to The Williams Companies Inc.’s current report on Form 8-K (File No. 001-04174)</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and incorporated herein by reference).</w:t>
        </w:r>
      </w:hyperlink>
    </w:p>
    <w:p>
      <w:pPr>
        <w:spacing w:after="0" w:line="268" w:lineRule="exact"/>
        <w:rPr>
          <w:rFonts w:ascii="Arial" w:cs="Arial" w:eastAsia="Arial" w:hAnsi="Arial"/>
          <w:sz w:val="18"/>
          <w:szCs w:val="18"/>
          <w:u w:val="single" w:color="auto"/>
          <w:color w:val="0000FF"/>
        </w:rPr>
      </w:pPr>
    </w:p>
    <w:p>
      <w:pPr>
        <w:jc w:val="both"/>
        <w:ind w:left="1040" w:hanging="1226"/>
        <w:spacing w:after="0" w:line="286"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FF"/>
          </w:rPr>
          <w:t>Membership Interest Purchase Agreement, dated as of April 13, 2017, among Williams Field Services Group, LLC, Williams</w:t>
        </w:r>
      </w:hyperlink>
      <w:r>
        <w:rPr>
          <w:rFonts w:ascii="Arial" w:cs="Arial" w:eastAsia="Arial" w:hAnsi="Arial"/>
          <w:sz w:val="17"/>
          <w:szCs w:val="17"/>
          <w:color w:val="auto"/>
        </w:rPr>
        <w:t xml:space="preserve"> </w:t>
      </w:r>
      <w:hyperlink r:id="rId67">
        <w:r>
          <w:rPr>
            <w:rFonts w:ascii="Arial" w:cs="Arial" w:eastAsia="Arial" w:hAnsi="Arial"/>
            <w:sz w:val="17"/>
            <w:szCs w:val="17"/>
            <w:u w:val="single" w:color="auto"/>
            <w:color w:val="0000FF"/>
          </w:rPr>
          <w:t>Partners L.P., Williams Olefins, L.L.C., NOVA Chemicals Inc., and NOVA Chemicals Corporation (filed on August 3, 2017, as</w:t>
        </w:r>
      </w:hyperlink>
      <w:r>
        <w:rPr>
          <w:rFonts w:ascii="Arial" w:cs="Arial" w:eastAsia="Arial" w:hAnsi="Arial"/>
          <w:sz w:val="17"/>
          <w:szCs w:val="17"/>
          <w:u w:val="single" w:color="auto"/>
          <w:color w:val="0000FF"/>
        </w:rPr>
        <w:t xml:space="preserve"> </w:t>
      </w:r>
      <w:hyperlink r:id="rId67">
        <w:r>
          <w:rPr>
            <w:rFonts w:ascii="Arial" w:cs="Arial" w:eastAsia="Arial" w:hAnsi="Arial"/>
            <w:sz w:val="17"/>
            <w:szCs w:val="17"/>
            <w:u w:val="single" w:color="auto"/>
            <w:color w:val="0000FF"/>
          </w:rPr>
          <w:t>Exhibit 2.2 to Williams Partners L.P.’s quarterly report on Form 10-Q (File No. 001-34831) and incorporated herein by reference).</w:t>
        </w:r>
      </w:hyperlink>
    </w:p>
    <w:p>
      <w:pPr>
        <w:spacing w:after="0" w:line="193" w:lineRule="exact"/>
        <w:rPr>
          <w:rFonts w:ascii="Arial" w:cs="Arial" w:eastAsia="Arial" w:hAnsi="Arial"/>
          <w:sz w:val="17"/>
          <w:szCs w:val="17"/>
          <w:color w:val="auto"/>
        </w:rPr>
      </w:pPr>
    </w:p>
    <w:p>
      <w:pPr>
        <w:jc w:val="both"/>
        <w:ind w:left="1040" w:right="20" w:hanging="1226"/>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Amended and Restated Certificate of Incorporation, (filed on May 26, 2010, as Exhibit 3.(i)1 to The Williams Companies Inc.’s</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FF"/>
          </w:rPr>
          <w:t>current report on Form 8-K (File No. 001-04174) and incorporated herein by reference).</w:t>
        </w:r>
      </w:hyperlink>
    </w:p>
    <w:p>
      <w:pPr>
        <w:spacing w:after="0" w:line="197" w:lineRule="exact"/>
        <w:rPr>
          <w:sz w:val="20"/>
          <w:szCs w:val="20"/>
          <w:color w:val="auto"/>
        </w:rPr>
      </w:pPr>
    </w:p>
    <w:p>
      <w:pPr>
        <w:jc w:val="both"/>
        <w:ind w:left="1040" w:hanging="1226"/>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FF"/>
          </w:rPr>
          <w:t>Certificate of Designations of Series B Preferred Stock of the Williams Companies, Inc. (filed on July17, 2018, as Exhibit 3.1 to The</w:t>
        </w:r>
      </w:hyperlink>
      <w:r>
        <w:rPr>
          <w:rFonts w:ascii="Arial" w:cs="Arial" w:eastAsia="Arial" w:hAnsi="Arial"/>
          <w:sz w:val="18"/>
          <w:szCs w:val="18"/>
          <w:color w:val="auto"/>
        </w:rPr>
        <w:t xml:space="preserve"> </w:t>
      </w:r>
      <w:hyperlink r:id="rId69">
        <w:r>
          <w:rPr>
            <w:rFonts w:ascii="Arial" w:cs="Arial" w:eastAsia="Arial" w:hAnsi="Arial"/>
            <w:sz w:val="18"/>
            <w:szCs w:val="18"/>
            <w:u w:val="single" w:color="auto"/>
            <w:color w:val="0000FF"/>
          </w:rPr>
          <w:t>Williams Companies, Inc. current report on Form 8-K (File No. 001-04174) and Incorporated herein by reference).</w:t>
        </w:r>
      </w:hyperlink>
    </w:p>
    <w:p>
      <w:pPr>
        <w:spacing w:after="0" w:line="197" w:lineRule="exact"/>
        <w:rPr>
          <w:sz w:val="20"/>
          <w:szCs w:val="20"/>
          <w:color w:val="auto"/>
        </w:rPr>
      </w:pPr>
    </w:p>
    <w:p>
      <w:pPr>
        <w:jc w:val="both"/>
        <w:ind w:left="1040" w:right="20" w:hanging="1226"/>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FF"/>
          </w:rPr>
          <w:t>Certificate of Amendment dated August 10, 2018 (filed on August 10, 2018, as Exhibit 3.1 to The Williams Companies, Inc.’s</w:t>
        </w:r>
      </w:hyperlink>
      <w:r>
        <w:rPr>
          <w:rFonts w:ascii="Arial" w:cs="Arial" w:eastAsia="Arial" w:hAnsi="Arial"/>
          <w:sz w:val="18"/>
          <w:szCs w:val="18"/>
          <w:color w:val="auto"/>
        </w:rPr>
        <w:t xml:space="preserve"> </w:t>
      </w:r>
      <w:hyperlink r:id="rId70">
        <w:r>
          <w:rPr>
            <w:rFonts w:ascii="Arial" w:cs="Arial" w:eastAsia="Arial" w:hAnsi="Arial"/>
            <w:sz w:val="18"/>
            <w:szCs w:val="18"/>
            <w:u w:val="single" w:color="auto"/>
            <w:color w:val="0000FF"/>
          </w:rPr>
          <w:t>current report on Form 8-K (File No. 001-04174) and incorporated herein by reference).</w:t>
        </w:r>
      </w:hyperlink>
    </w:p>
    <w:p>
      <w:pPr>
        <w:spacing w:after="0" w:line="197" w:lineRule="exact"/>
        <w:rPr>
          <w:sz w:val="20"/>
          <w:szCs w:val="20"/>
          <w:color w:val="auto"/>
        </w:rPr>
      </w:pPr>
    </w:p>
    <w:p>
      <w:pPr>
        <w:ind w:left="160"/>
        <w:spacing w:after="0"/>
        <w:tabs>
          <w:tab w:leader="none" w:pos="1020" w:val="left"/>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w:t>
      </w:r>
      <w:r>
        <w:rPr>
          <w:sz w:val="20"/>
          <w:szCs w:val="20"/>
          <w:color w:val="auto"/>
        </w:rPr>
        <w:tab/>
      </w:r>
      <w:hyperlink r:id="rId71">
        <w:r>
          <w:rPr>
            <w:rFonts w:ascii="Arial" w:cs="Arial" w:eastAsia="Arial" w:hAnsi="Arial"/>
            <w:sz w:val="17"/>
            <w:szCs w:val="17"/>
            <w:u w:val="single" w:color="auto"/>
            <w:color w:val="0000FF"/>
          </w:rPr>
          <w:t>By-Laws (filed on January 20, 2017, as Exhibit 3.1 to The Williams Companies Inc.’s current report on Form 8-K (File No. 001-</w:t>
        </w:r>
      </w:hyperlink>
    </w:p>
    <w:p>
      <w:pPr>
        <w:spacing w:after="0" w:line="23" w:lineRule="exact"/>
        <w:rPr>
          <w:sz w:val="20"/>
          <w:szCs w:val="20"/>
          <w:color w:val="auto"/>
        </w:rPr>
      </w:pPr>
    </w:p>
    <w:p>
      <w:pPr>
        <w:ind w:left="140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04174) and incorporated herein by reference).</w:t>
        </w:r>
      </w:hyperlink>
    </w:p>
    <w:p>
      <w:pPr>
        <w:spacing w:after="0" w:line="238" w:lineRule="exact"/>
        <w:rPr>
          <w:sz w:val="20"/>
          <w:szCs w:val="20"/>
          <w:color w:val="auto"/>
        </w:rPr>
      </w:pPr>
    </w:p>
    <w:p>
      <w:pPr>
        <w:jc w:val="both"/>
        <w:ind w:left="104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FF"/>
          </w:rPr>
          <w:t>Senior Indenture, dated February 25, 1997, between MAPCO Inc. and Bank One Trust Company, N.A. (formerly The First National</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FF"/>
          </w:rPr>
          <w:t>Bank of Chicago), as Trustee (filed on February 25, 1997, as Exhibit 4.5.1 to MAPCO Inc.’s Amendment No. l to registration</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statement on Form S-3 (File No. 333-20837) and incorporated herein by reference).</w:t>
        </w:r>
      </w:hyperlink>
    </w:p>
    <w:p>
      <w:pPr>
        <w:spacing w:after="0" w:line="208" w:lineRule="exact"/>
        <w:rPr>
          <w:rFonts w:ascii="Arial" w:cs="Arial" w:eastAsia="Arial" w:hAnsi="Arial"/>
          <w:sz w:val="18"/>
          <w:szCs w:val="18"/>
          <w:color w:val="auto"/>
        </w:rPr>
      </w:pPr>
    </w:p>
    <w:p>
      <w:pPr>
        <w:jc w:val="both"/>
        <w:ind w:left="104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Supplemental Indenture No. 2, dated March 5, 1997, between MAPCO Inc. and Bank One Trust Company, N.A. (formerly The First</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FF"/>
          </w:rPr>
          <w:t>National Bank of Chicago), as Trustee (filed on March 4, 1998, as Exhibit 4(p) to MAPCO Inc.’s annual report on Form 10-K for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fiscal year ended December 31, 1997 (File No. 001-05254) and incorporated herein by reference).</w:t>
        </w:r>
      </w:hyperlink>
    </w:p>
    <w:p>
      <w:pPr>
        <w:spacing w:after="0" w:line="208" w:lineRule="exact"/>
        <w:rPr>
          <w:rFonts w:ascii="Arial" w:cs="Arial" w:eastAsia="Arial" w:hAnsi="Arial"/>
          <w:sz w:val="18"/>
          <w:szCs w:val="18"/>
          <w:color w:val="auto"/>
        </w:rPr>
      </w:pPr>
    </w:p>
    <w:p>
      <w:pPr>
        <w:jc w:val="both"/>
        <w:ind w:left="1040" w:right="20" w:hanging="1226"/>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FF"/>
          </w:rPr>
          <w:t>Supplemental Indenture No. 3, dated March 31, 1998, among MAPCO Inc., Williams Holdings of Delaware, Inc. and Bank One</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FF"/>
          </w:rPr>
          <w:t>Trust Company, N.A. (formerly The First National Bank of Chicago), as Trustee (filed on March 30, 1999, as Exhibit 4(J)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Williams Holdings of Delaware, Inc.’s annual report on Form 10-K for the fiscal year ended December 31, 1998 (File No. 000-</w:t>
        </w:r>
      </w:hyperlink>
      <w:hyperlink r:id="rId74">
        <w:r>
          <w:rPr>
            <w:rFonts w:ascii="Arial" w:cs="Arial" w:eastAsia="Arial" w:hAnsi="Arial"/>
            <w:sz w:val="18"/>
            <w:szCs w:val="18"/>
            <w:u w:val="single" w:color="auto"/>
            <w:color w:val="0000FF"/>
          </w:rPr>
          <w:t>20555) and incorporated herein by reference).</w:t>
        </w:r>
      </w:hyperlink>
    </w:p>
    <w:p>
      <w:pPr>
        <w:spacing w:after="0" w:line="214" w:lineRule="exact"/>
        <w:rPr>
          <w:rFonts w:ascii="Arial" w:cs="Arial" w:eastAsia="Arial" w:hAnsi="Arial"/>
          <w:sz w:val="18"/>
          <w:szCs w:val="18"/>
          <w:u w:val="single" w:color="auto"/>
          <w:color w:val="0000FF"/>
        </w:rPr>
      </w:pPr>
    </w:p>
    <w:p>
      <w:pPr>
        <w:jc w:val="both"/>
        <w:ind w:left="1040" w:hanging="1226"/>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FF"/>
          </w:rPr>
          <w:t>Fourth Supplemental Indenture, dated as of July 31, 1999, among Williams Holdings of Delaware, Inc., The Williams Companies,</w:t>
        </w:r>
      </w:hyperlink>
      <w:r>
        <w:rPr>
          <w:rFonts w:ascii="Arial" w:cs="Arial" w:eastAsia="Arial" w:hAnsi="Arial"/>
          <w:sz w:val="18"/>
          <w:szCs w:val="18"/>
          <w:color w:val="auto"/>
        </w:rPr>
        <w:t xml:space="preserve"> </w:t>
      </w:r>
      <w:hyperlink r:id="rId75">
        <w:r>
          <w:rPr>
            <w:rFonts w:ascii="Arial" w:cs="Arial" w:eastAsia="Arial" w:hAnsi="Arial"/>
            <w:sz w:val="18"/>
            <w:szCs w:val="18"/>
            <w:u w:val="single" w:color="auto"/>
            <w:color w:val="0000FF"/>
          </w:rPr>
          <w:t>Inc. and Bank One Trust Company, N.A. (formerly The First National Bank of Chicago), as Trustee (filed on March 28, 2000, as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Exhibit 4(q) to The Williams Companies, Inc.’s annual report on Form 10-K (File No. 001-04174) and incorporated herein by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reference).</w:t>
        </w:r>
      </w:hyperlink>
    </w:p>
    <w:p>
      <w:pPr>
        <w:spacing w:after="0" w:line="214" w:lineRule="exact"/>
        <w:rPr>
          <w:rFonts w:ascii="Arial" w:cs="Arial" w:eastAsia="Arial" w:hAnsi="Arial"/>
          <w:sz w:val="18"/>
          <w:szCs w:val="18"/>
          <w:u w:val="single" w:color="auto"/>
          <w:color w:val="0000FF"/>
        </w:rPr>
      </w:pPr>
    </w:p>
    <w:p>
      <w:pPr>
        <w:jc w:val="both"/>
        <w:ind w:left="1040" w:right="2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FF"/>
          </w:rPr>
          <w:t>Fifth Supplemental Indenture, dated as of February 1, 2010, between The Williams Companies, Inc. and The Bank of New York</w:t>
        </w:r>
      </w:hyperlink>
      <w:r>
        <w:rPr>
          <w:rFonts w:ascii="Arial" w:cs="Arial" w:eastAsia="Arial" w:hAnsi="Arial"/>
          <w:sz w:val="18"/>
          <w:szCs w:val="18"/>
          <w:color w:val="auto"/>
        </w:rPr>
        <w:t xml:space="preserve"> </w:t>
      </w:r>
      <w:hyperlink r:id="rId76">
        <w:r>
          <w:rPr>
            <w:rFonts w:ascii="Arial" w:cs="Arial" w:eastAsia="Arial" w:hAnsi="Arial"/>
            <w:sz w:val="18"/>
            <w:szCs w:val="18"/>
            <w:u w:val="single" w:color="auto"/>
            <w:color w:val="0000FF"/>
          </w:rPr>
          <w:t>Mellon Trust Company, N.A. (filed on February 2, 2010, as Exhibit 4.3 to The Williams Companies, Inc.’s current report on Form 8-</w:t>
        </w:r>
      </w:hyperlink>
      <w:hyperlink r:id="rId76">
        <w:r>
          <w:rPr>
            <w:rFonts w:ascii="Arial" w:cs="Arial" w:eastAsia="Arial" w:hAnsi="Arial"/>
            <w:sz w:val="18"/>
            <w:szCs w:val="18"/>
            <w:u w:val="single" w:color="auto"/>
            <w:color w:val="0000FF"/>
          </w:rPr>
          <w:t>K (File No. 001-04174) and incorporated herein by reference).</w:t>
        </w:r>
      </w:hyperlink>
    </w:p>
    <w:p>
      <w:pPr>
        <w:spacing w:after="0" w:line="208" w:lineRule="exact"/>
        <w:rPr>
          <w:rFonts w:ascii="Arial" w:cs="Arial" w:eastAsia="Arial" w:hAnsi="Arial"/>
          <w:sz w:val="18"/>
          <w:szCs w:val="18"/>
          <w:color w:val="auto"/>
        </w:rPr>
      </w:pPr>
    </w:p>
    <w:p>
      <w:pPr>
        <w:jc w:val="both"/>
        <w:ind w:left="104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Fifth Supplemental Indenture between The Williams Companies, Inc. and Bank One Trust Company, N.A., as Trustee, dated as of</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FF"/>
          </w:rPr>
          <w:t>January 17, 2001 (filed on March 12, 2001, as Exhibit 4(k) to The Williams Companies, Inc.’s annual report on Form 10-K (File No.</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001-04174) and incorporated herein by reference).</w:t>
        </w:r>
      </w:hyperlink>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jc w:val="center"/>
        <w:ind w:right="34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40"/>
          </w:cols>
          <w:pgMar w:left="600" w:top="877" w:right="259" w:bottom="1440" w:gutter="0" w:footer="0" w:header="0"/>
          <w:type w:val="continuous"/>
        </w:sectPr>
      </w:pPr>
    </w:p>
    <w:bookmarkStart w:id="158" w:name="page159"/>
    <w:bookmarkEnd w:id="158"/>
    <w:p>
      <w:pPr>
        <w:jc w:val="center"/>
        <w:ind w:right="448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jc w:val="center"/>
        <w:ind w:right="448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22860</wp:posOffset>
            </wp:positionV>
            <wp:extent cx="7975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48895</wp:posOffset>
            </wp:positionV>
            <wp:extent cx="61575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5040" w:space="720"/>
            <w:col w:w="5280"/>
          </w:cols>
          <w:pgMar w:left="600" w:top="878" w:right="259" w:bottom="1440" w:gutter="0" w:footer="0" w:header="0"/>
        </w:sectPr>
      </w:pPr>
    </w:p>
    <w:p>
      <w:pPr>
        <w:spacing w:after="0" w:line="173" w:lineRule="exact"/>
        <w:rPr>
          <w:sz w:val="20"/>
          <w:szCs w:val="20"/>
          <w:color w:val="auto"/>
        </w:rPr>
      </w:pPr>
    </w:p>
    <w:p>
      <w:pPr>
        <w:jc w:val="both"/>
        <w:ind w:left="104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Seventh Supplemental Indenture, dated March 19, 2002, between The Williams Companies, Inc. as Issuer and Bank One Trust</w:t>
        </w:r>
      </w:hyperlink>
      <w:r>
        <w:rPr>
          <w:rFonts w:ascii="Arial" w:cs="Arial" w:eastAsia="Arial" w:hAnsi="Arial"/>
          <w:sz w:val="18"/>
          <w:szCs w:val="18"/>
          <w:color w:val="auto"/>
        </w:rPr>
        <w:t xml:space="preserve"> </w:t>
      </w:r>
      <w:hyperlink r:id="rId80">
        <w:r>
          <w:rPr>
            <w:rFonts w:ascii="Arial" w:cs="Arial" w:eastAsia="Arial" w:hAnsi="Arial"/>
            <w:sz w:val="18"/>
            <w:szCs w:val="18"/>
            <w:u w:val="single" w:color="auto"/>
            <w:color w:val="0000FF"/>
          </w:rPr>
          <w:t>Company, National Association, as Trustee (filed on May 9, 2002, as Exhibit 4.1 to The Williams Companies, Inc.’s quarterly report</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on Form 10-Q (File No. 001-04174) and incorporated herein by reference).</w:t>
        </w:r>
      </w:hyperlink>
    </w:p>
    <w:p>
      <w:pPr>
        <w:spacing w:after="0" w:line="208" w:lineRule="exact"/>
        <w:rPr>
          <w:rFonts w:ascii="Arial" w:cs="Arial" w:eastAsia="Arial" w:hAnsi="Arial"/>
          <w:sz w:val="18"/>
          <w:szCs w:val="18"/>
          <w:color w:val="auto"/>
        </w:rPr>
      </w:pPr>
    </w:p>
    <w:p>
      <w:pPr>
        <w:jc w:val="both"/>
        <w:ind w:left="1040" w:right="2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Eleventh Supplemental Indenture, dated as of February 1, 2010, between The Williams Companies, Inc. and The Bank of New York</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FF"/>
          </w:rPr>
          <w:t>Mellon Trust Company, N.A. (filed on February 2, 2010, as Exhibit 4.1 to The Williams Companies, Inc.’s current report on Form 8-</w:t>
        </w:r>
      </w:hyperlink>
      <w:hyperlink r:id="rId81">
        <w:r>
          <w:rPr>
            <w:rFonts w:ascii="Arial" w:cs="Arial" w:eastAsia="Arial" w:hAnsi="Arial"/>
            <w:sz w:val="18"/>
            <w:szCs w:val="18"/>
            <w:u w:val="single" w:color="auto"/>
            <w:color w:val="0000FF"/>
          </w:rPr>
          <w:t>K (File No. 001-04174) and incorporated herein by reference).</w:t>
        </w:r>
      </w:hyperlink>
    </w:p>
    <w:p>
      <w:pPr>
        <w:spacing w:after="0" w:line="208" w:lineRule="exact"/>
        <w:rPr>
          <w:rFonts w:ascii="Arial" w:cs="Arial" w:eastAsia="Arial" w:hAnsi="Arial"/>
          <w:sz w:val="18"/>
          <w:szCs w:val="18"/>
          <w:color w:val="auto"/>
        </w:rPr>
      </w:pPr>
    </w:p>
    <w:p>
      <w:pPr>
        <w:jc w:val="both"/>
        <w:ind w:left="1040" w:right="20" w:hanging="1226"/>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Indenture, dated December 18, 2012, between The Williams Companies, Inc. and The Bank of New York Mellon Trust Company,</w:t>
        </w:r>
      </w:hyperlink>
      <w:r>
        <w:rPr>
          <w:rFonts w:ascii="Arial" w:cs="Arial" w:eastAsia="Arial" w:hAnsi="Arial"/>
          <w:sz w:val="18"/>
          <w:szCs w:val="18"/>
          <w:color w:val="auto"/>
        </w:rPr>
        <w:t xml:space="preserve"> </w:t>
      </w:r>
      <w:hyperlink r:id="rId82">
        <w:r>
          <w:rPr>
            <w:rFonts w:ascii="Arial" w:cs="Arial" w:eastAsia="Arial" w:hAnsi="Arial"/>
            <w:sz w:val="18"/>
            <w:szCs w:val="18"/>
            <w:u w:val="single" w:color="auto"/>
            <w:color w:val="0000FF"/>
          </w:rPr>
          <w:t>N.A. as trustee (filed on December 20, 2012, as Exhibit 4.1 to The Williams Companies, Inc.’s current report on Form 8-K (File No.</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001-04174) and incorporated herein by reference).</w:t>
        </w:r>
      </w:hyperlink>
    </w:p>
    <w:p>
      <w:pPr>
        <w:spacing w:after="0" w:line="208" w:lineRule="exact"/>
        <w:rPr>
          <w:rFonts w:ascii="Arial" w:cs="Arial" w:eastAsia="Arial" w:hAnsi="Arial"/>
          <w:sz w:val="18"/>
          <w:szCs w:val="18"/>
          <w:color w:val="auto"/>
        </w:rPr>
      </w:pPr>
    </w:p>
    <w:p>
      <w:pPr>
        <w:jc w:val="both"/>
        <w:ind w:left="1040" w:right="2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First Supplemental Indenture, dated December 18, 2012, between The Williams Companies, Inc. and The Bank of New York Mellon</w:t>
        </w:r>
      </w:hyperlink>
      <w:r>
        <w:rPr>
          <w:rFonts w:ascii="Arial" w:cs="Arial" w:eastAsia="Arial" w:hAnsi="Arial"/>
          <w:sz w:val="18"/>
          <w:szCs w:val="18"/>
          <w:color w:val="auto"/>
        </w:rPr>
        <w:t xml:space="preserve"> </w:t>
      </w:r>
      <w:hyperlink r:id="rId83">
        <w:r>
          <w:rPr>
            <w:rFonts w:ascii="Arial" w:cs="Arial" w:eastAsia="Arial" w:hAnsi="Arial"/>
            <w:sz w:val="18"/>
            <w:szCs w:val="18"/>
            <w:u w:val="single" w:color="auto"/>
            <w:color w:val="0000FF"/>
          </w:rPr>
          <w:t>Trust Company, N.A. as trustee (filed on December 20, 2012, as Exhibit 4.2 to The Williams Companies, Inc.’s current report on</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Form 8-K (File No. 001-04174) and incorporated herein by reference).</w:t>
        </w:r>
      </w:hyperlink>
    </w:p>
    <w:p>
      <w:pPr>
        <w:spacing w:after="0" w:line="208" w:lineRule="exact"/>
        <w:rPr>
          <w:rFonts w:ascii="Arial" w:cs="Arial" w:eastAsia="Arial" w:hAnsi="Arial"/>
          <w:sz w:val="18"/>
          <w:szCs w:val="18"/>
          <w:color w:val="auto"/>
        </w:rPr>
      </w:pPr>
    </w:p>
    <w:p>
      <w:pPr>
        <w:jc w:val="both"/>
        <w:ind w:left="1040" w:hanging="1267"/>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Second Supplemental Indenture, dated as of June 24, 2014, between The Williams Companies, Inc. and The Bank of New York</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Mellon Trust Company, N.A., as trustee (filed on June 24, 2014, as Exhibit 4.1 to The Williams Companies, Inc.’s current report on</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Form 8-K (File No. 001-04174) and incorporated herein by reference).</w:t>
        </w:r>
      </w:hyperlink>
    </w:p>
    <w:p>
      <w:pPr>
        <w:spacing w:after="0" w:line="208" w:lineRule="exact"/>
        <w:rPr>
          <w:rFonts w:ascii="Arial" w:cs="Arial" w:eastAsia="Arial" w:hAnsi="Arial"/>
          <w:sz w:val="18"/>
          <w:szCs w:val="18"/>
          <w:color w:val="auto"/>
        </w:rPr>
      </w:pPr>
    </w:p>
    <w:p>
      <w:pPr>
        <w:jc w:val="both"/>
        <w:ind w:left="1040" w:right="2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Indenture, dated as of February 9, 2010, between Williams Partners L.P. and The Bank of New York Mellon Trust Company, N.A.</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(filed on February 10, 2010, as Exhibit 4.1 to The Williams Companies, Inc.’s current report on Form 8-K (File No. 001-04174) and</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incorporated herein by reference).</w:t>
        </w:r>
      </w:hyperlink>
    </w:p>
    <w:p>
      <w:pPr>
        <w:spacing w:after="0" w:line="208" w:lineRule="exact"/>
        <w:rPr>
          <w:rFonts w:ascii="Arial" w:cs="Arial" w:eastAsia="Arial" w:hAnsi="Arial"/>
          <w:sz w:val="18"/>
          <w:szCs w:val="18"/>
          <w:color w:val="auto"/>
        </w:rPr>
      </w:pPr>
    </w:p>
    <w:p>
      <w:pPr>
        <w:jc w:val="both"/>
        <w:ind w:left="1040" w:right="2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First Supplemental Indenture, dated as of February 2, 2015, between Williams Partners L.P. and The Bank of New York Mellon Trust</w:t>
        </w:r>
      </w:hyperlink>
      <w:r>
        <w:rPr>
          <w:rFonts w:ascii="Arial" w:cs="Arial" w:eastAsia="Arial" w:hAnsi="Arial"/>
          <w:sz w:val="18"/>
          <w:szCs w:val="18"/>
          <w:color w:val="auto"/>
        </w:rPr>
        <w:t xml:space="preserve"> </w:t>
      </w:r>
      <w:hyperlink r:id="rId86">
        <w:r>
          <w:rPr>
            <w:rFonts w:ascii="Arial" w:cs="Arial" w:eastAsia="Arial" w:hAnsi="Arial"/>
            <w:sz w:val="18"/>
            <w:szCs w:val="18"/>
            <w:u w:val="single" w:color="auto"/>
            <w:color w:val="0000FF"/>
          </w:rPr>
          <w:t>Company, N.A. (filed on February 3, 2015, as Exhibit 4.5 to Williams Partners L.P.’s current report on Form 8-K (File No. 001-</w:t>
        </w:r>
      </w:hyperlink>
      <w:hyperlink r:id="rId86">
        <w:r>
          <w:rPr>
            <w:rFonts w:ascii="Arial" w:cs="Arial" w:eastAsia="Arial" w:hAnsi="Arial"/>
            <w:sz w:val="18"/>
            <w:szCs w:val="18"/>
            <w:u w:val="single" w:color="auto"/>
            <w:color w:val="0000FF"/>
          </w:rPr>
          <w:t>34831) and incorporated herein by reference).</w:t>
        </w:r>
      </w:hyperlink>
    </w:p>
    <w:p>
      <w:pPr>
        <w:spacing w:after="0" w:line="208" w:lineRule="exact"/>
        <w:rPr>
          <w:rFonts w:ascii="Arial" w:cs="Arial" w:eastAsia="Arial" w:hAnsi="Arial"/>
          <w:sz w:val="18"/>
          <w:szCs w:val="18"/>
          <w:color w:val="auto"/>
        </w:rPr>
      </w:pPr>
    </w:p>
    <w:p>
      <w:pPr>
        <w:jc w:val="both"/>
        <w:ind w:left="104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Second Supplemental Indenture, dated as of August 10, 2018, between The Williams Companies, Inc. and The Bank of New York</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FF"/>
          </w:rPr>
          <w:t>Mellon Trust Company, N.A. (filed on August 10, 2018, as Exhibit 4.2 to The Williams Companies, Inc.’s current report on Form 8-</w:t>
        </w:r>
      </w:hyperlink>
      <w:hyperlink r:id="rId87">
        <w:r>
          <w:rPr>
            <w:rFonts w:ascii="Arial" w:cs="Arial" w:eastAsia="Arial" w:hAnsi="Arial"/>
            <w:sz w:val="18"/>
            <w:szCs w:val="18"/>
            <w:u w:val="single" w:color="auto"/>
            <w:color w:val="0000FF"/>
          </w:rPr>
          <w:t>K (File No. 001-04174) and incorporated herein by reference).</w:t>
        </w:r>
      </w:hyperlink>
    </w:p>
    <w:p>
      <w:pPr>
        <w:spacing w:after="0" w:line="208" w:lineRule="exact"/>
        <w:rPr>
          <w:rFonts w:ascii="Arial" w:cs="Arial" w:eastAsia="Arial" w:hAnsi="Arial"/>
          <w:sz w:val="18"/>
          <w:szCs w:val="18"/>
          <w:color w:val="auto"/>
        </w:rPr>
      </w:pPr>
    </w:p>
    <w:p>
      <w:pPr>
        <w:jc w:val="both"/>
        <w:ind w:left="1040" w:right="2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Indenture, dated as of November 9, 2010, between Williams Partners L.P. and The Bank of New York Mellon Trust Company, N.A.,</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as trustee (filed on November 12, 2010, as Exhibit 4.1 to Williams Partners L.P.’s current report on Form 8-K (File No. 001-32599)</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and incorporated herein by reference).</w:t>
        </w:r>
      </w:hyperlink>
    </w:p>
    <w:p>
      <w:pPr>
        <w:spacing w:after="0" w:line="208" w:lineRule="exact"/>
        <w:rPr>
          <w:rFonts w:ascii="Arial" w:cs="Arial" w:eastAsia="Arial" w:hAnsi="Arial"/>
          <w:sz w:val="18"/>
          <w:szCs w:val="18"/>
          <w:color w:val="auto"/>
        </w:rPr>
      </w:pPr>
    </w:p>
    <w:p>
      <w:pPr>
        <w:jc w:val="both"/>
        <w:ind w:left="104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First Supplemental Indenture, dated as of November 9, 2010, between Williams Partners L.P. and The Bank of New York Mellon</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Trust Company, N.A., as trustee (filed on November 12, 2010, as Exhibit 4.2 to Williams Partners L.P.’s current report on Form 8-K</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(File No. 001-32599) and incorporated herein by reference).</w:t>
        </w:r>
      </w:hyperlink>
    </w:p>
    <w:p>
      <w:pPr>
        <w:spacing w:after="0" w:line="208" w:lineRule="exact"/>
        <w:rPr>
          <w:rFonts w:ascii="Arial" w:cs="Arial" w:eastAsia="Arial" w:hAnsi="Arial"/>
          <w:sz w:val="18"/>
          <w:szCs w:val="18"/>
          <w:color w:val="auto"/>
        </w:rPr>
      </w:pPr>
    </w:p>
    <w:p>
      <w:pPr>
        <w:jc w:val="both"/>
        <w:ind w:left="1040" w:hanging="127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Second Supplemental Indenture, dated as of November 17, 2011, between Williams Partners L.P. and The Bank of New York Mellon</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Trust Company, N.A., as trustee (filed November 18, 2011, as Exhibit 4.1 to Williams Partners L.P.’s current report on Form 8-K</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(File No. 001-32599) and incorporated herein by reference).</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center"/>
        <w:ind w:right="34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40"/>
          </w:cols>
          <w:pgMar w:left="600" w:top="878" w:right="25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40" w:type="dxa"/>
            <w:vAlign w:val="bottom"/>
            <w:gridSpan w:val="5"/>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160" w:type="dxa"/>
            <w:vAlign w:val="bottom"/>
            <w:gridSpan w:val="12"/>
          </w:tcPr>
          <w:p>
            <w:pPr>
              <w:ind w:left="1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91">
              <w:r>
                <w:rPr>
                  <w:rFonts w:ascii="Arial" w:cs="Arial" w:eastAsia="Arial" w:hAnsi="Arial"/>
                  <w:sz w:val="18"/>
                  <w:szCs w:val="18"/>
                  <w:color w:val="0000FF"/>
                  <w:w w:val="95"/>
                </w:rPr>
                <w:t>Third Supplemental Indenture (including Form of 3.35% Senior Notes due 2022), dated as of August 14, 2012, between Williams</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7"/>
              </w:rPr>
            </w:pPr>
            <w:hyperlink r:id="rId91">
              <w:r>
                <w:rPr>
                  <w:rFonts w:ascii="Arial" w:cs="Arial" w:eastAsia="Arial" w:hAnsi="Arial"/>
                  <w:sz w:val="18"/>
                  <w:szCs w:val="18"/>
                  <w:color w:val="0000FF"/>
                  <w:w w:val="97"/>
                </w:rPr>
                <w:t>Partners L.P. and The Bank of New York Mellon Trust Company, N.A., as trustee (filed on August 14, 2012 as Exhibit 4.1 to</w:t>
              </w:r>
            </w:hyperlink>
          </w:p>
        </w:tc>
        <w:tc>
          <w:tcPr>
            <w:tcW w:w="20" w:type="dxa"/>
            <w:vAlign w:val="bottom"/>
            <w:tcBorders>
              <w:bottom w:val="single" w:sz="8" w:color="0000FF"/>
            </w:tcBorders>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Williams Partners L.P.’s current report on Form 8-K (File No. 001-32599) and incorporated herein by reference).</w:t>
              </w:r>
            </w:hyperlink>
          </w:p>
        </w:tc>
        <w:tc>
          <w:tcPr>
            <w:tcW w:w="1540" w:type="dxa"/>
            <w:vAlign w:val="bottom"/>
            <w:gridSpan w:val="3"/>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160" w:type="dxa"/>
            <w:vAlign w:val="bottom"/>
            <w:gridSpan w:val="12"/>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2">
              <w:r>
                <w:rPr>
                  <w:rFonts w:ascii="Arial" w:cs="Arial" w:eastAsia="Arial" w:hAnsi="Arial"/>
                  <w:sz w:val="18"/>
                  <w:szCs w:val="18"/>
                  <w:color w:val="0000FF"/>
                  <w:w w:val="92"/>
                </w:rPr>
                <w:t>Fourth Supplemental Indenture, dated as of November 15, 2013, between Williams Partners L.P. and The Bank of New York Mellon</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Trust Company, N .A., as trustee (filed on November 18, 2013, as Exhibit 4.1 to Williams Partners L.P.’s current report on Form 8-K</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(File No. 001-32599) and incorporated herein by reference).</w:t>
              </w:r>
            </w:hyperlink>
          </w:p>
        </w:tc>
      </w:tr>
      <w:tr>
        <w:trPr>
          <w:trHeight w:val="20"/>
        </w:trPr>
        <w:tc>
          <w:tcPr>
            <w:tcW w:w="12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10160" w:type="dxa"/>
            <w:vAlign w:val="bottom"/>
            <w:gridSpan w:val="12"/>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3">
              <w:r>
                <w:rPr>
                  <w:rFonts w:ascii="Arial" w:cs="Arial" w:eastAsia="Arial" w:hAnsi="Arial"/>
                  <w:sz w:val="18"/>
                  <w:szCs w:val="18"/>
                  <w:color w:val="0000FF"/>
                  <w:w w:val="94"/>
                </w:rPr>
                <w:t>Fifth Supplemental Indenture, dated as of March 4, 2014, between Williams Partners L.P. and The Bank of New York Mellon Trust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93">
              <w:r>
                <w:rPr>
                  <w:rFonts w:ascii="Arial" w:cs="Arial" w:eastAsia="Arial" w:hAnsi="Arial"/>
                  <w:sz w:val="18"/>
                  <w:szCs w:val="18"/>
                  <w:color w:val="0000FF"/>
                  <w:w w:val="93"/>
                </w:rPr>
                <w:t>Company, N.A., as trustee (filed on March 4, 2014, as Exhibit 4.1 to Williams Partners L.P.’s current report on Form 8-K (File No.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001-32599) and incorporated herein by reference).</w:t>
              </w:r>
            </w:hyperlink>
          </w:p>
        </w:tc>
        <w:tc>
          <w:tcPr>
            <w:tcW w:w="6020" w:type="dxa"/>
            <w:vAlign w:val="bottom"/>
            <w:gridSpan w:val="6"/>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10160" w:type="dxa"/>
            <w:vAlign w:val="bottom"/>
            <w:gridSpan w:val="12"/>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4">
              <w:r>
                <w:rPr>
                  <w:rFonts w:ascii="Arial" w:cs="Arial" w:eastAsia="Arial" w:hAnsi="Arial"/>
                  <w:sz w:val="18"/>
                  <w:szCs w:val="18"/>
                  <w:color w:val="0000FF"/>
                  <w:w w:val="93"/>
                </w:rPr>
                <w:t>Sixth Supplemental Indenture, dated as of June 27, 2014, between Williams Partners L.P. and The Bank of New York Mellon Trust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Company, N.A., as trustee (filed on June 27, 2014, as Exhibit 4.1 to Williams Partners L.P.’s current report on Form 8-K (File No.</w:t>
              </w:r>
            </w:hyperlink>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001-32599) and incorporated herein by reference).</w:t>
              </w:r>
            </w:hyperlink>
          </w:p>
        </w:tc>
        <w:tc>
          <w:tcPr>
            <w:tcW w:w="6020" w:type="dxa"/>
            <w:vAlign w:val="bottom"/>
            <w:gridSpan w:val="6"/>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10160" w:type="dxa"/>
            <w:vAlign w:val="bottom"/>
            <w:gridSpan w:val="12"/>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5">
              <w:r>
                <w:rPr>
                  <w:rFonts w:ascii="Arial" w:cs="Arial" w:eastAsia="Arial" w:hAnsi="Arial"/>
                  <w:sz w:val="18"/>
                  <w:szCs w:val="18"/>
                  <w:color w:val="0000FF"/>
                  <w:w w:val="93"/>
                </w:rPr>
                <w:t>Seventh Supplemental Indenture, dated as of February 2, 2015, between Williams Partners L.P. and The Bank of New York Mellon</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Trust Company, N.A. (filed on February 3, 2015, as Exhibit 4.4 to Williams Partners L.P.’s current report on Form 8-K (File No. 001-</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95">
              <w:r>
                <w:rPr>
                  <w:rFonts w:ascii="Arial" w:cs="Arial" w:eastAsia="Arial" w:hAnsi="Arial"/>
                  <w:sz w:val="18"/>
                  <w:szCs w:val="18"/>
                  <w:color w:val="0000FF"/>
                  <w:w w:val="88"/>
                </w:rPr>
                <w:t>34831) and incorporated herein by reference).</w:t>
              </w:r>
            </w:hyperlink>
          </w:p>
        </w:tc>
        <w:tc>
          <w:tcPr>
            <w:tcW w:w="6320" w:type="dxa"/>
            <w:vAlign w:val="bottom"/>
            <w:tcBorders>
              <w:top w:val="single" w:sz="8" w:color="0000FF"/>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10160" w:type="dxa"/>
            <w:vAlign w:val="bottom"/>
            <w:gridSpan w:val="12"/>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96">
              <w:r>
                <w:rPr>
                  <w:rFonts w:ascii="Arial" w:cs="Arial" w:eastAsia="Arial" w:hAnsi="Arial"/>
                  <w:sz w:val="18"/>
                  <w:szCs w:val="18"/>
                  <w:color w:val="0000FF"/>
                  <w:w w:val="92"/>
                </w:rPr>
                <w:t>Eighth Supplemental Indenture, dated as of March 3, 2015, between Williams Partners L.P. and The Bank of New York Mellon Trust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96">
              <w:r>
                <w:rPr>
                  <w:rFonts w:ascii="Arial" w:cs="Arial" w:eastAsia="Arial" w:hAnsi="Arial"/>
                  <w:sz w:val="18"/>
                  <w:szCs w:val="18"/>
                  <w:color w:val="0000FF"/>
                  <w:w w:val="93"/>
                </w:rPr>
                <w:t>Company, N.A., as trustee (filed on March 3, 2015, as Exhibit 4.1 to Williams Partners L.P.’s current report on Form 8-K (File No.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001-34831) and incorporated herein by reference).</w:t>
              </w:r>
            </w:hyperlink>
          </w:p>
        </w:tc>
        <w:tc>
          <w:tcPr>
            <w:tcW w:w="6020" w:type="dxa"/>
            <w:vAlign w:val="bottom"/>
            <w:gridSpan w:val="6"/>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10160" w:type="dxa"/>
            <w:vAlign w:val="bottom"/>
            <w:gridSpan w:val="12"/>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97">
              <w:r>
                <w:rPr>
                  <w:rFonts w:ascii="Arial" w:cs="Arial" w:eastAsia="Arial" w:hAnsi="Arial"/>
                  <w:sz w:val="18"/>
                  <w:szCs w:val="18"/>
                  <w:color w:val="0000FF"/>
                  <w:w w:val="94"/>
                </w:rPr>
                <w:t>Ninth Supplemental Indenture, dated as of June 5, 2017, between Williams Partners L.P. and The Bank of New York Mellon Trust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4"/>
              </w:rPr>
            </w:pPr>
            <w:hyperlink r:id="rId97">
              <w:r>
                <w:rPr>
                  <w:rFonts w:ascii="Arial" w:cs="Arial" w:eastAsia="Arial" w:hAnsi="Arial"/>
                  <w:sz w:val="18"/>
                  <w:szCs w:val="18"/>
                  <w:color w:val="0000FF"/>
                  <w:w w:val="94"/>
                </w:rPr>
                <w:t>Company, N.A., as trustee (filed on June 5, 2017, as Exhibit 4.1 to Williams Partners L.P.’s current report on Form 8-K (File No.</w:t>
              </w:r>
            </w:hyperlink>
          </w:p>
        </w:tc>
        <w:tc>
          <w:tcPr>
            <w:tcW w:w="20" w:type="dxa"/>
            <w:vAlign w:val="bottom"/>
            <w:tcBorders>
              <w:top w:val="single" w:sz="8" w:color="0000FF"/>
            </w:tcBorders>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rPr>
            </w:pPr>
            <w:hyperlink r:id="rId97">
              <w:r>
                <w:rPr>
                  <w:rFonts w:ascii="Arial" w:cs="Arial" w:eastAsia="Arial" w:hAnsi="Arial"/>
                  <w:sz w:val="18"/>
                  <w:szCs w:val="18"/>
                  <w:color w:val="0000FF"/>
                </w:rPr>
                <w:t>001-34831) and incorporated herein by reference).</w:t>
              </w:r>
            </w:hyperlink>
          </w:p>
        </w:tc>
      </w:tr>
      <w:tr>
        <w:trPr>
          <w:trHeight w:val="20"/>
        </w:trPr>
        <w:tc>
          <w:tcPr>
            <w:tcW w:w="1260" w:type="dxa"/>
            <w:vAlign w:val="bottom"/>
          </w:tcPr>
          <w:p>
            <w:pPr>
              <w:spacing w:after="0" w:line="20" w:lineRule="exact"/>
              <w:rPr>
                <w:sz w:val="1"/>
                <w:szCs w:val="1"/>
                <w:color w:val="auto"/>
              </w:rPr>
            </w:pPr>
          </w:p>
        </w:tc>
        <w:tc>
          <w:tcPr>
            <w:tcW w:w="520" w:type="dxa"/>
            <w:vAlign w:val="bottom"/>
            <w:tcBorders>
              <w:right w:val="single" w:sz="8" w:color="0000FF"/>
            </w:tcBorders>
            <w:gridSpan w:val="2"/>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10160" w:type="dxa"/>
            <w:vAlign w:val="bottom"/>
            <w:gridSpan w:val="12"/>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8">
              <w:r>
                <w:rPr>
                  <w:rFonts w:ascii="Arial" w:cs="Arial" w:eastAsia="Arial" w:hAnsi="Arial"/>
                  <w:sz w:val="18"/>
                  <w:szCs w:val="18"/>
                  <w:color w:val="0000FF"/>
                  <w:w w:val="93"/>
                </w:rPr>
                <w:t>Tenth Supplemental Indenture, dated as of March 5, 2018, between Williams Partners L.P. and The Bank of New York Mellon Trust</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5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bottom w:val="single" w:sz="8" w:color="0000FF"/>
            </w:tcBorders>
            <w:gridSpan w:val="9"/>
          </w:tcPr>
          <w:p>
            <w:pPr>
              <w:spacing w:after="0" w:line="196" w:lineRule="exact"/>
              <w:rPr>
                <w:rFonts w:ascii="Arial" w:cs="Arial" w:eastAsia="Arial" w:hAnsi="Arial"/>
                <w:sz w:val="18"/>
                <w:szCs w:val="18"/>
                <w:color w:val="0000FF"/>
                <w:w w:val="93"/>
              </w:rPr>
            </w:pPr>
            <w:hyperlink r:id="rId98">
              <w:r>
                <w:rPr>
                  <w:rFonts w:ascii="Arial" w:cs="Arial" w:eastAsia="Arial" w:hAnsi="Arial"/>
                  <w:sz w:val="18"/>
                  <w:szCs w:val="18"/>
                  <w:color w:val="0000FF"/>
                  <w:w w:val="93"/>
                </w:rPr>
                <w:t>Company, N.A., as trustee (filed on March 5, 2018, as Exhibit 4.1 to Williams Partners L.P.’s current report on Form 8-K (File No.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2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98">
              <w:r>
                <w:rPr>
                  <w:rFonts w:ascii="Arial" w:cs="Arial" w:eastAsia="Arial" w:hAnsi="Arial"/>
                  <w:sz w:val="18"/>
                  <w:szCs w:val="18"/>
                  <w:color w:val="0000FF"/>
                  <w:w w:val="89"/>
                </w:rPr>
                <w:t>001-34831) and incorporated herein by reference).</w:t>
              </w:r>
            </w:hyperlink>
          </w:p>
        </w:tc>
        <w:tc>
          <w:tcPr>
            <w:tcW w:w="6020" w:type="dxa"/>
            <w:vAlign w:val="bottom"/>
            <w:gridSpan w:val="6"/>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10160" w:type="dxa"/>
            <w:vAlign w:val="bottom"/>
            <w:gridSpan w:val="12"/>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99">
              <w:r>
                <w:rPr>
                  <w:rFonts w:ascii="Arial" w:cs="Arial" w:eastAsia="Arial" w:hAnsi="Arial"/>
                  <w:sz w:val="18"/>
                  <w:szCs w:val="18"/>
                  <w:color w:val="0000FF"/>
                  <w:w w:val="93"/>
                </w:rPr>
                <w:t>Eleventh Supplemental Indenture, dated as of August 10, 2018, between The Williams Companies Inc. and The Bank of New York</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Mellon Trust Company, N.A. (filed on August 10, 2018, as Exhibit 4.1 to The Williams Companies, Inc.’s current report on Form 8-</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99">
              <w:r>
                <w:rPr>
                  <w:rFonts w:ascii="Arial" w:cs="Arial" w:eastAsia="Arial" w:hAnsi="Arial"/>
                  <w:sz w:val="18"/>
                  <w:szCs w:val="18"/>
                  <w:color w:val="0000FF"/>
                  <w:w w:val="90"/>
                </w:rPr>
                <w:t>K (File No. 001-04174) and incorporated herein by reference).</w:t>
              </w:r>
            </w:hyperlink>
          </w:p>
        </w:tc>
        <w:tc>
          <w:tcPr>
            <w:tcW w:w="5160" w:type="dxa"/>
            <w:vAlign w:val="bottom"/>
            <w:gridSpan w:val="4"/>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10160" w:type="dxa"/>
            <w:vAlign w:val="bottom"/>
            <w:gridSpan w:val="12"/>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00">
              <w:r>
                <w:rPr>
                  <w:rFonts w:ascii="Arial" w:cs="Arial" w:eastAsia="Arial" w:hAnsi="Arial"/>
                  <w:sz w:val="18"/>
                  <w:szCs w:val="18"/>
                  <w:color w:val="0000FF"/>
                  <w:w w:val="96"/>
                </w:rPr>
                <w:t>Senior Indenture, dated as of November 30, 1995, between Northwest Pipeline Corporation and Chemical Bank, Trustee (filed</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September 14, 1995, as Exhibit 4.1 to Northwest Pipeline’s registration statement on Form S-3 (File No. 033-62639) and</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00">
              <w:r>
                <w:rPr>
                  <w:rFonts w:ascii="Arial" w:cs="Arial" w:eastAsia="Arial" w:hAnsi="Arial"/>
                  <w:sz w:val="18"/>
                  <w:szCs w:val="18"/>
                  <w:color w:val="0000FF"/>
                  <w:w w:val="88"/>
                </w:rPr>
                <w:t>incorporated herein by reference).</w:t>
              </w:r>
            </w:hyperlink>
          </w:p>
        </w:tc>
        <w:tc>
          <w:tcPr>
            <w:tcW w:w="7220" w:type="dxa"/>
            <w:vAlign w:val="bottom"/>
            <w:gridSpan w:val="9"/>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10160" w:type="dxa"/>
            <w:vAlign w:val="bottom"/>
            <w:gridSpan w:val="12"/>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01">
              <w:r>
                <w:rPr>
                  <w:rFonts w:ascii="Arial" w:cs="Arial" w:eastAsia="Arial" w:hAnsi="Arial"/>
                  <w:sz w:val="18"/>
                  <w:szCs w:val="18"/>
                  <w:color w:val="0000FF"/>
                  <w:w w:val="94"/>
                </w:rPr>
                <w:t>Indenture, dated as of April 3, 2017, between Northwest Pipeline LLC and The Bank of New York Mellon Trust Company, N.A., as</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rPr>
            </w:pPr>
            <w:hyperlink r:id="rId101">
              <w:r>
                <w:rPr>
                  <w:rFonts w:ascii="Arial" w:cs="Arial" w:eastAsia="Arial" w:hAnsi="Arial"/>
                  <w:sz w:val="18"/>
                  <w:szCs w:val="18"/>
                  <w:color w:val="0000FF"/>
                </w:rPr>
                <w:t>trustee (filed on April 3, 2017, as Exhibit 4.1 to Northwest Pipeline’s current report on Form 8-K (File No. 001-07414) and</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01">
              <w:r>
                <w:rPr>
                  <w:rFonts w:ascii="Arial" w:cs="Arial" w:eastAsia="Arial" w:hAnsi="Arial"/>
                  <w:sz w:val="18"/>
                  <w:szCs w:val="18"/>
                  <w:color w:val="0000FF"/>
                  <w:w w:val="88"/>
                </w:rPr>
                <w:t>incorporated herein by reference).</w:t>
              </w:r>
            </w:hyperlink>
          </w:p>
        </w:tc>
        <w:tc>
          <w:tcPr>
            <w:tcW w:w="7220" w:type="dxa"/>
            <w:vAlign w:val="bottom"/>
            <w:gridSpan w:val="9"/>
          </w:tcPr>
          <w:p>
            <w:pPr>
              <w:spacing w:after="0"/>
              <w:rPr>
                <w:sz w:val="17"/>
                <w:szCs w:val="17"/>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10160" w:type="dxa"/>
            <w:vAlign w:val="bottom"/>
            <w:gridSpan w:val="12"/>
          </w:tcPr>
          <w:p>
            <w:pPr>
              <w:ind w:left="1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2">
              <w:r>
                <w:rPr>
                  <w:rFonts w:ascii="Arial" w:cs="Arial" w:eastAsia="Arial" w:hAnsi="Arial"/>
                  <w:sz w:val="18"/>
                  <w:szCs w:val="18"/>
                  <w:color w:val="0000FF"/>
                  <w:w w:val="95"/>
                </w:rPr>
                <w:t>Senior Indenture, dated as of July 15, 1996, between Transcontinental Gas Pipe Line Corporation and Citibank, N.A., as Trustee</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960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(filed on April 2, 1996, as Exhibit 4.1 to Transcontinental Gas Pipe Line Corporation’s registration statement on Form S-3 (File No.</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gridSpan w:val="10"/>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333-02155) and incorporated herein by reference).</w:t>
              </w:r>
            </w:hyperlink>
          </w:p>
        </w:tc>
      </w:tr>
      <w:tr>
        <w:trPr>
          <w:trHeight w:val="885"/>
        </w:trPr>
        <w:tc>
          <w:tcPr>
            <w:tcW w:w="126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3600" w:type="dxa"/>
            <w:vAlign w:val="bottom"/>
            <w:tcBorders>
              <w:top w:val="single" w:sz="8" w:color="0000FF"/>
            </w:tcBorders>
            <w:gridSpan w:val="3"/>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78" w:right="2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20" w:type="dxa"/>
            <w:vAlign w:val="bottom"/>
            <w:gridSpan w:val="7"/>
          </w:tcPr>
          <w:p>
            <w:pPr>
              <w:ind w:left="1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10160" w:type="dxa"/>
            <w:vAlign w:val="bottom"/>
            <w:gridSpan w:val="15"/>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3">
              <w:r>
                <w:rPr>
                  <w:rFonts w:ascii="Arial" w:cs="Arial" w:eastAsia="Arial" w:hAnsi="Arial"/>
                  <w:sz w:val="18"/>
                  <w:szCs w:val="18"/>
                  <w:color w:val="0000FF"/>
                  <w:w w:val="92"/>
                </w:rPr>
                <w:t>Indenture, dated as of August 12, 2011, between Transcontinental Gas Pipe Line Company, LLC and The Bank of New York Mellon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Trust Company, N.A., as trustee (filed on August 12, 2011, as Exhibit 4.1 to Transcontinental Gas Pipe Line Company, LLC’s current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report on Form 8-K (File No. 001-07584)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10160" w:type="dxa"/>
            <w:vAlign w:val="bottom"/>
            <w:gridSpan w:val="15"/>
          </w:tcPr>
          <w:p>
            <w:pPr>
              <w:ind w:left="1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04">
              <w:r>
                <w:rPr>
                  <w:rFonts w:ascii="Arial" w:cs="Arial" w:eastAsia="Arial" w:hAnsi="Arial"/>
                  <w:sz w:val="18"/>
                  <w:szCs w:val="18"/>
                  <w:color w:val="0000FF"/>
                  <w:w w:val="95"/>
                </w:rPr>
                <w:t>Indenture, dated as of July 13, 2012, between Transcontinental Gas Pipe Line Company, LLC and The Bank of New York Mellon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Trust Company, N.A., as trustee (filed on July 16, 2012 as Exhibit 4.1 to Transcontinental Gas Pipe Line Company, LLC’s current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report on Form 8-K (File No. 001-07584)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10160" w:type="dxa"/>
            <w:vAlign w:val="bottom"/>
            <w:gridSpan w:val="15"/>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05">
              <w:r>
                <w:rPr>
                  <w:rFonts w:ascii="Arial" w:cs="Arial" w:eastAsia="Arial" w:hAnsi="Arial"/>
                  <w:sz w:val="18"/>
                  <w:szCs w:val="18"/>
                  <w:color w:val="0000FF"/>
                  <w:w w:val="92"/>
                </w:rPr>
                <w:t>Indenture, dated as of January 22, 2016, between Transcontinental Gas Pipe Line Company, LLC and The Bank of New York Mellon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Trust Company, N.A., as trustee (filed on January 22, 2016, as Exhibit 4.1 to The Williams Companies, Inc.’s current report on Form</w:t>
              </w:r>
            </w:hyperlink>
          </w:p>
        </w:tc>
        <w:tc>
          <w:tcPr>
            <w:tcW w:w="2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05">
              <w:r>
                <w:rPr>
                  <w:rFonts w:ascii="Arial" w:cs="Arial" w:eastAsia="Arial" w:hAnsi="Arial"/>
                  <w:sz w:val="18"/>
                  <w:szCs w:val="18"/>
                  <w:color w:val="0000FF"/>
                  <w:w w:val="90"/>
                </w:rPr>
                <w:t>8-K (File No. 001-04174) and incorporated herein by reference).</w:t>
              </w:r>
            </w:hyperlink>
          </w:p>
        </w:tc>
        <w:tc>
          <w:tcPr>
            <w:tcW w:w="50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10160" w:type="dxa"/>
            <w:vAlign w:val="bottom"/>
            <w:gridSpan w:val="15"/>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6">
              <w:r>
                <w:rPr>
                  <w:rFonts w:ascii="Arial" w:cs="Arial" w:eastAsia="Arial" w:hAnsi="Arial"/>
                  <w:sz w:val="18"/>
                  <w:szCs w:val="18"/>
                  <w:color w:val="0000FF"/>
                  <w:w w:val="93"/>
                </w:rPr>
                <w:t>Indenture, dated as of March 15, 2018, between Transcontinental Gas Pipe Line Company, LLC and The Bank of New York Mellon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Trust Company, N.A., as trustee (filed on March 15, 2018, as Exhibit 4.1 to The Williams Companies, Inc.’s current report on Form</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8-K (File No. 001-04174) and incorporated 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4.34*</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600" w:type="dxa"/>
            <w:vAlign w:val="bottom"/>
            <w:tcBorders>
              <w:top w:val="single" w:sz="8" w:color="0000FF"/>
            </w:tcBorders>
            <w:gridSpan w:val="7"/>
          </w:tcPr>
          <w:p>
            <w:pPr>
              <w:spacing w:after="0"/>
              <w:rPr>
                <w:rFonts w:ascii="Arial" w:cs="Arial" w:eastAsia="Arial" w:hAnsi="Arial"/>
                <w:sz w:val="18"/>
                <w:szCs w:val="18"/>
                <w:color w:val="0000FF"/>
              </w:rPr>
            </w:pPr>
            <w:hyperlink w:anchor="page168">
              <w:r>
                <w:rPr>
                  <w:rFonts w:ascii="Arial" w:cs="Arial" w:eastAsia="Arial" w:hAnsi="Arial"/>
                  <w:sz w:val="18"/>
                  <w:szCs w:val="18"/>
                  <w:color w:val="0000FF"/>
                </w:rPr>
                <w:t>Description of Securities.</w:t>
              </w:r>
            </w:hyperlink>
          </w:p>
        </w:tc>
        <w:tc>
          <w:tcPr>
            <w:tcW w:w="50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160" w:type="dxa"/>
            <w:vAlign w:val="bottom"/>
            <w:gridSpan w:val="15"/>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7">
              <w:r>
                <w:rPr>
                  <w:rFonts w:ascii="Arial" w:cs="Arial" w:eastAsia="Arial" w:hAnsi="Arial"/>
                  <w:sz w:val="18"/>
                  <w:szCs w:val="18"/>
                  <w:color w:val="0000FF"/>
                  <w:w w:val="93"/>
                </w:rPr>
                <w:t>Form of Director and Officer Indemnification Agreement (filed on September 24, 2008, as Exhibit 10.1 to The Williams Companies,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Inc.’s current report on Form 8-K (File No. 001-04174) and incorporated herein by reference).</w:t>
              </w:r>
            </w:hyperlink>
          </w:p>
        </w:tc>
        <w:tc>
          <w:tcPr>
            <w:tcW w:w="284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160" w:type="dxa"/>
            <w:vAlign w:val="bottom"/>
            <w:gridSpan w:val="15"/>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08">
              <w:r>
                <w:rPr>
                  <w:rFonts w:ascii="Arial" w:cs="Arial" w:eastAsia="Arial" w:hAnsi="Arial"/>
                  <w:sz w:val="18"/>
                  <w:szCs w:val="18"/>
                  <w:color w:val="0000FF"/>
                  <w:w w:val="96"/>
                </w:rPr>
                <w:t>Form of 2013 Nonqualified Stock Option Agreement among Williams and certain employees and officers (filed on February 27,</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top w:val="single" w:sz="8" w:color="0000FF"/>
            </w:tcBorders>
            <w:gridSpan w:val="13"/>
          </w:tcPr>
          <w:p>
            <w:pPr>
              <w:spacing w:after="0" w:line="19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2013, as Exhibit 10.6 to The Williams Companies, Inc.’s annual report on Form 10-K (File No. 001-04174) and incorporated herein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160" w:type="dxa"/>
            <w:vAlign w:val="bottom"/>
            <w:gridSpan w:val="15"/>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09">
              <w:r>
                <w:rPr>
                  <w:rFonts w:ascii="Arial" w:cs="Arial" w:eastAsia="Arial" w:hAnsi="Arial"/>
                  <w:sz w:val="18"/>
                  <w:szCs w:val="18"/>
                  <w:color w:val="0000FF"/>
                  <w:w w:val="93"/>
                </w:rPr>
                <w:t>Form of 2013 Restricted Stock Unit Agreement among Williams and certain nonmanagement directors (filed on February 26, 2014,</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5"/>
              </w:rPr>
            </w:pPr>
            <w:hyperlink r:id="rId109">
              <w:r>
                <w:rPr>
                  <w:rFonts w:ascii="Arial" w:cs="Arial" w:eastAsia="Arial" w:hAnsi="Arial"/>
                  <w:sz w:val="18"/>
                  <w:szCs w:val="18"/>
                  <w:color w:val="0000FF"/>
                  <w:w w:val="95"/>
                </w:rPr>
                <w:t>as Exhibit 10.11 to The Williams Companies, Inc. annual report on Form 10-K (File No. 001-04174) and incorporated herein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0160" w:type="dxa"/>
            <w:vAlign w:val="bottom"/>
            <w:gridSpan w:val="15"/>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0">
              <w:r>
                <w:rPr>
                  <w:rFonts w:ascii="Arial" w:cs="Arial" w:eastAsia="Arial" w:hAnsi="Arial"/>
                  <w:sz w:val="18"/>
                  <w:szCs w:val="18"/>
                  <w:color w:val="0000FF"/>
                  <w:w w:val="96"/>
                </w:rPr>
                <w:t>Form of 2014 Nonqualified Stock Option Agreement among Williams and certain employees and officers (filed on February 26,</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top w:val="single" w:sz="8" w:color="0000FF"/>
            </w:tcBorders>
            <w:gridSpan w:val="13"/>
          </w:tcPr>
          <w:p>
            <w:pPr>
              <w:spacing w:after="0" w:line="196" w:lineRule="exact"/>
              <w:rPr>
                <w:rFonts w:ascii="Arial" w:cs="Arial" w:eastAsia="Arial" w:hAnsi="Arial"/>
                <w:sz w:val="18"/>
                <w:szCs w:val="18"/>
                <w:color w:val="0000FF"/>
                <w:w w:val="91"/>
              </w:rPr>
            </w:pPr>
            <w:hyperlink r:id="rId110">
              <w:r>
                <w:rPr>
                  <w:rFonts w:ascii="Arial" w:cs="Arial" w:eastAsia="Arial" w:hAnsi="Arial"/>
                  <w:sz w:val="18"/>
                  <w:szCs w:val="18"/>
                  <w:color w:val="0000FF"/>
                  <w:w w:val="91"/>
                </w:rPr>
                <w:t>2014, as Exhibit 10.8 to The Williams Companies, Inc. annual report on Form 10-K (File No. 001-04174) and incorporated herein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0160" w:type="dxa"/>
            <w:vAlign w:val="bottom"/>
            <w:gridSpan w:val="15"/>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11">
              <w:r>
                <w:rPr>
                  <w:rFonts w:ascii="Arial" w:cs="Arial" w:eastAsia="Arial" w:hAnsi="Arial"/>
                  <w:sz w:val="18"/>
                  <w:szCs w:val="18"/>
                  <w:color w:val="0000FF"/>
                  <w:w w:val="93"/>
                </w:rPr>
                <w:t>Form of 2014 Restricted Stock Unit Agreement among Williams and certain nonmanagement directors (filed on February 25, 2015,</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FF"/>
            </w:tcBorders>
            <w:gridSpan w:val="12"/>
          </w:tcPr>
          <w:p>
            <w:pPr>
              <w:spacing w:after="0" w:line="196"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as Exhibit 10.12 to The Williams Companies, Inc. annual report on Form 10-K (File No. 001-04174) and incorporated herein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0000FF"/>
            </w:tcBorders>
            <w:gridSpan w:val="2"/>
          </w:tcPr>
          <w:p>
            <w:pPr>
              <w:spacing w:after="0" w:line="196" w:lineRule="exact"/>
              <w:rPr>
                <w:rFonts w:ascii="Arial" w:cs="Arial" w:eastAsia="Arial" w:hAnsi="Arial"/>
                <w:sz w:val="18"/>
                <w:szCs w:val="18"/>
                <w:color w:val="0000FF"/>
                <w:w w:val="82"/>
              </w:rPr>
            </w:pPr>
            <w:hyperlink r:id="rId111">
              <w:r>
                <w:rPr>
                  <w:rFonts w:ascii="Arial" w:cs="Arial" w:eastAsia="Arial" w:hAnsi="Arial"/>
                  <w:sz w:val="18"/>
                  <w:szCs w:val="18"/>
                  <w:color w:val="0000FF"/>
                  <w:w w:val="82"/>
                </w:rPr>
                <w:t>reference).</w:t>
              </w:r>
            </w:hyperlink>
          </w:p>
        </w:tc>
        <w:tc>
          <w:tcPr>
            <w:tcW w:w="88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0160" w:type="dxa"/>
            <w:vAlign w:val="bottom"/>
            <w:gridSpan w:val="15"/>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12">
              <w:r>
                <w:rPr>
                  <w:rFonts w:ascii="Arial" w:cs="Arial" w:eastAsia="Arial" w:hAnsi="Arial"/>
                  <w:sz w:val="18"/>
                  <w:szCs w:val="18"/>
                  <w:color w:val="0000FF"/>
                  <w:w w:val="93"/>
                </w:rPr>
                <w:t>Form of 2015 Time-Based Restricted Stock Unit Agreement among Williams and certain employees and officers (filed on February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7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0" w:type="dxa"/>
            <w:vAlign w:val="bottom"/>
            <w:tcBorders>
              <w:bottom w:val="single" w:sz="8" w:color="0000FF"/>
            </w:tcBorders>
            <w:gridSpan w:val="12"/>
          </w:tcPr>
          <w:p>
            <w:pPr>
              <w:spacing w:after="0" w:line="19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25, 2015, as Exhibit 10.16 to The Williams Companies, Inc. annual report on Form 10-K (File No. 001-04174) and incorporated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herein by reference).</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10.7§</w:t>
            </w:r>
          </w:p>
        </w:tc>
        <w:tc>
          <w:tcPr>
            <w:tcW w:w="10160" w:type="dxa"/>
            <w:vAlign w:val="bottom"/>
            <w:gridSpan w:val="15"/>
          </w:tcPr>
          <w:p>
            <w:pPr>
              <w:ind w:left="1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13">
              <w:r>
                <w:rPr>
                  <w:rFonts w:ascii="Arial" w:cs="Arial" w:eastAsia="Arial" w:hAnsi="Arial"/>
                  <w:sz w:val="18"/>
                  <w:szCs w:val="18"/>
                  <w:color w:val="0000FF"/>
                  <w:w w:val="96"/>
                </w:rPr>
                <w:t>Form of 2015 Nonqualified Stock Option Agreement among Williams and certain employees and officers (filed on February 25,</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top w:val="single" w:sz="8" w:color="0000FF"/>
            </w:tcBorders>
            <w:gridSpan w:val="13"/>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2015, as Exhibit 10.17 to The Williams Companies, Inc. annual report on Form 10-K (File No. 001-04174) and incorporated herein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13">
              <w:r>
                <w:rPr>
                  <w:rFonts w:ascii="Arial" w:cs="Arial" w:eastAsia="Arial" w:hAnsi="Arial"/>
                  <w:sz w:val="18"/>
                  <w:szCs w:val="18"/>
                  <w:color w:val="0000FF"/>
                </w:rPr>
                <w:t>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8"/>
              </w:rPr>
              <w:t>10.8§</w:t>
            </w:r>
          </w:p>
        </w:tc>
        <w:tc>
          <w:tcPr>
            <w:tcW w:w="46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0000FF"/>
            </w:tcBorders>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260" w:type="dxa"/>
            <w:vAlign w:val="bottom"/>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18"/>
                <w:szCs w:val="18"/>
                <w:color w:val="0000FF"/>
                <w:w w:val="93"/>
              </w:rPr>
            </w:pPr>
            <w:hyperlink r:id="rId114">
              <w:r>
                <w:rPr>
                  <w:rFonts w:ascii="Arial" w:cs="Arial" w:eastAsia="Arial" w:hAnsi="Arial"/>
                  <w:sz w:val="18"/>
                  <w:szCs w:val="18"/>
                  <w:color w:val="0000FF"/>
                  <w:w w:val="93"/>
                </w:rPr>
                <w:t>Form of 2016 Performance-Based Restricted Stock Unit Agreement among Williams and certain employees and officers (filed on</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718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February 22, 2017, as Exhibit 10.18 to The Williams Companies, Inc.’s annual report on Form 10-K (File No. 001-04174) and</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7"/>
              </w:rPr>
            </w:pPr>
            <w:hyperlink r:id="rId114">
              <w:r>
                <w:rPr>
                  <w:rFonts w:ascii="Arial" w:cs="Arial" w:eastAsia="Arial" w:hAnsi="Arial"/>
                  <w:sz w:val="18"/>
                  <w:szCs w:val="18"/>
                  <w:color w:val="0000FF"/>
                  <w:w w:val="87"/>
                </w:rPr>
                <w:t>incorporated herein by reference).</w:t>
              </w:r>
            </w:hyperlink>
          </w:p>
        </w:tc>
        <w:tc>
          <w:tcPr>
            <w:tcW w:w="7180" w:type="dxa"/>
            <w:vAlign w:val="bottom"/>
            <w:tcBorders>
              <w:top w:val="single" w:sz="8" w:color="0000FF"/>
            </w:tcBorders>
            <w:gridSpan w:val="5"/>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10.9§</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620" w:type="dxa"/>
            <w:vAlign w:val="bottom"/>
            <w:gridSpan w:val="13"/>
          </w:tcPr>
          <w:p>
            <w:pPr>
              <w:spacing w:after="0"/>
              <w:rPr>
                <w:rFonts w:ascii="Arial" w:cs="Arial" w:eastAsia="Arial" w:hAnsi="Arial"/>
                <w:sz w:val="18"/>
                <w:szCs w:val="18"/>
                <w:color w:val="0000FF"/>
                <w:w w:val="92"/>
              </w:rPr>
            </w:pPr>
            <w:hyperlink r:id="rId115">
              <w:r>
                <w:rPr>
                  <w:rFonts w:ascii="Arial" w:cs="Arial" w:eastAsia="Arial" w:hAnsi="Arial"/>
                  <w:sz w:val="18"/>
                  <w:szCs w:val="18"/>
                  <w:color w:val="0000FF"/>
                  <w:w w:val="92"/>
                </w:rPr>
                <w:t>Form of 2016 Time-Based Restricted Stock Unit Agreement among Williams and certain employees and officers (filed on February</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9580" w:type="dxa"/>
            <w:vAlign w:val="bottom"/>
            <w:gridSpan w:val="11"/>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gridSpan w:val="13"/>
          </w:tcPr>
          <w:p>
            <w:pPr>
              <w:spacing w:after="0" w:line="196" w:lineRule="exact"/>
              <w:rPr>
                <w:rFonts w:ascii="Arial" w:cs="Arial" w:eastAsia="Arial" w:hAnsi="Arial"/>
                <w:sz w:val="18"/>
                <w:szCs w:val="18"/>
                <w:color w:val="0000FF"/>
                <w:w w:val="94"/>
              </w:rPr>
            </w:pPr>
            <w:hyperlink r:id="rId115">
              <w:r>
                <w:rPr>
                  <w:rFonts w:ascii="Arial" w:cs="Arial" w:eastAsia="Arial" w:hAnsi="Arial"/>
                  <w:sz w:val="18"/>
                  <w:szCs w:val="18"/>
                  <w:color w:val="0000FF"/>
                  <w:w w:val="94"/>
                </w:rPr>
                <w:t>22, 2017, as Exhibit 10.19 to The Williams Companies, Inc.’s annual report on Form 10-K (File No. 001-04174) and incorporated</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5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15">
              <w:r>
                <w:rPr>
                  <w:rFonts w:ascii="Arial" w:cs="Arial" w:eastAsia="Arial" w:hAnsi="Arial"/>
                  <w:sz w:val="18"/>
                  <w:szCs w:val="18"/>
                  <w:color w:val="0000FF"/>
                </w:rPr>
                <w:t>herein by reference).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78"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1420"/>
          </w:cols>
          <w:pgMar w:left="240" w:top="878" w:right="2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ind w:left="20"/>
        <w:spacing w:after="0"/>
        <w:tabs>
          <w:tab w:leader="none" w:pos="1020" w:val="left"/>
          <w:tab w:leader="none" w:pos="1380" w:val="left"/>
        </w:tabs>
        <w:rPr>
          <w:rFonts w:ascii="Arial" w:cs="Arial" w:eastAsia="Arial" w:hAnsi="Arial"/>
          <w:sz w:val="16"/>
          <w:szCs w:val="16"/>
          <w:u w:val="single" w:color="auto"/>
          <w:color w:val="0000FF"/>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w:t>
      </w:r>
      <w:r>
        <w:rPr>
          <w:sz w:val="20"/>
          <w:szCs w:val="20"/>
          <w:color w:val="auto"/>
        </w:rPr>
        <w:tab/>
      </w:r>
      <w:hyperlink r:id="rId117">
        <w:r>
          <w:rPr>
            <w:rFonts w:ascii="Arial" w:cs="Arial" w:eastAsia="Arial" w:hAnsi="Arial"/>
            <w:sz w:val="16"/>
            <w:szCs w:val="16"/>
            <w:u w:val="single" w:color="auto"/>
            <w:color w:val="0000FF"/>
          </w:rPr>
          <w:t>Form of 2016 Time-Based Restricted Stock Unit Agreement among Williams and certain employees and officers vesting February</w:t>
        </w:r>
      </w:hyperlink>
    </w:p>
    <w:p>
      <w:pPr>
        <w:spacing w:after="0" w:line="50" w:lineRule="exact"/>
        <w:rPr>
          <w:sz w:val="20"/>
          <w:szCs w:val="20"/>
          <w:color w:val="auto"/>
        </w:rPr>
      </w:pPr>
    </w:p>
    <w:p>
      <w:pPr>
        <w:ind w:left="1400"/>
        <w:spacing w:after="0"/>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22, 2019 (filed on February 22, 2017, as Exhibit 10.20 to The Williams Companies, Inc.’s annual report on Form 10-K (File No. 001-</w:t>
        </w:r>
      </w:hyperlink>
    </w:p>
    <w:p>
      <w:pPr>
        <w:spacing w:after="0" w:line="32" w:lineRule="exact"/>
        <w:rPr>
          <w:sz w:val="20"/>
          <w:szCs w:val="20"/>
          <w:color w:val="auto"/>
        </w:rPr>
      </w:pPr>
    </w:p>
    <w:p>
      <w:pPr>
        <w:ind w:left="140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04174) and incorporated herein by reference).</w:t>
        </w:r>
      </w:hyperlink>
    </w:p>
    <w:p>
      <w:pPr>
        <w:spacing w:after="0" w:line="238" w:lineRule="exact"/>
        <w:rPr>
          <w:sz w:val="20"/>
          <w:szCs w:val="20"/>
          <w:color w:val="auto"/>
        </w:rPr>
      </w:pPr>
    </w:p>
    <w:p>
      <w:pPr>
        <w:jc w:val="both"/>
        <w:ind w:left="1040" w:right="20" w:hanging="1357"/>
        <w:spacing w:after="0" w:line="27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Form of 2016 Time-Based Restricted Stock Unit Agreement among Williams and certain non-management directors (filed on</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February 22, 2017, as Exhibit 10.21 to The Williams Companies, Inc.’s annual report on Form 10-K (File No. 001-04174) and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incorporated herein by reference).</w:t>
        </w:r>
      </w:hyperlink>
    </w:p>
    <w:p>
      <w:pPr>
        <w:spacing w:after="0" w:line="196" w:lineRule="exact"/>
        <w:rPr>
          <w:rFonts w:ascii="Arial" w:cs="Arial" w:eastAsia="Arial" w:hAnsi="Arial"/>
          <w:sz w:val="18"/>
          <w:szCs w:val="18"/>
          <w:color w:val="auto"/>
        </w:rPr>
      </w:pPr>
    </w:p>
    <w:p>
      <w:pPr>
        <w:jc w:val="both"/>
        <w:ind w:left="1040" w:hanging="1361"/>
        <w:spacing w:after="0" w:line="27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Form of 2016 Nonqualified Stock Option Agreement among Williams and certain employees and officers (filed on February 22,</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2017, as Exhibit 10.22 to The Williams Companies, Inc.’s annual report on Form 10-K (File No. 001-04174) and incorporated herein</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by reference).</w:t>
        </w:r>
      </w:hyperlink>
    </w:p>
    <w:p>
      <w:pPr>
        <w:spacing w:after="0" w:line="196" w:lineRule="exact"/>
        <w:rPr>
          <w:rFonts w:ascii="Arial" w:cs="Arial" w:eastAsia="Arial" w:hAnsi="Arial"/>
          <w:sz w:val="18"/>
          <w:szCs w:val="18"/>
          <w:color w:val="auto"/>
        </w:rPr>
      </w:pPr>
    </w:p>
    <w:p>
      <w:pPr>
        <w:jc w:val="both"/>
        <w:ind w:left="1040" w:hanging="1361"/>
        <w:spacing w:after="0" w:line="27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Form of 2017 Time-Based Restricted Stock Unit Agreement among Williams and certain employees and officers (filed on February</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22, 2017, as Exhibit 10.23 to The Williams Companies, Inc.’s annual report on Form 10-K (File No. 001-04174) and incorporated</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herein by reference).</w:t>
        </w:r>
      </w:hyperlink>
    </w:p>
    <w:p>
      <w:pPr>
        <w:spacing w:after="0" w:line="196" w:lineRule="exact"/>
        <w:rPr>
          <w:rFonts w:ascii="Arial" w:cs="Arial" w:eastAsia="Arial" w:hAnsi="Arial"/>
          <w:sz w:val="18"/>
          <w:szCs w:val="18"/>
          <w:color w:val="auto"/>
        </w:rPr>
      </w:pPr>
    </w:p>
    <w:p>
      <w:pPr>
        <w:jc w:val="both"/>
        <w:ind w:left="1040" w:right="20" w:hanging="1361"/>
        <w:spacing w:after="0" w:line="27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Form of 2017 Time-Based Restricted Stock Unit Agreement among Williams and certain non-management directors (filed on</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February 22, 2017, as Exhibit 10.24 to The Williams Companies, Inc.’s annual report on Form 10-K (File No. 001-04174) and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incorporated herein by reference).</w:t>
        </w:r>
      </w:hyperlink>
    </w:p>
    <w:p>
      <w:pPr>
        <w:spacing w:after="0" w:line="196" w:lineRule="exact"/>
        <w:rPr>
          <w:rFonts w:ascii="Arial" w:cs="Arial" w:eastAsia="Arial" w:hAnsi="Arial"/>
          <w:sz w:val="18"/>
          <w:szCs w:val="18"/>
          <w:color w:val="auto"/>
        </w:rPr>
      </w:pPr>
    </w:p>
    <w:p>
      <w:pPr>
        <w:jc w:val="both"/>
        <w:ind w:left="1040" w:hanging="1374"/>
        <w:spacing w:after="0" w:line="27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Form of 2017 Nonqualified Stock Option Agreement among Williams and certain employees and officers (filed on February 22,</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2017, as Exhibit 10.25 to The Williams Companies, Inc.’s annual report on Form 10-K (File No. 001-04174) and incorporated herein</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by reference).</w:t>
        </w:r>
      </w:hyperlink>
    </w:p>
    <w:p>
      <w:pPr>
        <w:spacing w:after="0" w:line="196" w:lineRule="exact"/>
        <w:rPr>
          <w:rFonts w:ascii="Arial" w:cs="Arial" w:eastAsia="Arial" w:hAnsi="Arial"/>
          <w:sz w:val="18"/>
          <w:szCs w:val="18"/>
          <w:color w:val="auto"/>
        </w:rPr>
      </w:pPr>
    </w:p>
    <w:p>
      <w:pPr>
        <w:jc w:val="both"/>
        <w:ind w:left="1040" w:right="2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Form of 2017 Performance-Based Restricted Stock Unit Agreement among Williams and certain employees and officers (filed on</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May 4, 2017, as Exhibit 10.10 to The Williams Companies, Inc.’s quarterly report on Form 10-Q (File No. 001-04174) and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incorporated herein by reference).</w:t>
        </w:r>
      </w:hyperlink>
    </w:p>
    <w:p>
      <w:pPr>
        <w:spacing w:after="0" w:line="208" w:lineRule="exact"/>
        <w:rPr>
          <w:rFonts w:ascii="Arial" w:cs="Arial" w:eastAsia="Arial" w:hAnsi="Arial"/>
          <w:sz w:val="18"/>
          <w:szCs w:val="18"/>
          <w:color w:val="auto"/>
        </w:rPr>
      </w:pPr>
    </w:p>
    <w:p>
      <w:pPr>
        <w:jc w:val="both"/>
        <w:ind w:left="104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Form of 2018 Time-Based Restricted Stock Unit Agreement among Williams and certain employees and officers (filed on May 3,</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2018, as Exhibit 10.3 to The Williams Companies, Inc.’s quarterly report on Form 10-Q (File No. 001-04174) and incorporated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herein by reference).</w:t>
        </w:r>
      </w:hyperlink>
    </w:p>
    <w:p>
      <w:pPr>
        <w:spacing w:after="0" w:line="208" w:lineRule="exact"/>
        <w:rPr>
          <w:rFonts w:ascii="Arial" w:cs="Arial" w:eastAsia="Arial" w:hAnsi="Arial"/>
          <w:sz w:val="18"/>
          <w:szCs w:val="18"/>
          <w:color w:val="auto"/>
        </w:rPr>
      </w:pPr>
    </w:p>
    <w:p>
      <w:pPr>
        <w:jc w:val="both"/>
        <w:ind w:left="1040" w:right="2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Form of 2018 Performance-Based Restricted Stock Unit Agreement among Williams and certain employees and officers (filed on</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May 3, 2018, as Exhibit 10.4 to The Williams Companies, Inc.’s quarterly report on Form 10-Q (File No. 001-04174) and</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incorporated herein by reference).</w:t>
        </w:r>
      </w:hyperlink>
    </w:p>
    <w:p>
      <w:pPr>
        <w:spacing w:after="0" w:line="208" w:lineRule="exact"/>
        <w:rPr>
          <w:rFonts w:ascii="Arial" w:cs="Arial" w:eastAsia="Arial" w:hAnsi="Arial"/>
          <w:sz w:val="18"/>
          <w:szCs w:val="18"/>
          <w:color w:val="auto"/>
        </w:rPr>
      </w:pPr>
    </w:p>
    <w:p>
      <w:pPr>
        <w:jc w:val="both"/>
        <w:ind w:left="1040" w:right="2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Form of 2018 Nonqualified Stock Option Agreement among Williams and certain employees and officers (filed on May 3, 2018, as</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Exhibit 10.5 to The Williams Companies, Inc.’s quarterly report on Form 10-Q (File No. 001-04174) and incorporated herein by</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reference).</w:t>
        </w:r>
      </w:hyperlink>
    </w:p>
    <w:p>
      <w:pPr>
        <w:spacing w:after="0" w:line="208" w:lineRule="exact"/>
        <w:rPr>
          <w:rFonts w:ascii="Arial" w:cs="Arial" w:eastAsia="Arial" w:hAnsi="Arial"/>
          <w:sz w:val="18"/>
          <w:szCs w:val="18"/>
          <w:color w:val="auto"/>
        </w:rPr>
      </w:pPr>
    </w:p>
    <w:p>
      <w:pPr>
        <w:jc w:val="both"/>
        <w:ind w:left="104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Form of 2018 Time-Based Restricted Stock Unit Agreement among Williams and certain non-management directors (filed on August</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2, 2018, as Exhibit 10.2 to The Williams Companies, Inc.’s quarterly report on Form 10-Q (File No. 001-04174) and incorporated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herein by reference).</w:t>
        </w:r>
      </w:hyperlink>
    </w:p>
    <w:p>
      <w:pPr>
        <w:spacing w:after="0" w:line="208" w:lineRule="exact"/>
        <w:rPr>
          <w:rFonts w:ascii="Arial" w:cs="Arial" w:eastAsia="Arial" w:hAnsi="Arial"/>
          <w:sz w:val="18"/>
          <w:szCs w:val="18"/>
          <w:color w:val="auto"/>
        </w:rPr>
      </w:pPr>
    </w:p>
    <w:p>
      <w:pPr>
        <w:jc w:val="both"/>
        <w:ind w:left="104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Form of 2019 Executive Performance-Based Restricted Stock Unit Agreement among Williams and certain employees and officers</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(filed on May 2, 2019, as Exhibit 10.1 to The Williams Companies, Inc.’s quarterly report on Form 10-Q (File No. 001-04174) and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incorporated herein by reference).</w:t>
        </w:r>
      </w:hyperlink>
    </w:p>
    <w:p>
      <w:pPr>
        <w:spacing w:after="0" w:line="208" w:lineRule="exact"/>
        <w:rPr>
          <w:rFonts w:ascii="Arial" w:cs="Arial" w:eastAsia="Arial" w:hAnsi="Arial"/>
          <w:sz w:val="18"/>
          <w:szCs w:val="18"/>
          <w:color w:val="auto"/>
        </w:rPr>
      </w:pPr>
    </w:p>
    <w:p>
      <w:pPr>
        <w:jc w:val="both"/>
        <w:ind w:left="1040" w:right="20" w:hanging="1361"/>
        <w:spacing w:after="0" w:line="264"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Form of 2019 Performance-Based Restricted Stock Unit Agreement among Williams and certain employees and officers (filed on</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May 2, 2019, as Exhibit 10.2 to The Williams Companies, Inc.’s quarterly report on Form 10-Q (File No. 001-04174) and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incorporated herein by reference).</w:t>
        </w:r>
      </w:hyperlink>
    </w:p>
    <w:p>
      <w:pPr>
        <w:sectPr>
          <w:pgSz w:w="11900" w:h="16838" w:orient="portrait"/>
          <w:cols w:equalWidth="0" w:num="1">
            <w:col w:w="11040"/>
          </w:cols>
          <w:pgMar w:left="600" w:top="878" w:right="259" w:bottom="1440" w:gutter="0" w:footer="0" w:header="0"/>
        </w:sect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jc w:val="center"/>
        <w:ind w:right="34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1040"/>
          </w:cols>
          <w:pgMar w:left="600" w:top="878" w:right="25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20" w:type="dxa"/>
            <w:vAlign w:val="bottom"/>
          </w:tcPr>
          <w:p>
            <w:pPr>
              <w:ind w:left="2720"/>
              <w:spacing w:after="0"/>
              <w:rPr>
                <w:sz w:val="20"/>
                <w:szCs w:val="20"/>
                <w:color w:val="auto"/>
              </w:rPr>
            </w:pPr>
            <w:r>
              <w:rPr>
                <w:rFonts w:ascii="Arial" w:cs="Arial" w:eastAsia="Arial" w:hAnsi="Arial"/>
                <w:sz w:val="18"/>
                <w:szCs w:val="18"/>
                <w:b w:val="1"/>
                <w:bCs w:val="1"/>
                <w:color w:val="auto"/>
              </w:rPr>
              <w:t>Description</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10.23§</w:t>
            </w:r>
          </w:p>
        </w:tc>
        <w:tc>
          <w:tcPr>
            <w:tcW w:w="10160" w:type="dxa"/>
            <w:vAlign w:val="bottom"/>
            <w:gridSpan w:val="8"/>
          </w:tcPr>
          <w:p>
            <w:pPr>
              <w:jc w:val="right"/>
              <w:ind w:right="2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30">
              <w:r>
                <w:rPr>
                  <w:rFonts w:ascii="Arial" w:cs="Arial" w:eastAsia="Arial" w:hAnsi="Arial"/>
                  <w:sz w:val="18"/>
                  <w:szCs w:val="18"/>
                  <w:color w:val="0000FF"/>
                  <w:w w:val="96"/>
                </w:rPr>
                <w:t>Form of 2019 Time-Based Restricted Stock Unit Agreement among Williams and certain employees and officers (filed on May 2,</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2019, as Exhibit 10.3</w:t>
              </w:r>
            </w:hyperlink>
          </w:p>
        </w:tc>
        <w:tc>
          <w:tcPr>
            <w:tcW w:w="6720" w:type="dxa"/>
            <w:vAlign w:val="bottom"/>
            <w:tcBorders>
              <w:top w:val="single" w:sz="8" w:color="0000FF"/>
              <w:bottom w:val="single" w:sz="8" w:color="0000FF"/>
            </w:tcBorders>
          </w:tcPr>
          <w:p>
            <w:pPr>
              <w:ind w:left="40"/>
              <w:spacing w:after="0" w:line="19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to The Williams Companies, Inc.’s quarterly report on Form 10-Q (File No. 001-04174)</w:t>
              </w:r>
            </w:hyperlink>
          </w:p>
        </w:tc>
        <w:tc>
          <w:tcPr>
            <w:tcW w:w="1280" w:type="dxa"/>
            <w:vAlign w:val="bottom"/>
            <w:tcBorders>
              <w:top w:val="single" w:sz="8" w:color="0000FF"/>
              <w:bottom w:val="single" w:sz="8" w:color="0000FF"/>
            </w:tcBorders>
            <w:gridSpan w:val="2"/>
          </w:tcPr>
          <w:p>
            <w:pPr>
              <w:jc w:val="right"/>
              <w:ind w:right="20"/>
              <w:spacing w:after="0" w:line="196" w:lineRule="exact"/>
              <w:rPr>
                <w:rFonts w:ascii="Arial" w:cs="Arial" w:eastAsia="Arial" w:hAnsi="Arial"/>
                <w:sz w:val="18"/>
                <w:szCs w:val="18"/>
                <w:color w:val="0000FF"/>
                <w:w w:val="91"/>
              </w:rPr>
            </w:pPr>
            <w:hyperlink r:id="rId130">
              <w:r>
                <w:rPr>
                  <w:rFonts w:ascii="Arial" w:cs="Arial" w:eastAsia="Arial" w:hAnsi="Arial"/>
                  <w:sz w:val="18"/>
                  <w:szCs w:val="18"/>
                  <w:color w:val="0000FF"/>
                  <w:w w:val="91"/>
                </w:rPr>
                <w:t>and incorporated</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2"/>
          </w:tcPr>
          <w:p>
            <w:pPr>
              <w:spacing w:after="0" w:line="196" w:lineRule="exact"/>
              <w:rPr>
                <w:rFonts w:ascii="Arial" w:cs="Arial" w:eastAsia="Arial" w:hAnsi="Arial"/>
                <w:sz w:val="18"/>
                <w:szCs w:val="18"/>
                <w:color w:val="0000FF"/>
                <w:w w:val="97"/>
              </w:rPr>
            </w:pPr>
            <w:hyperlink r:id="rId130">
              <w:r>
                <w:rPr>
                  <w:rFonts w:ascii="Arial" w:cs="Arial" w:eastAsia="Arial" w:hAnsi="Arial"/>
                  <w:sz w:val="18"/>
                  <w:szCs w:val="18"/>
                  <w:color w:val="0000FF"/>
                  <w:w w:val="97"/>
                </w:rPr>
                <w:t>herein by reference).</w:t>
              </w:r>
            </w:hyperlink>
          </w:p>
        </w:tc>
        <w:tc>
          <w:tcPr>
            <w:tcW w:w="6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0"/>
              </w:rPr>
              <w:t>10.24§</w:t>
            </w:r>
          </w:p>
        </w:tc>
        <w:tc>
          <w:tcPr>
            <w:tcW w:w="10160" w:type="dxa"/>
            <w:vAlign w:val="bottom"/>
            <w:gridSpan w:val="8"/>
          </w:tcPr>
          <w:p>
            <w:pPr>
              <w:jc w:val="right"/>
              <w:ind w:right="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31">
              <w:r>
                <w:rPr>
                  <w:rFonts w:ascii="Arial" w:cs="Arial" w:eastAsia="Arial" w:hAnsi="Arial"/>
                  <w:sz w:val="18"/>
                  <w:szCs w:val="18"/>
                  <w:color w:val="0000FF"/>
                  <w:w w:val="93"/>
                </w:rPr>
                <w:t>Form of 2019 Time-Based Restricted Stock Unit Agreement among Williams and certain non-management directors (filed on May 2,</w:t>
              </w:r>
            </w:hyperlink>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7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2"/>
          </w:tcPr>
          <w:p>
            <w:pPr>
              <w:spacing w:after="0" w:line="196" w:lineRule="exact"/>
              <w:rPr>
                <w:rFonts w:ascii="Arial" w:cs="Arial" w:eastAsia="Arial" w:hAnsi="Arial"/>
                <w:sz w:val="18"/>
                <w:szCs w:val="18"/>
                <w:color w:val="0000FF"/>
                <w:w w:val="96"/>
              </w:rPr>
            </w:pPr>
            <w:hyperlink r:id="rId131">
              <w:r>
                <w:rPr>
                  <w:rFonts w:ascii="Arial" w:cs="Arial" w:eastAsia="Arial" w:hAnsi="Arial"/>
                  <w:sz w:val="18"/>
                  <w:szCs w:val="18"/>
                  <w:color w:val="0000FF"/>
                  <w:w w:val="96"/>
                </w:rPr>
                <w:t>2019, as Exhibit 10.4</w:t>
              </w:r>
            </w:hyperlink>
          </w:p>
        </w:tc>
        <w:tc>
          <w:tcPr>
            <w:tcW w:w="6720" w:type="dxa"/>
            <w:vAlign w:val="bottom"/>
          </w:tcPr>
          <w:p>
            <w:pPr>
              <w:ind w:left="40"/>
              <w:spacing w:after="0" w:line="19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to The Williams Companies, Inc.’s quarterly report on Form 10-Q (File No. 001-04174)</w:t>
              </w:r>
            </w:hyperlink>
          </w:p>
        </w:tc>
        <w:tc>
          <w:tcPr>
            <w:tcW w:w="1300" w:type="dxa"/>
            <w:vAlign w:val="bottom"/>
            <w:gridSpan w:val="3"/>
          </w:tcPr>
          <w:p>
            <w:pPr>
              <w:jc w:val="right"/>
              <w:ind w:right="40"/>
              <w:spacing w:after="0" w:line="196"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and incorporated</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top w:val="single" w:sz="8" w:color="0000FF"/>
            </w:tcBorders>
            <w:gridSpan w:val="2"/>
          </w:tcPr>
          <w:p>
            <w:pPr>
              <w:spacing w:after="0" w:line="196"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herein by reference).</w:t>
              </w:r>
            </w:hyperlink>
          </w:p>
        </w:tc>
        <w:tc>
          <w:tcPr>
            <w:tcW w:w="672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400" w:right="40" w:hanging="1361"/>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The Williams Companies, Inc. 1996 Stock Plan for Nonemployee Directors (filed on March 27, 1996, as Exhibit B to The Williams</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Companies, Inc.’s Definitive Proxy Statement (File No. 002-27038) and incorporated herein by reference).</w:t>
        </w:r>
      </w:hyperlink>
    </w:p>
    <w:p>
      <w:pPr>
        <w:spacing w:after="0" w:line="238" w:lineRule="exact"/>
        <w:rPr>
          <w:sz w:val="20"/>
          <w:szCs w:val="20"/>
          <w:color w:val="auto"/>
        </w:rPr>
      </w:pPr>
    </w:p>
    <w:p>
      <w:pPr>
        <w:jc w:val="both"/>
        <w:ind w:left="1400" w:right="40" w:hanging="1361"/>
        <w:spacing w:after="0" w:line="26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The Williams Companies, Inc. 2002 Incentive Plan as amended and restated effective as of January 23, 2004 (filed on August 5,</w:t>
        </w:r>
      </w:hyperlink>
      <w:r>
        <w:rPr>
          <w:rFonts w:ascii="Arial" w:cs="Arial" w:eastAsia="Arial" w:hAnsi="Arial"/>
          <w:sz w:val="18"/>
          <w:szCs w:val="18"/>
          <w:color w:val="auto"/>
        </w:rPr>
        <w:t xml:space="preserve"> </w:t>
      </w:r>
      <w:hyperlink r:id="rId133">
        <w:r>
          <w:rPr>
            <w:rFonts w:ascii="Arial" w:cs="Arial" w:eastAsia="Arial" w:hAnsi="Arial"/>
            <w:sz w:val="18"/>
            <w:szCs w:val="18"/>
            <w:u w:val="single" w:color="auto"/>
            <w:color w:val="0000FF"/>
          </w:rPr>
          <w:t>2004, as Exhibit 10.1 to The Williams Companies, Inc.’s quarterly report on Form 10-Q (File No. 001-04174) and incorporated</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herein by reference).</w:t>
        </w:r>
      </w:hyperlink>
    </w:p>
    <w:p>
      <w:pPr>
        <w:spacing w:after="0" w:line="249" w:lineRule="exact"/>
        <w:rPr>
          <w:rFonts w:ascii="Arial" w:cs="Arial" w:eastAsia="Arial" w:hAnsi="Arial"/>
          <w:sz w:val="18"/>
          <w:szCs w:val="18"/>
          <w:color w:val="auto"/>
        </w:rPr>
      </w:pPr>
    </w:p>
    <w:p>
      <w:pPr>
        <w:jc w:val="both"/>
        <w:ind w:left="1400" w:right="40" w:hanging="1361"/>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Amendment No. 1 to The Williams Companies, Inc. 2002 Incentive Plan (filed on February 25, 2009, as Exhibit 10.11 to The</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Williams Companies, Inc.’s annual report on Form 10-K (File No. 001-04174) and incorporated herein by reference).</w:t>
        </w:r>
      </w:hyperlink>
    </w:p>
    <w:p>
      <w:pPr>
        <w:spacing w:after="0" w:line="197" w:lineRule="exact"/>
        <w:rPr>
          <w:sz w:val="20"/>
          <w:szCs w:val="20"/>
          <w:color w:val="auto"/>
        </w:rPr>
      </w:pPr>
    </w:p>
    <w:p>
      <w:pPr>
        <w:jc w:val="both"/>
        <w:ind w:left="1400" w:right="40" w:hanging="1361"/>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Amendment No. 2 to The Williams Companies, Inc. 2002 Incentive Plan (filed on February 25, 2009, as Exhibit 10.12 to The</w:t>
        </w:r>
      </w:hyperlink>
      <w:r>
        <w:rPr>
          <w:rFonts w:ascii="Arial" w:cs="Arial" w:eastAsia="Arial" w:hAnsi="Arial"/>
          <w:sz w:val="18"/>
          <w:szCs w:val="18"/>
          <w:color w:val="auto"/>
        </w:rPr>
        <w:t xml:space="preserve"> </w:t>
      </w:r>
      <w:hyperlink r:id="rId135">
        <w:r>
          <w:rPr>
            <w:rFonts w:ascii="Arial" w:cs="Arial" w:eastAsia="Arial" w:hAnsi="Arial"/>
            <w:sz w:val="18"/>
            <w:szCs w:val="18"/>
            <w:u w:val="single" w:color="auto"/>
            <w:color w:val="0000FF"/>
          </w:rPr>
          <w:t>Williams Companies, Inc.’s annual report on Form 10-K (File No. 001-04174) and incorporated herein by reference).</w:t>
        </w:r>
      </w:hyperlink>
    </w:p>
    <w:p>
      <w:pPr>
        <w:spacing w:after="0" w:line="197" w:lineRule="exact"/>
        <w:rPr>
          <w:sz w:val="20"/>
          <w:szCs w:val="20"/>
          <w:color w:val="auto"/>
        </w:rPr>
      </w:pPr>
    </w:p>
    <w:p>
      <w:pPr>
        <w:ind w:left="1400" w:right="40" w:hanging="1406"/>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 xml:space="preserve">— </w:t>
      </w:r>
      <w:hyperlink w:anchor="page170">
        <w:r>
          <w:rPr>
            <w:rFonts w:ascii="Arial" w:cs="Arial" w:eastAsia="Arial" w:hAnsi="Arial"/>
            <w:sz w:val="18"/>
            <w:szCs w:val="18"/>
            <w:u w:val="single" w:color="auto"/>
            <w:color w:val="0000FF"/>
          </w:rPr>
          <w:t>Change in Control and Restrictive Covenant Agreement between certain executive officers (Tier One Executives) and The Williams</w:t>
        </w:r>
      </w:hyperlink>
      <w:r>
        <w:rPr>
          <w:rFonts w:ascii="Arial" w:cs="Arial" w:eastAsia="Arial" w:hAnsi="Arial"/>
          <w:sz w:val="18"/>
          <w:szCs w:val="18"/>
          <w:color w:val="auto"/>
        </w:rPr>
        <w:t xml:space="preserve"> </w:t>
      </w:r>
      <w:hyperlink w:anchor="page170">
        <w:r>
          <w:rPr>
            <w:rFonts w:ascii="Arial" w:cs="Arial" w:eastAsia="Arial" w:hAnsi="Arial"/>
            <w:sz w:val="18"/>
            <w:szCs w:val="18"/>
            <w:u w:val="single" w:color="auto"/>
            <w:color w:val="0000FF"/>
          </w:rPr>
          <w:t>Companies, Inc.</w:t>
        </w:r>
      </w:hyperlink>
    </w:p>
    <w:p>
      <w:pPr>
        <w:spacing w:after="0" w:line="197" w:lineRule="exact"/>
        <w:rPr>
          <w:sz w:val="20"/>
          <w:szCs w:val="20"/>
          <w:color w:val="auto"/>
        </w:rPr>
      </w:pPr>
    </w:p>
    <w:p>
      <w:pPr>
        <w:ind w:left="1400" w:right="40" w:hanging="1406"/>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 xml:space="preserve">— </w:t>
      </w:r>
      <w:hyperlink w:anchor="page196">
        <w:r>
          <w:rPr>
            <w:rFonts w:ascii="Arial" w:cs="Arial" w:eastAsia="Arial" w:hAnsi="Arial"/>
            <w:sz w:val="18"/>
            <w:szCs w:val="18"/>
            <w:u w:val="single" w:color="auto"/>
            <w:color w:val="0000FF"/>
          </w:rPr>
          <w:t>Change in Control and Restrictive Covenant Agreement between certain executive officers (Tier Two Executives) and The Williams</w:t>
        </w:r>
      </w:hyperlink>
      <w:r>
        <w:rPr>
          <w:rFonts w:ascii="Arial" w:cs="Arial" w:eastAsia="Arial" w:hAnsi="Arial"/>
          <w:sz w:val="18"/>
          <w:szCs w:val="18"/>
          <w:color w:val="auto"/>
        </w:rPr>
        <w:t xml:space="preserve"> </w:t>
      </w:r>
      <w:hyperlink w:anchor="page196">
        <w:r>
          <w:rPr>
            <w:rFonts w:ascii="Arial" w:cs="Arial" w:eastAsia="Arial" w:hAnsi="Arial"/>
            <w:sz w:val="18"/>
            <w:szCs w:val="18"/>
            <w:u w:val="single" w:color="auto"/>
            <w:color w:val="0000FF"/>
          </w:rPr>
          <w:t>Companies, Inc.</w:t>
        </w:r>
      </w:hyperlink>
    </w:p>
    <w:p>
      <w:pPr>
        <w:spacing w:after="0" w:line="197" w:lineRule="exact"/>
        <w:rPr>
          <w:sz w:val="20"/>
          <w:szCs w:val="20"/>
          <w:color w:val="auto"/>
        </w:rPr>
      </w:pPr>
    </w:p>
    <w:p>
      <w:pPr>
        <w:jc w:val="both"/>
        <w:ind w:left="1400" w:right="40" w:hanging="1361"/>
        <w:spacing w:after="0" w:line="308" w:lineRule="auto"/>
        <w:tabs>
          <w:tab w:leader="none" w:pos="1380" w:val="left"/>
        </w:tabs>
        <w:rPr>
          <w:rFonts w:ascii="Arial" w:cs="Arial" w:eastAsia="Arial" w:hAnsi="Arial"/>
          <w:sz w:val="17"/>
          <w:szCs w:val="17"/>
          <w:u w:val="single" w:color="auto"/>
          <w:color w:val="0000FF"/>
        </w:rPr>
      </w:pPr>
      <w:r>
        <w:rPr>
          <w:rFonts w:ascii="Arial" w:cs="Arial" w:eastAsia="Arial" w:hAnsi="Arial"/>
          <w:sz w:val="18"/>
          <w:szCs w:val="18"/>
          <w:color w:val="auto"/>
        </w:rPr>
        <w:t>10.31§</w:t>
      </w:r>
      <w:r>
        <w:rPr>
          <w:sz w:val="20"/>
          <w:szCs w:val="20"/>
          <w:color w:val="auto"/>
        </w:rPr>
        <w:tab/>
      </w:r>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FF"/>
          </w:rPr>
          <w:t>The Williams Companies, Inc. Executive Severance Pay Plan, dated November 14, 2012 (filed July 20, 2016, as Exhibit 10.2 to The</w:t>
        </w:r>
      </w:hyperlink>
      <w:r>
        <w:rPr>
          <w:rFonts w:ascii="Arial" w:cs="Arial" w:eastAsia="Arial" w:hAnsi="Arial"/>
          <w:sz w:val="17"/>
          <w:szCs w:val="17"/>
          <w:color w:val="auto"/>
        </w:rPr>
        <w:t xml:space="preserve"> </w:t>
      </w:r>
      <w:hyperlink r:id="rId136">
        <w:r>
          <w:rPr>
            <w:rFonts w:ascii="Arial" w:cs="Arial" w:eastAsia="Arial" w:hAnsi="Arial"/>
            <w:sz w:val="17"/>
            <w:szCs w:val="17"/>
            <w:u w:val="single" w:color="auto"/>
            <w:color w:val="0000FF"/>
          </w:rPr>
          <w:t>Williams Companies, Inc.’s current report on Form 8-K (File No. 001-04174) and incorporated herein by reference).</w:t>
        </w:r>
      </w:hyperlink>
    </w:p>
    <w:p>
      <w:pPr>
        <w:spacing w:after="0" w:line="174" w:lineRule="exact"/>
        <w:rPr>
          <w:sz w:val="20"/>
          <w:szCs w:val="20"/>
          <w:color w:val="auto"/>
        </w:rPr>
      </w:pPr>
    </w:p>
    <w:p>
      <w:pPr>
        <w:jc w:val="both"/>
        <w:ind w:left="1400" w:right="20" w:hanging="1361"/>
        <w:spacing w:after="0" w:line="277"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First Amendment to The Williams Companies, Inc. Executive Severance Pay Plan (filed July 20, 2016, as Exhibit 10.1 to The</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Williams Companies, Inc.’s current report on Form 8-K (File No. 001-04174) and incorporated herein by reference).</w:t>
        </w:r>
      </w:hyperlink>
    </w:p>
    <w:p>
      <w:pPr>
        <w:spacing w:after="0" w:line="197" w:lineRule="exact"/>
        <w:rPr>
          <w:sz w:val="20"/>
          <w:szCs w:val="20"/>
          <w:color w:val="auto"/>
        </w:rPr>
      </w:pPr>
    </w:p>
    <w:p>
      <w:pPr>
        <w:jc w:val="both"/>
        <w:ind w:left="1400" w:right="40" w:hanging="1361"/>
        <w:spacing w:after="0" w:line="26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The Williams Companies, Inc. 2007 Incentive Plan as amended and restated effective July 14, 2016 (filed on February 22, 2017, as</w:t>
        </w:r>
      </w:hyperlink>
      <w:r>
        <w:rPr>
          <w:rFonts w:ascii="Arial" w:cs="Arial" w:eastAsia="Arial" w:hAnsi="Arial"/>
          <w:sz w:val="18"/>
          <w:szCs w:val="18"/>
          <w:color w:val="auto"/>
        </w:rPr>
        <w:t xml:space="preserve"> </w:t>
      </w:r>
      <w:hyperlink r:id="rId138">
        <w:r>
          <w:rPr>
            <w:rFonts w:ascii="Arial" w:cs="Arial" w:eastAsia="Arial" w:hAnsi="Arial"/>
            <w:sz w:val="18"/>
            <w:szCs w:val="18"/>
            <w:u w:val="single" w:color="auto"/>
            <w:color w:val="0000FF"/>
          </w:rPr>
          <w:t>Exhibit 10.38 to The Williams Companies, Inc.’s annual report on Form 10-K (File No. 001-04174) and incorporated herein by</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reference).</w:t>
        </w:r>
      </w:hyperlink>
    </w:p>
    <w:p>
      <w:pPr>
        <w:spacing w:after="0" w:line="208" w:lineRule="exact"/>
        <w:rPr>
          <w:rFonts w:ascii="Arial" w:cs="Arial" w:eastAsia="Arial" w:hAnsi="Arial"/>
          <w:sz w:val="18"/>
          <w:szCs w:val="18"/>
          <w:color w:val="auto"/>
        </w:rPr>
      </w:pPr>
    </w:p>
    <w:p>
      <w:pPr>
        <w:jc w:val="both"/>
        <w:ind w:left="1400" w:right="40" w:hanging="1316"/>
        <w:spacing w:after="0" w:line="259"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Credit Agreement dated as of July 13, 2018, between The Williams Companies, Inc., Northwest Pipeline LLC, and Transcontinental</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Gas Pipe Line Company, LLC as co-borrowers, the lenders named therein, and Citibank, N.A. as Administrative Agent (filed on July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17, 2018, as Exhibit 10.1 to The Williams Companies, Inc.’s current report on Form 8-K (File No. 001-04174) and incorporated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herein by reference).</w:t>
        </w:r>
      </w:hyperlink>
    </w:p>
    <w:p>
      <w:pPr>
        <w:spacing w:after="0" w:line="214" w:lineRule="exact"/>
        <w:rPr>
          <w:rFonts w:ascii="Arial" w:cs="Arial" w:eastAsia="Arial" w:hAnsi="Arial"/>
          <w:sz w:val="18"/>
          <w:szCs w:val="18"/>
          <w:u w:val="single" w:color="auto"/>
          <w:color w:val="0000FF"/>
        </w:rPr>
      </w:pPr>
    </w:p>
    <w:p>
      <w:pPr>
        <w:jc w:val="both"/>
        <w:ind w:left="1400" w:right="40" w:hanging="1316"/>
        <w:spacing w:after="0" w:line="264" w:lineRule="auto"/>
        <w:tabs>
          <w:tab w:leader="none" w:pos="138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Form of Commercial Paper Dealer Agreement, dated as of August 10, 2018, between The Williams Companies, Inc., as Issuer, and</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the Dealer party thereto(filed on August 10, 2018, as Exhibit 10.1 to The Williams Companies, Inc.’s current report on Form 8-K</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(File No. 001-04174) and incorporated herein by reference).</w:t>
        </w:r>
      </w:hyperlink>
    </w:p>
    <w:p>
      <w:pPr>
        <w:spacing w:after="0" w:line="208" w:lineRule="exact"/>
        <w:rPr>
          <w:rFonts w:ascii="Arial" w:cs="Arial" w:eastAsia="Arial" w:hAnsi="Arial"/>
          <w:sz w:val="18"/>
          <w:szCs w:val="18"/>
          <w:color w:val="auto"/>
        </w:rPr>
      </w:pPr>
    </w:p>
    <w:p>
      <w:pPr>
        <w:ind w:left="500"/>
        <w:spacing w:after="0"/>
        <w:tabs>
          <w:tab w:leader="none" w:pos="138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t>
      </w:r>
      <w:r>
        <w:rPr>
          <w:sz w:val="20"/>
          <w:szCs w:val="20"/>
          <w:color w:val="auto"/>
        </w:rPr>
        <w:tab/>
      </w:r>
      <w:hyperlink w:anchor="page222">
        <w:r>
          <w:rPr>
            <w:rFonts w:ascii="Arial" w:cs="Arial" w:eastAsia="Arial" w:hAnsi="Arial"/>
            <w:sz w:val="16"/>
            <w:szCs w:val="16"/>
            <w:u w:val="single" w:color="auto"/>
            <w:color w:val="0000FF"/>
          </w:rPr>
          <w:t>Subsidiaries of the registrant.</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878"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16"/>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No.</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020" w:type="dxa"/>
            <w:vAlign w:val="bottom"/>
            <w:gridSpan w:val="5"/>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10160" w:type="dxa"/>
            <w:vAlign w:val="bottom"/>
            <w:gridSpan w:val="9"/>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5">
              <w:r>
                <w:rPr>
                  <w:rFonts w:ascii="Arial" w:cs="Arial" w:eastAsia="Arial" w:hAnsi="Arial"/>
                  <w:sz w:val="18"/>
                  <w:szCs w:val="18"/>
                  <w:color w:val="0000FF"/>
                </w:rPr>
                <w:t>Consent of Independent Registered Public Accounting Firm, Ernst &amp; Young LLP.</w:t>
              </w:r>
            </w:hyperlink>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10160" w:type="dxa"/>
            <w:vAlign w:val="bottom"/>
            <w:gridSpan w:val="9"/>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6">
              <w:r>
                <w:rPr>
                  <w:rFonts w:ascii="Arial" w:cs="Arial" w:eastAsia="Arial" w:hAnsi="Arial"/>
                  <w:sz w:val="18"/>
                  <w:szCs w:val="18"/>
                  <w:color w:val="0000FF"/>
                </w:rPr>
                <w:t>Consent of Independent Registered Public Accounting Firm, PricewaterhouseCoopers LLP.</w:t>
              </w:r>
            </w:hyperlink>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160" w:type="dxa"/>
            <w:vAlign w:val="bottom"/>
            <w:gridSpan w:val="9"/>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227">
              <w:r>
                <w:rPr>
                  <w:rFonts w:ascii="Arial" w:cs="Arial" w:eastAsia="Arial" w:hAnsi="Arial"/>
                  <w:sz w:val="18"/>
                  <w:szCs w:val="18"/>
                  <w:color w:val="0000FF"/>
                  <w:w w:val="94"/>
                </w:rPr>
                <w:t>Certification of the Chief Executive Officer pursuant to Rules 13a-l4(a) and 15d-14(a) promulgated under the Securities Exchange</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FF"/>
            </w:tcBorders>
            <w:gridSpan w:val="6"/>
          </w:tcPr>
          <w:p>
            <w:pPr>
              <w:spacing w:after="0" w:line="196" w:lineRule="exact"/>
              <w:rPr>
                <w:rFonts w:ascii="Arial" w:cs="Arial" w:eastAsia="Arial" w:hAnsi="Arial"/>
                <w:sz w:val="18"/>
                <w:szCs w:val="18"/>
                <w:color w:val="0000FF"/>
                <w:w w:val="92"/>
              </w:rPr>
            </w:pPr>
            <w:hyperlink w:anchor="page227">
              <w:r>
                <w:rPr>
                  <w:rFonts w:ascii="Arial" w:cs="Arial" w:eastAsia="Arial" w:hAnsi="Arial"/>
                  <w:sz w:val="18"/>
                  <w:szCs w:val="18"/>
                  <w:color w:val="0000FF"/>
                  <w:w w:val="92"/>
                </w:rPr>
                <w:t>Act of 1934, as amended, and Item 601(b)(3l) of Regulation S-K, as adopted pursuant to Section 302 of the Sarbanes-Oxley Act of</w:t>
              </w:r>
            </w:hyperlink>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00" w:type="dxa"/>
            <w:vAlign w:val="bottom"/>
            <w:gridSpan w:val="3"/>
          </w:tcPr>
          <w:p>
            <w:pPr>
              <w:ind w:left="500"/>
              <w:spacing w:after="0" w:line="196" w:lineRule="exact"/>
              <w:rPr>
                <w:rFonts w:ascii="Arial" w:cs="Arial" w:eastAsia="Arial" w:hAnsi="Arial"/>
                <w:sz w:val="18"/>
                <w:szCs w:val="18"/>
                <w:color w:val="0000FF"/>
                <w:w w:val="84"/>
              </w:rPr>
            </w:pPr>
            <w:hyperlink w:anchor="page227">
              <w:r>
                <w:rPr>
                  <w:rFonts w:ascii="Arial" w:cs="Arial" w:eastAsia="Arial" w:hAnsi="Arial"/>
                  <w:sz w:val="18"/>
                  <w:szCs w:val="18"/>
                  <w:color w:val="0000FF"/>
                  <w:w w:val="84"/>
                </w:rPr>
                <w:t>2002.</w:t>
              </w:r>
            </w:hyperlink>
          </w:p>
        </w:tc>
        <w:tc>
          <w:tcPr>
            <w:tcW w:w="32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160" w:type="dxa"/>
            <w:vAlign w:val="bottom"/>
            <w:gridSpan w:val="9"/>
          </w:tcPr>
          <w:p>
            <w:pPr>
              <w:ind w:left="1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228">
              <w:r>
                <w:rPr>
                  <w:rFonts w:ascii="Arial" w:cs="Arial" w:eastAsia="Arial" w:hAnsi="Arial"/>
                  <w:sz w:val="18"/>
                  <w:szCs w:val="18"/>
                  <w:color w:val="0000FF"/>
                  <w:w w:val="92"/>
                </w:rPr>
                <w:t>Certification of the Chief Financial Officer pursuant to Rules 13a-14(a) and l5d-l4(a) promulgated under the Securities Exchange Act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tcBorders>
              <w:top w:val="single" w:sz="8" w:color="0000FF"/>
            </w:tcBorders>
            <w:gridSpan w:val="5"/>
          </w:tcPr>
          <w:p>
            <w:pPr>
              <w:spacing w:after="0" w:line="196" w:lineRule="exact"/>
              <w:rPr>
                <w:rFonts w:ascii="Arial" w:cs="Arial" w:eastAsia="Arial" w:hAnsi="Arial"/>
                <w:sz w:val="18"/>
                <w:szCs w:val="18"/>
                <w:color w:val="0000FF"/>
                <w:w w:val="89"/>
              </w:rPr>
            </w:pPr>
            <w:hyperlink w:anchor="page228">
              <w:r>
                <w:rPr>
                  <w:rFonts w:ascii="Arial" w:cs="Arial" w:eastAsia="Arial" w:hAnsi="Arial"/>
                  <w:sz w:val="18"/>
                  <w:szCs w:val="18"/>
                  <w:color w:val="0000FF"/>
                  <w:w w:val="89"/>
                </w:rPr>
                <w:t>of 1934, as amended, and Item 601(b)(31) of Regulation S-K, as adopted pursuant to Section 302 of the Sarbanes-Oxley Act of 2002.</w:t>
              </w:r>
            </w:hyperlink>
          </w:p>
        </w:tc>
        <w:tc>
          <w:tcPr>
            <w:tcW w:w="6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59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260" w:type="dxa"/>
            <w:vAlign w:val="bottom"/>
          </w:tcPr>
          <w:p>
            <w:pPr>
              <w:jc w:val="center"/>
              <w:spacing w:after="0"/>
              <w:rPr>
                <w:sz w:val="20"/>
                <w:szCs w:val="20"/>
                <w:color w:val="auto"/>
              </w:rPr>
            </w:pPr>
            <w:r>
              <w:rPr>
                <w:rFonts w:ascii="Arial" w:cs="Arial" w:eastAsia="Arial" w:hAnsi="Arial"/>
                <w:sz w:val="18"/>
                <w:szCs w:val="18"/>
                <w:color w:val="auto"/>
              </w:rPr>
              <w:t>32**</w:t>
            </w:r>
          </w:p>
        </w:tc>
        <w:tc>
          <w:tcPr>
            <w:tcW w:w="10160" w:type="dxa"/>
            <w:vAlign w:val="bottom"/>
            <w:gridSpan w:val="9"/>
          </w:tcPr>
          <w:p>
            <w:pPr>
              <w:ind w:left="1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229">
              <w:r>
                <w:rPr>
                  <w:rFonts w:ascii="Arial" w:cs="Arial" w:eastAsia="Arial" w:hAnsi="Arial"/>
                  <w:sz w:val="18"/>
                  <w:szCs w:val="18"/>
                  <w:color w:val="0000FF"/>
                  <w:w w:val="93"/>
                </w:rPr>
                <w:t>Certification of the Chief Executive Officer and the Chief Financial Officer pursuant to 18 U.S.C. Section 1350, as adopted pursuant</w:t>
              </w:r>
            </w:hyperlink>
          </w:p>
        </w:tc>
      </w:tr>
      <w:tr>
        <w:trPr>
          <w:trHeight w:val="196"/>
        </w:trPr>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229">
              <w:r>
                <w:rPr>
                  <w:rFonts w:ascii="Arial" w:cs="Arial" w:eastAsia="Arial" w:hAnsi="Arial"/>
                  <w:sz w:val="18"/>
                  <w:szCs w:val="18"/>
                  <w:color w:val="0000FF"/>
                  <w:w w:val="90"/>
                </w:rPr>
                <w:t>to Section 906 of the Sarbanes-Oxley Act of 2002.</w:t>
              </w:r>
            </w:hyperlink>
          </w:p>
        </w:tc>
        <w:tc>
          <w:tcPr>
            <w:tcW w:w="600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65"/>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w w:val="91"/>
              </w:rPr>
              <w:t>—  XBRL Instance Document. The instance document does not appear in the Interactive Data File because its XBRL tags are embedded</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r>
      <w:tr>
        <w:trPr>
          <w:trHeight w:val="459"/>
        </w:trPr>
        <w:tc>
          <w:tcPr>
            <w:tcW w:w="126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rPr>
              <w:t>—  XBRL Taxonomy Extension Schema.</w:t>
            </w:r>
          </w:p>
        </w:tc>
      </w:tr>
      <w:tr>
        <w:trPr>
          <w:trHeight w:val="459"/>
        </w:trPr>
        <w:tc>
          <w:tcPr>
            <w:tcW w:w="126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rPr>
              <w:t>—  XBRL Taxonomy Extension Calculation Linkbase.</w:t>
            </w:r>
          </w:p>
        </w:tc>
      </w:tr>
      <w:tr>
        <w:trPr>
          <w:trHeight w:val="459"/>
        </w:trPr>
        <w:tc>
          <w:tcPr>
            <w:tcW w:w="126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rPr>
              <w:t>—  XBRL Taxonomy Extension Definition Linkbase.</w:t>
            </w:r>
          </w:p>
        </w:tc>
      </w:tr>
      <w:tr>
        <w:trPr>
          <w:trHeight w:val="459"/>
        </w:trPr>
        <w:tc>
          <w:tcPr>
            <w:tcW w:w="126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rPr>
              <w:t>—  XBRL Taxonomy Extension Label Linkbase.</w:t>
            </w:r>
          </w:p>
        </w:tc>
      </w:tr>
      <w:tr>
        <w:trPr>
          <w:trHeight w:val="459"/>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rPr>
              <w:t>—  XBRL Taxonomy Extension Presentation Linkbase.</w:t>
            </w:r>
          </w:p>
        </w:tc>
      </w:tr>
      <w:tr>
        <w:trPr>
          <w:trHeight w:val="445"/>
        </w:trPr>
        <w:tc>
          <w:tcPr>
            <w:tcW w:w="126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10160" w:type="dxa"/>
            <w:vAlign w:val="bottom"/>
            <w:gridSpan w:val="9"/>
          </w:tcPr>
          <w:p>
            <w:pPr>
              <w:ind w:left="140"/>
              <w:spacing w:after="0"/>
              <w:rPr>
                <w:sz w:val="20"/>
                <w:szCs w:val="20"/>
                <w:color w:val="auto"/>
              </w:rPr>
            </w:pPr>
            <w:r>
              <w:rPr>
                <w:rFonts w:ascii="Arial" w:cs="Arial" w:eastAsia="Arial" w:hAnsi="Arial"/>
                <w:sz w:val="18"/>
                <w:szCs w:val="18"/>
                <w:color w:val="auto"/>
                <w:w w:val="93"/>
              </w:rPr>
              <w:t>—  Cover Page Interactive Data File. The cover page interactive data file does not appear in the interactive data file because its XBRL</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60" w:type="dxa"/>
            <w:vAlign w:val="bottom"/>
            <w:gridSpan w:val="7"/>
          </w:tcPr>
          <w:p>
            <w:pPr>
              <w:spacing w:after="0"/>
              <w:rPr>
                <w:sz w:val="20"/>
                <w:szCs w:val="20"/>
                <w:color w:val="auto"/>
              </w:rPr>
            </w:pPr>
            <w:r>
              <w:rPr>
                <w:rFonts w:ascii="Arial" w:cs="Arial" w:eastAsia="Arial" w:hAnsi="Arial"/>
                <w:sz w:val="18"/>
                <w:szCs w:val="18"/>
                <w:color w:val="auto"/>
              </w:rPr>
              <w:t>tags are embedded within the inline XBRL document (contained in Exhibit 101).</w:t>
            </w: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w:t>
      </w:r>
    </w:p>
    <w:p>
      <w:pPr>
        <w:spacing w:after="0" w:line="63" w:lineRule="exact"/>
        <w:rPr>
          <w:sz w:val="20"/>
          <w:szCs w:val="20"/>
          <w:color w:val="auto"/>
        </w:rPr>
      </w:pPr>
    </w:p>
    <w:p>
      <w:pPr>
        <w:ind w:left="500" w:hanging="150"/>
        <w:spacing w:after="0"/>
        <w:tabs>
          <w:tab w:leader="none" w:pos="5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240"/>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878"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219"/>
          </w:cols>
          <w:pgMar w:left="240" w:top="715" w:right="1440"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W</w:t>
      </w:r>
      <w:r>
        <w:rPr>
          <w:rFonts w:ascii="Arial" w:cs="Arial" w:eastAsia="Arial" w:hAnsi="Arial"/>
          <w:sz w:val="14"/>
          <w:szCs w:val="14"/>
          <w:color w:val="auto"/>
        </w:rPr>
        <w:t>ILLIAMS</w:t>
      </w:r>
      <w:r>
        <w:rPr>
          <w:rFonts w:ascii="Arial" w:cs="Arial" w:eastAsia="Arial" w:hAnsi="Arial"/>
          <w:sz w:val="18"/>
          <w:szCs w:val="18"/>
          <w:color w:val="auto"/>
        </w:rPr>
        <w:t xml:space="preserve"> C</w:t>
      </w:r>
      <w:r>
        <w:rPr>
          <w:rFonts w:ascii="Arial" w:cs="Arial" w:eastAsia="Arial" w:hAnsi="Arial"/>
          <w:sz w:val="14"/>
          <w:szCs w:val="14"/>
          <w:color w:val="auto"/>
        </w:rPr>
        <w:t>OMPANIES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(Registrant)</w:t>
      </w:r>
    </w:p>
    <w:p>
      <w:pPr>
        <w:spacing w:after="0" w:line="170" w:lineRule="exact"/>
        <w:rPr>
          <w:sz w:val="20"/>
          <w:szCs w:val="20"/>
          <w:color w:val="auto"/>
        </w:rPr>
      </w:pPr>
    </w:p>
    <w:tbl>
      <w:tblPr>
        <w:tblLayout w:type="fixed"/>
        <w:tblInd w:w="61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ind w:left="1280"/>
              <w:spacing w:after="0"/>
              <w:rPr>
                <w:sz w:val="20"/>
                <w:szCs w:val="20"/>
                <w:color w:val="auto"/>
              </w:rPr>
            </w:pPr>
            <w:r>
              <w:rPr>
                <w:rFonts w:ascii="Arial" w:cs="Arial" w:eastAsia="Arial" w:hAnsi="Arial"/>
                <w:sz w:val="18"/>
                <w:szCs w:val="18"/>
                <w:color w:val="auto"/>
              </w:rPr>
              <w:t>/s/   JOHN D. PORTER</w:t>
            </w:r>
          </w:p>
        </w:tc>
      </w:tr>
      <w:tr>
        <w:trPr>
          <w:trHeight w:val="27"/>
        </w:trPr>
        <w:tc>
          <w:tcPr>
            <w:tcW w:w="56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22"/>
        </w:trPr>
        <w:tc>
          <w:tcPr>
            <w:tcW w:w="560" w:type="dxa"/>
            <w:vAlign w:val="bottom"/>
          </w:tcPr>
          <w:p>
            <w:pPr>
              <w:spacing w:after="0"/>
              <w:rPr>
                <w:sz w:val="19"/>
                <w:szCs w:val="19"/>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9"/>
              </w:rPr>
              <w:t>John D. Porter</w:t>
            </w:r>
          </w:p>
        </w:tc>
      </w:tr>
      <w:tr>
        <w:trPr>
          <w:trHeight w:val="216"/>
        </w:trPr>
        <w:tc>
          <w:tcPr>
            <w:tcW w:w="56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i w:val="1"/>
                <w:iCs w:val="1"/>
                <w:color w:val="auto"/>
                <w:w w:val="91"/>
              </w:rPr>
              <w:t>Vice President, Controller and</w:t>
            </w:r>
          </w:p>
        </w:tc>
      </w:tr>
      <w:tr>
        <w:trPr>
          <w:trHeight w:val="230"/>
        </w:trPr>
        <w:tc>
          <w:tcPr>
            <w:tcW w:w="5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i w:val="1"/>
                <w:iCs w:val="1"/>
                <w:color w:val="auto"/>
                <w:w w:val="92"/>
              </w:rPr>
              <w:t>Chief Accounting Officer</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8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426"/>
        </w:trPr>
        <w:tc>
          <w:tcPr>
            <w:tcW w:w="860" w:type="dxa"/>
            <w:vAlign w:val="bottom"/>
          </w:tcPr>
          <w:p>
            <w:pPr>
              <w:ind w:left="540"/>
              <w:spacing w:after="0"/>
              <w:rPr>
                <w:sz w:val="20"/>
                <w:szCs w:val="20"/>
                <w:color w:val="auto"/>
              </w:rPr>
            </w:pPr>
            <w:r>
              <w:rPr>
                <w:rFonts w:ascii="Arial" w:cs="Arial" w:eastAsia="Arial" w:hAnsi="Arial"/>
                <w:sz w:val="18"/>
                <w:szCs w:val="18"/>
                <w:color w:val="auto"/>
              </w:rPr>
              <w:t>/s/</w:t>
            </w:r>
          </w:p>
        </w:tc>
        <w:tc>
          <w:tcPr>
            <w:tcW w:w="2800" w:type="dxa"/>
            <w:vAlign w:val="bottom"/>
            <w:gridSpan w:val="2"/>
          </w:tcPr>
          <w:p>
            <w:pPr>
              <w:ind w:left="20"/>
              <w:spacing w:after="0"/>
              <w:rPr>
                <w:sz w:val="20"/>
                <w:szCs w:val="20"/>
                <w:color w:val="auto"/>
              </w:rPr>
            </w:pPr>
            <w:r>
              <w:rPr>
                <w:rFonts w:ascii="Arial" w:cs="Arial" w:eastAsia="Arial" w:hAnsi="Arial"/>
                <w:sz w:val="18"/>
                <w:szCs w:val="18"/>
                <w:color w:val="auto"/>
              </w:rPr>
              <w:t>ALAN S. ARMSTRONG</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4"/>
              </w:rPr>
              <w:t>Alan S. Armstrong</w:t>
            </w:r>
          </w:p>
        </w:tc>
        <w:tc>
          <w:tcPr>
            <w:tcW w:w="12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140" w:type="dxa"/>
            <w:vAlign w:val="bottom"/>
          </w:tcPr>
          <w:p>
            <w:pPr>
              <w:spacing w:after="0"/>
              <w:rPr>
                <w:sz w:val="20"/>
                <w:szCs w:val="20"/>
                <w:color w:val="auto"/>
              </w:rPr>
            </w:pPr>
          </w:p>
        </w:tc>
      </w:tr>
      <w:tr>
        <w:trPr>
          <w:trHeight w:val="446"/>
        </w:trPr>
        <w:tc>
          <w:tcPr>
            <w:tcW w:w="860" w:type="dxa"/>
            <w:vAlign w:val="bottom"/>
          </w:tcPr>
          <w:p>
            <w:pPr>
              <w:ind w:left="620"/>
              <w:spacing w:after="0"/>
              <w:rPr>
                <w:sz w:val="20"/>
                <w:szCs w:val="20"/>
                <w:color w:val="auto"/>
              </w:rPr>
            </w:pPr>
            <w:r>
              <w:rPr>
                <w:rFonts w:ascii="Arial" w:cs="Arial" w:eastAsia="Arial" w:hAnsi="Arial"/>
                <w:sz w:val="18"/>
                <w:szCs w:val="18"/>
                <w:color w:val="auto"/>
              </w:rPr>
              <w:t>/s/</w:t>
            </w:r>
          </w:p>
        </w:tc>
        <w:tc>
          <w:tcPr>
            <w:tcW w:w="2800" w:type="dxa"/>
            <w:vAlign w:val="bottom"/>
            <w:gridSpan w:val="2"/>
          </w:tcPr>
          <w:p>
            <w:pPr>
              <w:jc w:val="center"/>
              <w:ind w:right="770"/>
              <w:spacing w:after="0"/>
              <w:rPr>
                <w:sz w:val="20"/>
                <w:szCs w:val="20"/>
                <w:color w:val="auto"/>
              </w:rPr>
            </w:pPr>
            <w:r>
              <w:rPr>
                <w:rFonts w:ascii="Arial" w:cs="Arial" w:eastAsia="Arial" w:hAnsi="Arial"/>
                <w:sz w:val="18"/>
                <w:szCs w:val="18"/>
                <w:color w:val="auto"/>
                <w:w w:val="96"/>
              </w:rPr>
              <w:t>JOHN D. CHANDLER</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Senior Vice President and Chief Financial Officer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89"/>
              </w:rPr>
              <w:t>John D. Chandler</w:t>
            </w:r>
          </w:p>
        </w:tc>
        <w:tc>
          <w:tcPr>
            <w:tcW w:w="120" w:type="dxa"/>
            <w:vAlign w:val="bottom"/>
          </w:tcPr>
          <w:p>
            <w:pPr>
              <w:spacing w:after="0"/>
              <w:rPr>
                <w:sz w:val="20"/>
                <w:szCs w:val="20"/>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40" w:type="dxa"/>
            <w:vAlign w:val="bottom"/>
          </w:tcPr>
          <w:p>
            <w:pPr>
              <w:spacing w:after="0"/>
              <w:rPr>
                <w:sz w:val="20"/>
                <w:szCs w:val="20"/>
                <w:color w:val="auto"/>
              </w:rPr>
            </w:pPr>
          </w:p>
        </w:tc>
      </w:tr>
      <w:tr>
        <w:trPr>
          <w:trHeight w:val="446"/>
        </w:trPr>
        <w:tc>
          <w:tcPr>
            <w:tcW w:w="1080" w:type="dxa"/>
            <w:vAlign w:val="bottom"/>
            <w:gridSpan w:val="2"/>
          </w:tcPr>
          <w:p>
            <w:pPr>
              <w:ind w:left="800"/>
              <w:spacing w:after="0"/>
              <w:rPr>
                <w:sz w:val="20"/>
                <w:szCs w:val="20"/>
                <w:color w:val="auto"/>
              </w:rPr>
            </w:pPr>
            <w:r>
              <w:rPr>
                <w:rFonts w:ascii="Arial" w:cs="Arial" w:eastAsia="Arial" w:hAnsi="Arial"/>
                <w:sz w:val="18"/>
                <w:szCs w:val="18"/>
                <w:color w:val="auto"/>
              </w:rPr>
              <w:t>/s/</w:t>
            </w:r>
          </w:p>
        </w:tc>
        <w:tc>
          <w:tcPr>
            <w:tcW w:w="2580" w:type="dxa"/>
            <w:vAlign w:val="bottom"/>
          </w:tcPr>
          <w:p>
            <w:pPr>
              <w:jc w:val="center"/>
              <w:ind w:right="950"/>
              <w:spacing w:after="0"/>
              <w:rPr>
                <w:sz w:val="20"/>
                <w:szCs w:val="20"/>
                <w:color w:val="auto"/>
              </w:rPr>
            </w:pPr>
            <w:r>
              <w:rPr>
                <w:rFonts w:ascii="Arial" w:cs="Arial" w:eastAsia="Arial" w:hAnsi="Arial"/>
                <w:sz w:val="18"/>
                <w:szCs w:val="18"/>
                <w:color w:val="auto"/>
                <w:w w:val="93"/>
              </w:rPr>
              <w:t>JOHN D. PORTER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Vice President, Controller and Chief Accounting Officer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1"/>
              </w:rPr>
              <w:t>John D. Porter</w:t>
            </w:r>
          </w:p>
        </w:tc>
        <w:tc>
          <w:tcPr>
            <w:tcW w:w="120" w:type="dxa"/>
            <w:vAlign w:val="bottom"/>
          </w:tcPr>
          <w:p>
            <w:pPr>
              <w:spacing w:after="0"/>
              <w:rPr>
                <w:sz w:val="20"/>
                <w:szCs w:val="20"/>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40" w:type="dxa"/>
            <w:vAlign w:val="bottom"/>
          </w:tcPr>
          <w:p>
            <w:pPr>
              <w:spacing w:after="0"/>
              <w:rPr>
                <w:sz w:val="20"/>
                <w:szCs w:val="20"/>
                <w:color w:val="auto"/>
              </w:rPr>
            </w:pPr>
          </w:p>
        </w:tc>
      </w:tr>
      <w:tr>
        <w:trPr>
          <w:trHeight w:val="446"/>
        </w:trPr>
        <w:tc>
          <w:tcPr>
            <w:tcW w:w="3660" w:type="dxa"/>
            <w:vAlign w:val="bottom"/>
            <w:gridSpan w:val="3"/>
          </w:tcPr>
          <w:p>
            <w:pPr>
              <w:ind w:left="380"/>
              <w:spacing w:after="0"/>
              <w:rPr>
                <w:sz w:val="20"/>
                <w:szCs w:val="20"/>
                <w:color w:val="auto"/>
              </w:rPr>
            </w:pPr>
            <w:r>
              <w:rPr>
                <w:rFonts w:ascii="Arial" w:cs="Arial" w:eastAsia="Arial" w:hAnsi="Arial"/>
                <w:sz w:val="18"/>
                <w:szCs w:val="18"/>
                <w:color w:val="auto"/>
              </w:rPr>
              <w:t>/s/  STEPHEN W. BERGSTROM</w:t>
            </w:r>
          </w:p>
        </w:tc>
        <w:tc>
          <w:tcPr>
            <w:tcW w:w="120" w:type="dxa"/>
            <w:vAlign w:val="bottom"/>
          </w:tcPr>
          <w:p>
            <w:pPr>
              <w:spacing w:after="0"/>
              <w:rPr>
                <w:sz w:val="24"/>
                <w:szCs w:val="24"/>
                <w:color w:val="auto"/>
              </w:rPr>
            </w:pPr>
          </w:p>
        </w:tc>
        <w:tc>
          <w:tcPr>
            <w:tcW w:w="5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Chairman of the Board</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800" w:type="dxa"/>
            <w:vAlign w:val="bottom"/>
            <w:gridSpan w:val="2"/>
          </w:tcPr>
          <w:p>
            <w:pPr>
              <w:jc w:val="center"/>
              <w:ind w:right="770"/>
              <w:spacing w:after="0"/>
              <w:rPr>
                <w:sz w:val="20"/>
                <w:szCs w:val="20"/>
                <w:color w:val="auto"/>
              </w:rPr>
            </w:pPr>
            <w:r>
              <w:rPr>
                <w:rFonts w:ascii="Arial" w:cs="Arial" w:eastAsia="Arial" w:hAnsi="Arial"/>
                <w:sz w:val="18"/>
                <w:szCs w:val="18"/>
                <w:color w:val="auto"/>
                <w:w w:val="88"/>
              </w:rPr>
              <w:t>Stephen W. Bergstrom</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580" w:type="dxa"/>
            <w:vAlign w:val="bottom"/>
          </w:tcPr>
          <w:p>
            <w:pPr>
              <w:jc w:val="center"/>
              <w:ind w:right="730"/>
              <w:spacing w:after="0"/>
              <w:rPr>
                <w:sz w:val="20"/>
                <w:szCs w:val="20"/>
                <w:color w:val="auto"/>
              </w:rPr>
            </w:pPr>
            <w:r>
              <w:rPr>
                <w:rFonts w:ascii="Arial" w:cs="Arial" w:eastAsia="Arial" w:hAnsi="Arial"/>
                <w:sz w:val="18"/>
                <w:szCs w:val="18"/>
                <w:color w:val="auto"/>
                <w:w w:val="97"/>
              </w:rPr>
              <w:t>NANCY K. BUESE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1"/>
              </w:rPr>
              <w:t>Nancy K. Buese</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1080" w:type="dxa"/>
            <w:vAlign w:val="bottom"/>
            <w:gridSpan w:val="2"/>
          </w:tcPr>
          <w:p>
            <w:pPr>
              <w:ind w:left="760"/>
              <w:spacing w:after="0"/>
              <w:rPr>
                <w:sz w:val="20"/>
                <w:szCs w:val="20"/>
                <w:color w:val="auto"/>
              </w:rPr>
            </w:pPr>
            <w:r>
              <w:rPr>
                <w:rFonts w:ascii="Arial" w:cs="Arial" w:eastAsia="Arial" w:hAnsi="Arial"/>
                <w:sz w:val="18"/>
                <w:szCs w:val="18"/>
                <w:color w:val="auto"/>
              </w:rPr>
              <w:t>/s/</w:t>
            </w:r>
          </w:p>
        </w:tc>
        <w:tc>
          <w:tcPr>
            <w:tcW w:w="2580" w:type="dxa"/>
            <w:vAlign w:val="bottom"/>
          </w:tcPr>
          <w:p>
            <w:pPr>
              <w:jc w:val="center"/>
              <w:ind w:right="730"/>
              <w:spacing w:after="0"/>
              <w:rPr>
                <w:sz w:val="20"/>
                <w:szCs w:val="20"/>
                <w:color w:val="auto"/>
              </w:rPr>
            </w:pPr>
            <w:r>
              <w:rPr>
                <w:rFonts w:ascii="Arial" w:cs="Arial" w:eastAsia="Arial" w:hAnsi="Arial"/>
                <w:sz w:val="18"/>
                <w:szCs w:val="18"/>
                <w:color w:val="auto"/>
                <w:w w:val="96"/>
              </w:rPr>
              <w:t>STEPHEN I. CHAZEN</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Stephen I. Chazen</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ind w:left="680"/>
              <w:spacing w:after="0"/>
              <w:rPr>
                <w:sz w:val="20"/>
                <w:szCs w:val="20"/>
                <w:color w:val="auto"/>
              </w:rPr>
            </w:pPr>
            <w:r>
              <w:rPr>
                <w:rFonts w:ascii="Arial" w:cs="Arial" w:eastAsia="Arial" w:hAnsi="Arial"/>
                <w:sz w:val="18"/>
                <w:szCs w:val="18"/>
                <w:color w:val="auto"/>
                <w:w w:val="83"/>
              </w:rPr>
              <w:t>/s/</w:t>
            </w:r>
          </w:p>
        </w:tc>
        <w:tc>
          <w:tcPr>
            <w:tcW w:w="2800" w:type="dxa"/>
            <w:vAlign w:val="bottom"/>
            <w:gridSpan w:val="2"/>
          </w:tcPr>
          <w:p>
            <w:pPr>
              <w:jc w:val="center"/>
              <w:ind w:right="730"/>
              <w:spacing w:after="0"/>
              <w:rPr>
                <w:sz w:val="20"/>
                <w:szCs w:val="20"/>
                <w:color w:val="auto"/>
              </w:rPr>
            </w:pPr>
            <w:r>
              <w:rPr>
                <w:rFonts w:ascii="Arial" w:cs="Arial" w:eastAsia="Arial" w:hAnsi="Arial"/>
                <w:sz w:val="18"/>
                <w:szCs w:val="18"/>
                <w:color w:val="auto"/>
                <w:w w:val="95"/>
              </w:rPr>
              <w:t>CHARLES I. COGUT</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0"/>
              </w:rPr>
              <w:t>Charles I. Cogut</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ind w:left="520"/>
              <w:spacing w:after="0"/>
              <w:rPr>
                <w:sz w:val="20"/>
                <w:szCs w:val="20"/>
                <w:color w:val="auto"/>
              </w:rPr>
            </w:pPr>
            <w:r>
              <w:rPr>
                <w:rFonts w:ascii="Arial" w:cs="Arial" w:eastAsia="Arial" w:hAnsi="Arial"/>
                <w:sz w:val="18"/>
                <w:szCs w:val="18"/>
                <w:color w:val="auto"/>
              </w:rPr>
              <w:t>/s/</w:t>
            </w:r>
          </w:p>
        </w:tc>
        <w:tc>
          <w:tcPr>
            <w:tcW w:w="2800" w:type="dxa"/>
            <w:vAlign w:val="bottom"/>
            <w:gridSpan w:val="2"/>
          </w:tcPr>
          <w:p>
            <w:pPr>
              <w:jc w:val="center"/>
              <w:ind w:right="770"/>
              <w:spacing w:after="0"/>
              <w:rPr>
                <w:sz w:val="20"/>
                <w:szCs w:val="20"/>
                <w:color w:val="auto"/>
              </w:rPr>
            </w:pPr>
            <w:r>
              <w:rPr>
                <w:rFonts w:ascii="Arial" w:cs="Arial" w:eastAsia="Arial" w:hAnsi="Arial"/>
                <w:sz w:val="18"/>
                <w:szCs w:val="18"/>
                <w:color w:val="auto"/>
                <w:w w:val="94"/>
              </w:rPr>
              <w:t>KATHLEEN B. COOPER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0"/>
              </w:rPr>
              <w:t>Kathleen B. Cooper</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ind w:left="680"/>
              <w:spacing w:after="0"/>
              <w:rPr>
                <w:sz w:val="20"/>
                <w:szCs w:val="20"/>
                <w:color w:val="auto"/>
              </w:rPr>
            </w:pPr>
            <w:r>
              <w:rPr>
                <w:rFonts w:ascii="Arial" w:cs="Arial" w:eastAsia="Arial" w:hAnsi="Arial"/>
                <w:sz w:val="18"/>
                <w:szCs w:val="18"/>
                <w:color w:val="auto"/>
                <w:w w:val="83"/>
              </w:rPr>
              <w:t>/s/</w:t>
            </w:r>
          </w:p>
        </w:tc>
        <w:tc>
          <w:tcPr>
            <w:tcW w:w="2800" w:type="dxa"/>
            <w:vAlign w:val="bottom"/>
            <w:gridSpan w:val="2"/>
          </w:tcPr>
          <w:p>
            <w:pPr>
              <w:jc w:val="center"/>
              <w:ind w:right="730"/>
              <w:spacing w:after="0"/>
              <w:rPr>
                <w:sz w:val="20"/>
                <w:szCs w:val="20"/>
                <w:color w:val="auto"/>
              </w:rPr>
            </w:pPr>
            <w:r>
              <w:rPr>
                <w:rFonts w:ascii="Arial" w:cs="Arial" w:eastAsia="Arial" w:hAnsi="Arial"/>
                <w:sz w:val="18"/>
                <w:szCs w:val="18"/>
                <w:color w:val="auto"/>
                <w:w w:val="99"/>
              </w:rPr>
              <w:t>MICHAEL A. CREEL</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5"/>
              </w:rPr>
              <w:t>Michael A. Creel</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2580" w:type="dxa"/>
            <w:vAlign w:val="bottom"/>
          </w:tcPr>
          <w:p>
            <w:pPr>
              <w:jc w:val="center"/>
              <w:ind w:right="730"/>
              <w:spacing w:after="0"/>
              <w:rPr>
                <w:sz w:val="20"/>
                <w:szCs w:val="20"/>
                <w:color w:val="auto"/>
              </w:rPr>
            </w:pPr>
            <w:r>
              <w:rPr>
                <w:rFonts w:ascii="Arial" w:cs="Arial" w:eastAsia="Arial" w:hAnsi="Arial"/>
                <w:sz w:val="18"/>
                <w:szCs w:val="18"/>
                <w:color w:val="auto"/>
              </w:rPr>
              <w:t>VICKI L. FULLER</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98"/>
              </w:rPr>
              <w:t>Vicki L. Fuller</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860" w:type="dxa"/>
            <w:vAlign w:val="bottom"/>
          </w:tcPr>
          <w:p>
            <w:pPr>
              <w:ind w:left="680"/>
              <w:spacing w:after="0"/>
              <w:rPr>
                <w:sz w:val="20"/>
                <w:szCs w:val="20"/>
                <w:color w:val="auto"/>
              </w:rPr>
            </w:pPr>
            <w:r>
              <w:rPr>
                <w:rFonts w:ascii="Arial" w:cs="Arial" w:eastAsia="Arial" w:hAnsi="Arial"/>
                <w:sz w:val="18"/>
                <w:szCs w:val="18"/>
                <w:color w:val="auto"/>
                <w:w w:val="83"/>
              </w:rPr>
              <w:t>/s/</w:t>
            </w:r>
          </w:p>
        </w:tc>
        <w:tc>
          <w:tcPr>
            <w:tcW w:w="2800" w:type="dxa"/>
            <w:vAlign w:val="bottom"/>
            <w:gridSpan w:val="2"/>
          </w:tcPr>
          <w:p>
            <w:pPr>
              <w:jc w:val="center"/>
              <w:ind w:right="730"/>
              <w:spacing w:after="0"/>
              <w:rPr>
                <w:sz w:val="20"/>
                <w:szCs w:val="20"/>
                <w:color w:val="auto"/>
              </w:rPr>
            </w:pPr>
            <w:r>
              <w:rPr>
                <w:rFonts w:ascii="Arial" w:cs="Arial" w:eastAsia="Arial" w:hAnsi="Arial"/>
                <w:sz w:val="18"/>
                <w:szCs w:val="18"/>
                <w:color w:val="auto"/>
                <w:w w:val="94"/>
              </w:rPr>
              <w:t>PETER A. RAGAUSS</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ind w:right="990"/>
              <w:spacing w:after="0"/>
              <w:rPr>
                <w:sz w:val="20"/>
                <w:szCs w:val="20"/>
                <w:color w:val="auto"/>
              </w:rPr>
            </w:pPr>
            <w:r>
              <w:rPr>
                <w:rFonts w:ascii="Arial" w:cs="Arial" w:eastAsia="Arial" w:hAnsi="Arial"/>
                <w:sz w:val="18"/>
                <w:szCs w:val="18"/>
                <w:color w:val="auto"/>
                <w:w w:val="86"/>
              </w:rPr>
              <w:t>Peter A. Ragauss</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1"/>
        </w:trPr>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60" w:type="dxa"/>
            <w:vAlign w:val="bottom"/>
            <w:gridSpan w:val="2"/>
          </w:tcPr>
          <w:p>
            <w:pPr>
              <w:jc w:val="right"/>
              <w:ind w:right="319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2760" w:type="dxa"/>
            <w:vAlign w:val="bottom"/>
          </w:tcPr>
          <w:p>
            <w:pPr>
              <w:jc w:val="center"/>
              <w:ind w:right="810"/>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426"/>
        </w:trPr>
        <w:tc>
          <w:tcPr>
            <w:tcW w:w="900" w:type="dxa"/>
            <w:vAlign w:val="bottom"/>
          </w:tcPr>
          <w:p>
            <w:pPr>
              <w:ind w:left="580"/>
              <w:spacing w:after="0"/>
              <w:rPr>
                <w:sz w:val="20"/>
                <w:szCs w:val="20"/>
                <w:color w:val="auto"/>
              </w:rPr>
            </w:pPr>
            <w:r>
              <w:rPr>
                <w:rFonts w:ascii="Arial" w:cs="Arial" w:eastAsia="Arial" w:hAnsi="Arial"/>
                <w:sz w:val="18"/>
                <w:szCs w:val="18"/>
                <w:color w:val="auto"/>
              </w:rPr>
              <w:t>/s/</w:t>
            </w:r>
          </w:p>
        </w:tc>
        <w:tc>
          <w:tcPr>
            <w:tcW w:w="2760" w:type="dxa"/>
            <w:vAlign w:val="bottom"/>
          </w:tcPr>
          <w:p>
            <w:pPr>
              <w:jc w:val="center"/>
              <w:ind w:right="810"/>
              <w:spacing w:after="0"/>
              <w:rPr>
                <w:sz w:val="20"/>
                <w:szCs w:val="20"/>
                <w:color w:val="auto"/>
              </w:rPr>
            </w:pPr>
            <w:r>
              <w:rPr>
                <w:rFonts w:ascii="Arial" w:cs="Arial" w:eastAsia="Arial" w:hAnsi="Arial"/>
                <w:sz w:val="18"/>
                <w:szCs w:val="18"/>
                <w:color w:val="auto"/>
                <w:w w:val="94"/>
              </w:rPr>
              <w:t>SCOTT D. SHEFFIELD</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2760" w:type="dxa"/>
            <w:vAlign w:val="bottom"/>
          </w:tcPr>
          <w:p>
            <w:pPr>
              <w:jc w:val="center"/>
              <w:ind w:right="810"/>
              <w:spacing w:after="0"/>
              <w:rPr>
                <w:sz w:val="20"/>
                <w:szCs w:val="20"/>
                <w:color w:val="auto"/>
              </w:rPr>
            </w:pPr>
            <w:r>
              <w:rPr>
                <w:rFonts w:ascii="Arial" w:cs="Arial" w:eastAsia="Arial" w:hAnsi="Arial"/>
                <w:sz w:val="18"/>
                <w:szCs w:val="18"/>
                <w:color w:val="auto"/>
                <w:w w:val="93"/>
              </w:rPr>
              <w:t>Scott D. Sheffield</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900" w:type="dxa"/>
            <w:vAlign w:val="bottom"/>
          </w:tcPr>
          <w:p>
            <w:pPr>
              <w:ind w:left="700"/>
              <w:spacing w:after="0"/>
              <w:rPr>
                <w:sz w:val="20"/>
                <w:szCs w:val="20"/>
                <w:color w:val="auto"/>
              </w:rPr>
            </w:pPr>
            <w:r>
              <w:rPr>
                <w:rFonts w:ascii="Arial" w:cs="Arial" w:eastAsia="Arial" w:hAnsi="Arial"/>
                <w:sz w:val="18"/>
                <w:szCs w:val="18"/>
                <w:color w:val="auto"/>
                <w:w w:val="94"/>
              </w:rPr>
              <w:t>/s/</w:t>
            </w:r>
          </w:p>
        </w:tc>
        <w:tc>
          <w:tcPr>
            <w:tcW w:w="2760" w:type="dxa"/>
            <w:vAlign w:val="bottom"/>
          </w:tcPr>
          <w:p>
            <w:pPr>
              <w:jc w:val="center"/>
              <w:ind w:right="790"/>
              <w:spacing w:after="0"/>
              <w:rPr>
                <w:sz w:val="20"/>
                <w:szCs w:val="20"/>
                <w:color w:val="auto"/>
              </w:rPr>
            </w:pPr>
            <w:r>
              <w:rPr>
                <w:rFonts w:ascii="Arial" w:cs="Arial" w:eastAsia="Arial" w:hAnsi="Arial"/>
                <w:sz w:val="18"/>
                <w:szCs w:val="18"/>
                <w:color w:val="auto"/>
                <w:w w:val="98"/>
              </w:rPr>
              <w:t>MURRAY D. SMITH</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2760" w:type="dxa"/>
            <w:vAlign w:val="bottom"/>
          </w:tcPr>
          <w:p>
            <w:pPr>
              <w:jc w:val="center"/>
              <w:ind w:right="810"/>
              <w:spacing w:after="0"/>
              <w:rPr>
                <w:sz w:val="20"/>
                <w:szCs w:val="20"/>
                <w:color w:val="auto"/>
              </w:rPr>
            </w:pPr>
            <w:r>
              <w:rPr>
                <w:rFonts w:ascii="Arial" w:cs="Arial" w:eastAsia="Arial" w:hAnsi="Arial"/>
                <w:sz w:val="18"/>
                <w:szCs w:val="18"/>
                <w:color w:val="auto"/>
                <w:w w:val="93"/>
              </w:rPr>
              <w:t>Murray D. Smith</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2760" w:type="dxa"/>
            <w:vAlign w:val="bottom"/>
          </w:tcPr>
          <w:p>
            <w:pPr>
              <w:jc w:val="center"/>
              <w:ind w:right="770"/>
              <w:spacing w:after="0"/>
              <w:rPr>
                <w:sz w:val="20"/>
                <w:szCs w:val="20"/>
                <w:color w:val="auto"/>
              </w:rPr>
            </w:pPr>
            <w:r>
              <w:rPr>
                <w:rFonts w:ascii="Arial" w:cs="Arial" w:eastAsia="Arial" w:hAnsi="Arial"/>
                <w:sz w:val="18"/>
                <w:szCs w:val="18"/>
                <w:color w:val="auto"/>
                <w:w w:val="98"/>
              </w:rPr>
              <w:t>WILLIAM H. SPENCE</w:t>
            </w:r>
          </w:p>
        </w:tc>
        <w:tc>
          <w:tcPr>
            <w:tcW w:w="120" w:type="dxa"/>
            <w:vAlign w:val="bottom"/>
          </w:tcPr>
          <w:p>
            <w:pPr>
              <w:spacing w:after="0"/>
              <w:rPr>
                <w:sz w:val="24"/>
                <w:szCs w:val="24"/>
                <w:color w:val="auto"/>
              </w:rPr>
            </w:pPr>
          </w:p>
        </w:tc>
        <w:tc>
          <w:tcPr>
            <w:tcW w:w="54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February 24, 2020</w:t>
            </w:r>
          </w:p>
        </w:tc>
      </w:tr>
      <w:tr>
        <w:trPr>
          <w:trHeight w:val="27"/>
        </w:trPr>
        <w:tc>
          <w:tcPr>
            <w:tcW w:w="9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2760" w:type="dxa"/>
            <w:vAlign w:val="bottom"/>
          </w:tcPr>
          <w:p>
            <w:pPr>
              <w:jc w:val="center"/>
              <w:ind w:right="810"/>
              <w:spacing w:after="0"/>
              <w:rPr>
                <w:sz w:val="20"/>
                <w:szCs w:val="20"/>
                <w:color w:val="auto"/>
              </w:rPr>
            </w:pPr>
            <w:r>
              <w:rPr>
                <w:rFonts w:ascii="Arial" w:cs="Arial" w:eastAsia="Arial" w:hAnsi="Arial"/>
                <w:sz w:val="18"/>
                <w:szCs w:val="18"/>
                <w:color w:val="auto"/>
                <w:w w:val="93"/>
              </w:rPr>
              <w:t>William H. Spence</w:t>
            </w:r>
          </w:p>
        </w:tc>
        <w:tc>
          <w:tcPr>
            <w:tcW w:w="1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60"/>
          </w:cols>
          <w:pgMar w:left="240" w:top="715" w:right="29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4.34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8" w:lineRule="exact"/>
        <w:rPr>
          <w:sz w:val="20"/>
          <w:szCs w:val="20"/>
          <w:color w:val="auto"/>
        </w:rPr>
      </w:pPr>
    </w:p>
    <w:p>
      <w:pPr>
        <w:ind w:right="740" w:firstLine="648"/>
        <w:spacing w:after="0" w:line="253" w:lineRule="auto"/>
        <w:rPr>
          <w:sz w:val="20"/>
          <w:szCs w:val="20"/>
          <w:color w:val="auto"/>
        </w:rPr>
      </w:pPr>
      <w:r>
        <w:rPr>
          <w:rFonts w:ascii="Arial" w:cs="Arial" w:eastAsia="Arial" w:hAnsi="Arial"/>
          <w:sz w:val="22"/>
          <w:szCs w:val="22"/>
          <w:color w:val="auto"/>
        </w:rPr>
        <w:t>As of the date of the Annual Report on Form 10-K of which this exhibit is a part, The Williams Companies, Inc. (“Williams”) has one class of security registered under Section 12 of the Securities Exchange Act of 1934, as amended: our common stock, $1.00 par value per share.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Common Stock</w:t>
      </w:r>
    </w:p>
    <w:p>
      <w:pPr>
        <w:spacing w:after="0" w:line="266"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i w:val="1"/>
          <w:iCs w:val="1"/>
          <w:color w:val="auto"/>
        </w:rPr>
        <w:t>The following description of our common stock is a summary and does not purport to be complete. It is subject to and qualified in its entirety by reference to our Amended and Restated Certificate of Incorporation, as supplemented and as amended (our “charter”), and our By-Laws (our “bylaws”), each of which are incorporated by reference as an exhibit to the Annual Report on Form 10-K of which this exhibit is a part. We encourage you to read our charter, our bylaws and the applicable provisions of Delaware General Corporation Law (the “DGCL”)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66"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Our charter authorizes the issuance of up to 960,000,000 shares of our common stock. The outstanding shares of common stock are fully paid and nonassessable. The holders of common stock are not entitled to preemptive or redemption rights. Shares of common stock are not convertible into shares of any other class of capital stock. Computershare Trust Company, N.A. is the transfer agent and registrar for our common stock. Our common stock is listed on the New York Stock Exchange under the ticker symbol “WMB.”</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66"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The holders of our common stock are entitled to receive dividends when, as, and if declared by our board of directors, out of funds legally available for their payment subject to the rights of holders of any outstanding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Rights</w:t>
      </w:r>
    </w:p>
    <w:p>
      <w:pPr>
        <w:spacing w:after="0" w:line="266" w:lineRule="exact"/>
        <w:rPr>
          <w:sz w:val="20"/>
          <w:szCs w:val="20"/>
          <w:color w:val="auto"/>
        </w:rPr>
      </w:pPr>
    </w:p>
    <w:p>
      <w:pPr>
        <w:ind w:right="240" w:firstLine="648"/>
        <w:spacing w:after="0" w:line="246" w:lineRule="auto"/>
        <w:rPr>
          <w:sz w:val="20"/>
          <w:szCs w:val="20"/>
          <w:color w:val="auto"/>
        </w:rPr>
      </w:pPr>
      <w:r>
        <w:rPr>
          <w:rFonts w:ascii="Arial" w:cs="Arial" w:eastAsia="Arial" w:hAnsi="Arial"/>
          <w:sz w:val="22"/>
          <w:szCs w:val="22"/>
          <w:color w:val="auto"/>
        </w:rPr>
        <w:t>The holders of our common stock are entitled to one vote per share on all matters submitted to a vote of stockholders. Except as otherwise provided by law, our charter or our bylaws, at each meeting of the stockholders, all corporate actions to be taken by vote of the stockholders shall be authorized by a majority of the votes cast by the stockholders entitled to vote thereon, present in person or represented by proxy. Director nominees in uncontested elections must receive a majority of the votes cast to be elected, and director nominees in contested elections must receive a plurality of the votes cast to be elected. A vote of 75% of the outstanding shares of our common stock is required to amend certain provisions of our charter and for stockholders to amend our bylaws.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b w:val="1"/>
          <w:bCs w:val="1"/>
          <w:color w:val="auto"/>
        </w:rPr>
        <w:t>Rights Upon Liquidation</w:t>
      </w:r>
    </w:p>
    <w:p>
      <w:pPr>
        <w:spacing w:after="0" w:line="26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9"/>
          <w:szCs w:val="19"/>
          <w:color w:val="auto"/>
        </w:rPr>
        <w:t>In the event of our voluntary or involuntary liquidation, dissolution, or winding up of the affairs of Williams, the holders of our common stock will be entitled to share equally in any assets available for distribution after the payment in full of all debts and distributions and after the holders of all series of outstanding preferred stock have received their liquidation preferences in full.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266"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We currently have the following provisions in our charter or bylaws that could be considered to be “anti-takeover” provisions:</w:t>
      </w:r>
    </w:p>
    <w:p>
      <w:pPr>
        <w:spacing w:after="0" w:line="188" w:lineRule="exact"/>
        <w:rPr>
          <w:sz w:val="20"/>
          <w:szCs w:val="20"/>
          <w:color w:val="auto"/>
        </w:rPr>
      </w:pPr>
    </w:p>
    <w:p>
      <w:pPr>
        <w:ind w:right="120" w:firstLine="980"/>
        <w:spacing w:after="0" w:line="298" w:lineRule="auto"/>
        <w:tabs>
          <w:tab w:leader="none" w:pos="1426"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 article in our charter requiring the affirmative vote of three-fourths of the outstanding shares of common stock for certain merger and asset sale transactions with holders of more than five percent of the voting power of Williams;</w:t>
      </w:r>
    </w:p>
    <w:p>
      <w:pPr>
        <w:spacing w:after="0" w:line="173" w:lineRule="exact"/>
        <w:rPr>
          <w:rFonts w:ascii="Arial" w:cs="Arial" w:eastAsia="Arial" w:hAnsi="Arial"/>
          <w:sz w:val="19"/>
          <w:szCs w:val="19"/>
          <w:color w:val="auto"/>
        </w:rPr>
      </w:pPr>
    </w:p>
    <w:p>
      <w:pPr>
        <w:ind w:right="500" w:firstLine="980"/>
        <w:spacing w:after="0" w:line="276" w:lineRule="auto"/>
        <w:tabs>
          <w:tab w:leader="none" w:pos="128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bylaw that only permits our chairman of the board, chief executive officer or a majority of the board to call a special meeting of the stockholders; and</w:t>
      </w:r>
    </w:p>
    <w:p>
      <w:pPr>
        <w:spacing w:after="0" w:line="201" w:lineRule="exact"/>
        <w:rPr>
          <w:rFonts w:ascii="Arial" w:cs="Arial" w:eastAsia="Arial" w:hAnsi="Arial"/>
          <w:sz w:val="22"/>
          <w:szCs w:val="22"/>
          <w:color w:val="auto"/>
        </w:rPr>
      </w:pPr>
    </w:p>
    <w:p>
      <w:pPr>
        <w:ind w:right="240" w:firstLine="980"/>
        <w:spacing w:after="0" w:line="276" w:lineRule="auto"/>
        <w:tabs>
          <w:tab w:leader="none" w:pos="1282"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bylaw requiring stockholders to provide prior notice for nominations for election to the board of directors or for proposing matters which can be acted upon at stockholders meetings.</w:t>
      </w:r>
    </w:p>
    <w:p>
      <w:pPr>
        <w:spacing w:after="0" w:line="20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9"/>
          <w:szCs w:val="19"/>
          <w:color w:val="auto"/>
        </w:rPr>
        <w:t>We are a Delaware corporation and are subject to Section 203 of the DGCL. In general, Section 203 prevents an interested stockholder, which is defined generally as a person owning 15% or more of our outstanding voting stock, from engaging in a business combination with us for three years following the date that person became an interested stockholder unless:</w:t>
      </w:r>
    </w:p>
    <w:p>
      <w:pPr>
        <w:spacing w:after="0" w:line="174" w:lineRule="exact"/>
        <w:rPr>
          <w:sz w:val="20"/>
          <w:szCs w:val="20"/>
          <w:color w:val="auto"/>
        </w:rPr>
      </w:pPr>
    </w:p>
    <w:p>
      <w:pPr>
        <w:ind w:right="280" w:firstLine="980"/>
        <w:spacing w:after="0" w:line="301" w:lineRule="auto"/>
        <w:tabs>
          <w:tab w:leader="none" w:pos="1282" w:val="left"/>
        </w:tabs>
        <w:numPr>
          <w:ilvl w:val="0"/>
          <w:numId w:val="87"/>
        </w:numPr>
        <w:rPr>
          <w:rFonts w:ascii="Arial" w:cs="Arial" w:eastAsia="Arial" w:hAnsi="Arial"/>
          <w:sz w:val="21"/>
          <w:szCs w:val="21"/>
          <w:color w:val="auto"/>
        </w:rPr>
      </w:pPr>
      <w:r>
        <w:rPr>
          <w:rFonts w:ascii="Arial" w:cs="Arial" w:eastAsia="Arial" w:hAnsi="Arial"/>
          <w:sz w:val="21"/>
          <w:szCs w:val="21"/>
          <w:color w:val="auto"/>
        </w:rPr>
        <w:t>before that person became an interested stockholder, our board of directors approved the transaction in which the interested stockholder became an interested stockholder or approved the business combination;</w:t>
      </w:r>
    </w:p>
    <w:p>
      <w:pPr>
        <w:spacing w:after="0" w:line="177" w:lineRule="exact"/>
        <w:rPr>
          <w:rFonts w:ascii="Arial" w:cs="Arial" w:eastAsia="Arial" w:hAnsi="Arial"/>
          <w:sz w:val="21"/>
          <w:szCs w:val="21"/>
          <w:color w:val="auto"/>
        </w:rPr>
      </w:pPr>
    </w:p>
    <w:p>
      <w:pPr>
        <w:jc w:val="both"/>
        <w:ind w:firstLine="980"/>
        <w:spacing w:after="0" w:line="320" w:lineRule="auto"/>
        <w:tabs>
          <w:tab w:leader="none" w:pos="12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upon completion of the transaction that resulted in the interested stockholder becoming an interested stockholder, the interested stockholder owned at least 85% of our voting stock outstanding at the time the transaction commenced (excluding stock held by persons who are both directors and officers of Williams or by certain employee stock plans); or</w:t>
      </w:r>
    </w:p>
    <w:p>
      <w:pPr>
        <w:spacing w:after="0" w:line="165" w:lineRule="exact"/>
        <w:rPr>
          <w:rFonts w:ascii="Arial" w:cs="Arial" w:eastAsia="Arial" w:hAnsi="Arial"/>
          <w:sz w:val="19"/>
          <w:szCs w:val="19"/>
          <w:color w:val="auto"/>
        </w:rPr>
      </w:pPr>
    </w:p>
    <w:p>
      <w:pPr>
        <w:ind w:right="340" w:firstLine="980"/>
        <w:spacing w:after="0" w:line="282" w:lineRule="auto"/>
        <w:tabs>
          <w:tab w:leader="none" w:pos="1228"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on or following the date on which that person became an interested stockholder, the business combination is approved by our board of directors and authorized at a meeting of stockholders by the affirmative vote of the holders of at least 66 </w:t>
      </w:r>
      <w:r>
        <w:rPr>
          <w:rFonts w:ascii="Arial" w:cs="Arial" w:eastAsia="Arial" w:hAnsi="Arial"/>
          <w:sz w:val="27"/>
          <w:szCs w:val="27"/>
          <w:color w:val="auto"/>
          <w:vertAlign w:val="superscript"/>
        </w:rPr>
        <w:t>2</w:t>
      </w:r>
      <w:r>
        <w:rPr>
          <w:rFonts w:ascii="Arial" w:cs="Arial" w:eastAsia="Arial" w:hAnsi="Arial"/>
          <w:sz w:val="21"/>
          <w:szCs w:val="21"/>
          <w:color w:val="auto"/>
        </w:rPr>
        <w:t>⁄</w:t>
      </w:r>
      <w:r>
        <w:rPr>
          <w:rFonts w:ascii="Arial" w:cs="Arial" w:eastAsia="Arial" w:hAnsi="Arial"/>
          <w:sz w:val="14"/>
          <w:szCs w:val="14"/>
          <w:color w:val="auto"/>
        </w:rPr>
        <w:t>3</w:t>
      </w:r>
      <w:r>
        <w:rPr>
          <w:rFonts w:ascii="Arial" w:cs="Arial" w:eastAsia="Arial" w:hAnsi="Arial"/>
          <w:sz w:val="21"/>
          <w:szCs w:val="21"/>
          <w:color w:val="auto"/>
        </w:rPr>
        <w:t>% of our outstanding voting stock (excluding shares held by the interested stockholder).</w:t>
      </w:r>
    </w:p>
    <w:p>
      <w:pPr>
        <w:spacing w:after="0" w:line="108"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A business combination includes mergers, asset sales and other transactions resulting in a financial benefit to the interested stockholder.</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40" w:top="342" w:right="31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_________________________________</w:t>
      </w: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CHANGE IN CONTROL AND RESTRICTIVE COVENANT AGREEMENT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[EXECUTIVE]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WILLIAMS COMPANIES, INC.</w:t>
      </w:r>
    </w:p>
    <w:p>
      <w:pPr>
        <w:spacing w:after="0" w:line="200" w:lineRule="exact"/>
        <w:rPr>
          <w:sz w:val="20"/>
          <w:szCs w:val="20"/>
          <w:color w:val="auto"/>
        </w:rPr>
      </w:pPr>
    </w:p>
    <w:p>
      <w:pPr>
        <w:spacing w:after="0" w:line="317" w:lineRule="exact"/>
        <w:rPr>
          <w:sz w:val="20"/>
          <w:szCs w:val="20"/>
          <w:color w:val="auto"/>
        </w:rPr>
      </w:pPr>
    </w:p>
    <w:p>
      <w:pPr>
        <w:ind w:left="3540"/>
        <w:spacing w:after="0"/>
        <w:rPr>
          <w:sz w:val="20"/>
          <w:szCs w:val="20"/>
          <w:color w:val="auto"/>
        </w:rPr>
      </w:pPr>
      <w:r>
        <w:rPr>
          <w:rFonts w:ascii="Arial" w:cs="Arial" w:eastAsia="Arial" w:hAnsi="Arial"/>
          <w:sz w:val="22"/>
          <w:szCs w:val="22"/>
          <w:b w:val="1"/>
          <w:bCs w:val="1"/>
          <w:u w:val="single" w:color="auto"/>
          <w:color w:val="auto"/>
        </w:rPr>
        <w:t>(Tier One Executive)</w:t>
      </w:r>
    </w:p>
    <w:p>
      <w:pPr>
        <w:spacing w:after="0" w:line="200" w:lineRule="exact"/>
        <w:rPr>
          <w:sz w:val="20"/>
          <w:szCs w:val="20"/>
          <w:color w:val="auto"/>
        </w:rPr>
      </w:pPr>
    </w:p>
    <w:p>
      <w:pPr>
        <w:spacing w:after="0" w:line="31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_________________________________________________________________</w:t>
      </w:r>
    </w:p>
    <w:p>
      <w:pPr>
        <w:sectPr>
          <w:pgSz w:w="11900" w:h="16838" w:orient="portrait"/>
          <w:cols w:equalWidth="0" w:num="1">
            <w:col w:w="10220"/>
          </w:cols>
          <w:pgMar w:left="1440" w:top="342" w:right="239" w:bottom="1440" w:gutter="0" w:footer="0" w:header="0"/>
        </w:sectPr>
      </w:pPr>
    </w:p>
    <w:bookmarkStart w:id="170" w:name="page171"/>
    <w:bookmarkEnd w:id="170"/>
    <w:p>
      <w:pPr>
        <w:ind w:left="2100"/>
        <w:spacing w:after="0"/>
        <w:rPr>
          <w:sz w:val="20"/>
          <w:szCs w:val="20"/>
          <w:color w:val="auto"/>
        </w:rPr>
      </w:pPr>
      <w:r>
        <w:rPr>
          <w:rFonts w:ascii="Arial" w:cs="Arial" w:eastAsia="Arial" w:hAnsi="Arial"/>
          <w:sz w:val="22"/>
          <w:szCs w:val="22"/>
          <w:b w:val="1"/>
          <w:bCs w:val="1"/>
          <w:color w:val="auto"/>
        </w:rPr>
        <w:t>CHANGE IN CONTROL AND RESTRICTIVE COVENANT AGREEMENT</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Certain Definitions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3</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Change in Control</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4</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Employment Period</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5</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Terms of Employment</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5</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(a) Position and Duties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5</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(b) Compensation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6</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Termination of Employment</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7</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(a) Death or Disability</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7</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(b) Cause</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8</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(c) Good Reason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99"/>
              </w:rPr>
              <w:t>9</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Obligations of the Company upon Termination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10</w:t>
            </w:r>
          </w:p>
        </w:tc>
      </w:tr>
      <w:tr>
        <w:trPr>
          <w:trHeight w:val="283"/>
        </w:trPr>
        <w:tc>
          <w:tcPr>
            <w:tcW w:w="5180" w:type="dxa"/>
            <w:vAlign w:val="bottom"/>
          </w:tcPr>
          <w:p>
            <w:pPr>
              <w:ind w:left="5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T</w:t>
            </w:r>
            <w:r>
              <w:rPr>
                <w:rFonts w:ascii="Arial" w:cs="Arial" w:eastAsia="Arial" w:hAnsi="Arial"/>
                <w:sz w:val="18"/>
                <w:szCs w:val="18"/>
                <w:color w:val="auto"/>
              </w:rPr>
              <w:t>ermination by Executive for Good Reason;</w:t>
            </w:r>
          </w:p>
        </w:tc>
        <w:tc>
          <w:tcPr>
            <w:tcW w:w="5760" w:type="dxa"/>
            <w:vAlign w:val="bottom"/>
          </w:tcPr>
          <w:p>
            <w:pPr>
              <w:spacing w:after="0"/>
              <w:rPr>
                <w:sz w:val="24"/>
                <w:szCs w:val="24"/>
                <w:color w:val="auto"/>
              </w:rPr>
            </w:pPr>
          </w:p>
        </w:tc>
      </w:tr>
      <w:tr>
        <w:trPr>
          <w:trHeight w:val="216"/>
        </w:trPr>
        <w:tc>
          <w:tcPr>
            <w:tcW w:w="5180" w:type="dxa"/>
            <w:vAlign w:val="bottom"/>
          </w:tcPr>
          <w:p>
            <w:pPr>
              <w:ind w:left="1080"/>
              <w:spacing w:after="0"/>
              <w:rPr>
                <w:sz w:val="20"/>
                <w:szCs w:val="20"/>
                <w:color w:val="auto"/>
              </w:rPr>
            </w:pPr>
            <w:r>
              <w:rPr>
                <w:rFonts w:ascii="Arial" w:cs="Arial" w:eastAsia="Arial" w:hAnsi="Arial"/>
                <w:sz w:val="18"/>
                <w:szCs w:val="18"/>
                <w:color w:val="auto"/>
                <w:w w:val="99"/>
              </w:rPr>
              <w:t>Termination by the Company Other Than for Cause</w:t>
            </w:r>
          </w:p>
        </w:tc>
        <w:tc>
          <w:tcPr>
            <w:tcW w:w="5760" w:type="dxa"/>
            <w:vAlign w:val="bottom"/>
          </w:tcPr>
          <w:p>
            <w:pPr>
              <w:spacing w:after="0"/>
              <w:rPr>
                <w:sz w:val="18"/>
                <w:szCs w:val="18"/>
                <w:color w:val="auto"/>
              </w:rPr>
            </w:pPr>
          </w:p>
        </w:tc>
      </w:tr>
      <w:tr>
        <w:trPr>
          <w:trHeight w:val="230"/>
        </w:trPr>
        <w:tc>
          <w:tcPr>
            <w:tcW w:w="5180" w:type="dxa"/>
            <w:vAlign w:val="bottom"/>
          </w:tcPr>
          <w:p>
            <w:pPr>
              <w:ind w:left="1080"/>
              <w:spacing w:after="0"/>
              <w:rPr>
                <w:sz w:val="20"/>
                <w:szCs w:val="20"/>
                <w:color w:val="auto"/>
              </w:rPr>
            </w:pPr>
            <w:r>
              <w:rPr>
                <w:rFonts w:ascii="Arial" w:cs="Arial" w:eastAsia="Arial" w:hAnsi="Arial"/>
                <w:sz w:val="18"/>
                <w:szCs w:val="18"/>
                <w:color w:val="auto"/>
              </w:rPr>
              <w:t>or Disability</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10</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(b) Death or Disability</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11</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(c) Cause; Other than Good Reason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(d) Expiration of Employment Period</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12</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Non-exclusivity of Rights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12</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 No Mitigation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12</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 Costs of Enforcement and Interest</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12</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 Code Section 280G</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13</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 Restrictions on Conduct of Executive</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13</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 Arbitration</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20</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 Successors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 Miscellaneous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(a) Governing Law</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(b) Captions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(c) Amendments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(d) Notices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22</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(e) Severability</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23</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(f) Withholding</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23</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(g) Waivers</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23</w:t>
            </w:r>
          </w:p>
        </w:tc>
      </w:tr>
      <w:tr>
        <w:trPr>
          <w:trHeight w:val="270"/>
        </w:trPr>
        <w:tc>
          <w:tcPr>
            <w:tcW w:w="5180" w:type="dxa"/>
            <w:vAlign w:val="bottom"/>
          </w:tcPr>
          <w:p>
            <w:pPr>
              <w:ind w:left="520"/>
              <w:spacing w:after="0"/>
              <w:rPr>
                <w:sz w:val="20"/>
                <w:szCs w:val="20"/>
                <w:color w:val="auto"/>
              </w:rPr>
            </w:pPr>
            <w:r>
              <w:rPr>
                <w:rFonts w:ascii="Arial" w:cs="Arial" w:eastAsia="Arial" w:hAnsi="Arial"/>
                <w:sz w:val="18"/>
                <w:szCs w:val="18"/>
                <w:color w:val="auto"/>
              </w:rPr>
              <w:t>(h) Status Before and After Effective Date</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23</w:t>
            </w:r>
          </w:p>
        </w:tc>
      </w:tr>
      <w:tr>
        <w:trPr>
          <w:trHeight w:val="378"/>
        </w:trPr>
        <w:tc>
          <w:tcPr>
            <w:tcW w:w="5180" w:type="dxa"/>
            <w:vAlign w:val="bottom"/>
          </w:tcPr>
          <w:p>
            <w:pPr>
              <w:ind w:left="4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 Code Section 409A</w:t>
            </w:r>
          </w:p>
        </w:tc>
        <w:tc>
          <w:tcPr>
            <w:tcW w:w="5760" w:type="dxa"/>
            <w:vAlign w:val="bottom"/>
          </w:tcPr>
          <w:p>
            <w:pPr>
              <w:jc w:val="center"/>
              <w:ind w:left="5489"/>
              <w:spacing w:after="0"/>
              <w:rPr>
                <w:sz w:val="20"/>
                <w:szCs w:val="20"/>
                <w:color w:val="auto"/>
              </w:rPr>
            </w:pPr>
            <w:r>
              <w:rPr>
                <w:rFonts w:ascii="Arial" w:cs="Arial" w:eastAsia="Arial" w:hAnsi="Arial"/>
                <w:sz w:val="18"/>
                <w:szCs w:val="18"/>
                <w:color w:val="auto"/>
                <w:w w:val="89"/>
              </w:rPr>
              <w:t>23</w:t>
            </w:r>
          </w:p>
        </w:tc>
      </w:tr>
      <w:tr>
        <w:trPr>
          <w:trHeight w:val="766"/>
        </w:trPr>
        <w:tc>
          <w:tcPr>
            <w:tcW w:w="5180" w:type="dxa"/>
            <w:vAlign w:val="bottom"/>
          </w:tcPr>
          <w:p>
            <w:pPr>
              <w:spacing w:after="0"/>
              <w:rPr>
                <w:sz w:val="24"/>
                <w:szCs w:val="24"/>
                <w:color w:val="auto"/>
              </w:rPr>
            </w:pPr>
          </w:p>
        </w:tc>
        <w:tc>
          <w:tcPr>
            <w:tcW w:w="5760" w:type="dxa"/>
            <w:vAlign w:val="bottom"/>
          </w:tcPr>
          <w:p>
            <w:pPr>
              <w:jc w:val="right"/>
              <w:ind w:right="4949"/>
              <w:spacing w:after="0"/>
              <w:rPr>
                <w:sz w:val="20"/>
                <w:szCs w:val="20"/>
                <w:color w:val="auto"/>
              </w:rPr>
            </w:pPr>
            <w:r>
              <w:rPr>
                <w:rFonts w:ascii="Arial" w:cs="Arial" w:eastAsia="Arial" w:hAnsi="Arial"/>
                <w:sz w:val="22"/>
                <w:szCs w:val="22"/>
                <w:color w:val="auto"/>
              </w:rPr>
              <w:t>- 2 -</w:t>
            </w:r>
          </w:p>
        </w:tc>
      </w:tr>
      <w:tr>
        <w:trPr>
          <w:trHeight w:val="410"/>
        </w:trPr>
        <w:tc>
          <w:tcPr>
            <w:tcW w:w="5180" w:type="dxa"/>
            <w:vAlign w:val="bottom"/>
          </w:tcPr>
          <w:p>
            <w:pPr>
              <w:spacing w:after="0"/>
              <w:rPr>
                <w:sz w:val="20"/>
                <w:szCs w:val="20"/>
                <w:color w:val="auto"/>
              </w:rPr>
            </w:pPr>
            <w:r>
              <w:rPr>
                <w:rFonts w:ascii="Arial" w:cs="Arial" w:eastAsia="Arial" w:hAnsi="Arial"/>
                <w:sz w:val="14"/>
                <w:szCs w:val="14"/>
                <w:color w:val="auto"/>
              </w:rPr>
              <w:t>LEGAL02/21751871v13</w:t>
            </w:r>
          </w:p>
        </w:tc>
        <w:tc>
          <w:tcPr>
            <w:tcW w:w="5760" w:type="dxa"/>
            <w:vAlign w:val="bottom"/>
          </w:tcPr>
          <w:p>
            <w:pPr>
              <w:spacing w:after="0"/>
              <w:rPr>
                <w:sz w:val="24"/>
                <w:szCs w:val="24"/>
                <w:color w:val="auto"/>
              </w:rPr>
            </w:pPr>
          </w:p>
        </w:tc>
      </w:tr>
    </w:tbl>
    <w:p>
      <w:pPr>
        <w:sectPr>
          <w:pgSz w:w="11900" w:h="16838" w:orient="portrait"/>
          <w:cols w:equalWidth="0" w:num="1">
            <w:col w:w="10940"/>
          </w:cols>
          <w:pgMar w:left="240" w:top="598" w:right="71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2"/>
          <w:szCs w:val="22"/>
          <w:b w:val="1"/>
          <w:bCs w:val="1"/>
          <w:u w:val="single" w:color="auto"/>
          <w:color w:val="auto"/>
        </w:rPr>
        <w:t>CHANGE IN CONTROL AND RESTRICTIVE COVENANT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(Tier One Executive )</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CHANGE IN CONTROL AND RESTRICTIVE COVENANT AGREEMENT (the “Agreement”) is entered into by and between The Williams Companies, Inc., a Delaware corporation (the “Company”) and [Executive] (“Executive”), as of the __ day of ________, 2019.</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Board of Directors of the Company (the “Board”) has determined that it is in the best interests of the Company and its shareholders to assure that the Company will have the continued dedication of Executive, notwithstanding the possibility, threat or occurrence of a Change in Control (as defined below) of the Company. The Board believes it is imperative to diminish the inevitable distraction of Executive by virtue of the personal uncertainties and risks created by a pending or threatened Change in Control and to encourage Executive’s full attention and dedication to the Company currently and in the event of any threatened or pending Change in Control, and to provide Executive with compensation and benefits arrangements upon a Change in Control which ensure that the compensation and benefits expectations of Executive will be satisfied and are competitive with those of other corporations. Therefore, in order to accomplish these objectives, the Board has caused the Company to enter into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HEREBY AGREED AS FOLLOWS:</w:t>
      </w:r>
    </w:p>
    <w:p>
      <w:pPr>
        <w:spacing w:after="0" w:line="260" w:lineRule="exact"/>
        <w:rPr>
          <w:sz w:val="20"/>
          <w:szCs w:val="20"/>
          <w:color w:val="auto"/>
        </w:rPr>
      </w:pPr>
    </w:p>
    <w:p>
      <w:pPr>
        <w:ind w:left="1040" w:hanging="384"/>
        <w:spacing w:after="0"/>
        <w:tabs>
          <w:tab w:leader="none" w:pos="10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7" w:lineRule="auto"/>
        <w:tabs>
          <w:tab w:leader="none" w:pos="1899" w:val="left"/>
        </w:tabs>
        <w:numPr>
          <w:ilvl w:val="1"/>
          <w:numId w:val="88"/>
        </w:numPr>
        <w:rPr>
          <w:rFonts w:ascii="Arial" w:cs="Arial" w:eastAsia="Arial" w:hAnsi="Arial"/>
          <w:sz w:val="19"/>
          <w:szCs w:val="19"/>
          <w:color w:val="auto"/>
        </w:rPr>
      </w:pPr>
      <w:r>
        <w:rPr>
          <w:rFonts w:ascii="Arial" w:cs="Arial" w:eastAsia="Arial" w:hAnsi="Arial"/>
          <w:sz w:val="19"/>
          <w:szCs w:val="19"/>
          <w:color w:val="auto"/>
        </w:rPr>
        <w:t>“Agreement Term” shall mean the period commencing on February 1, 2019, and continuing indefinitely, provided, however, that the Company may cause the Agreement Term to terminate at any time by delivering written notice (an “Expiration Notice”) to Executive in accordance with Section 14(d) that the Agreement Term shall expire on a date specified in the Expiration Notice (the “Expiration Date”) that is not less than 12 months after the date the Expiration Notice is delivered to Executive. Notwithstanding the foregoing, if, prior to the Expiration Date specified in the Expiration Notice, the Company enters into an agreement that is reasonably likely to result in a Change in Control, then such Expiration Notice shall be void and of no further effect. In addition, if, prior to February 1, 2019, (i) a Change in Control of the Company occurs, or (ii) the Company enters into an agreement that is reasonably likely to result in a Change in Control, then the Executive’s Amended and Restated Change-In-Control Severance Agreement with the Company, dated as of ______, 20__ (the “Prior CIC Severance Agreement”), shall remain in full force and effect, the Expiration Notice relating to the Prior CIC Severance Agreement delivered to Executive on February 1, 2018 shall be void and of no further effect, and this Agreement shall not become effective. For purposes of the preceding sentence only, “Change in Control” shall have the meaning ascribed to such term in the Prior CIC Severance Agreement.</w:t>
      </w:r>
    </w:p>
    <w:p>
      <w:pPr>
        <w:spacing w:after="0" w:line="200" w:lineRule="exact"/>
        <w:rPr>
          <w:rFonts w:ascii="Arial" w:cs="Arial" w:eastAsia="Arial" w:hAnsi="Arial"/>
          <w:sz w:val="19"/>
          <w:szCs w:val="19"/>
          <w:color w:val="auto"/>
        </w:rPr>
      </w:pPr>
    </w:p>
    <w:p>
      <w:pPr>
        <w:jc w:val="both"/>
        <w:ind w:firstLine="1305"/>
        <w:spacing w:after="0" w:line="312" w:lineRule="auto"/>
        <w:tabs>
          <w:tab w:leader="none" w:pos="1891" w:val="left"/>
        </w:tabs>
        <w:numPr>
          <w:ilvl w:val="1"/>
          <w:numId w:val="88"/>
        </w:numPr>
        <w:rPr>
          <w:rFonts w:ascii="Arial" w:cs="Arial" w:eastAsia="Arial" w:hAnsi="Arial"/>
          <w:sz w:val="19"/>
          <w:szCs w:val="19"/>
          <w:color w:val="auto"/>
        </w:rPr>
      </w:pPr>
      <w:r>
        <w:rPr>
          <w:rFonts w:ascii="Arial" w:cs="Arial" w:eastAsia="Arial" w:hAnsi="Arial"/>
          <w:sz w:val="19"/>
          <w:szCs w:val="19"/>
          <w:color w:val="auto"/>
        </w:rPr>
        <w:t>“Effective Date” shall mean the first date during the Agreement Term on which a Change in Control (as defined in Section 2) occurs. Anything in this Agreement to the contrary notwithstanding, if Executive’s employment with the Company or an affiliate is involuntarily terminated, and if it is reasonably demonstrated by Executive that such termination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2" w:right="239" w:bottom="1440" w:gutter="0" w:footer="0" w:header="0"/>
        </w:sectPr>
      </w:pPr>
    </w:p>
    <w:bookmarkStart w:id="172" w:name="page173"/>
    <w:bookmarkEnd w:id="172"/>
    <w:p>
      <w:pPr>
        <w:jc w:val="both"/>
        <w:spacing w:after="0" w:line="253" w:lineRule="auto"/>
        <w:rPr>
          <w:sz w:val="20"/>
          <w:szCs w:val="20"/>
          <w:color w:val="auto"/>
        </w:rPr>
      </w:pPr>
      <w:r>
        <w:rPr>
          <w:rFonts w:ascii="Arial" w:cs="Arial" w:eastAsia="Arial" w:hAnsi="Arial"/>
          <w:sz w:val="22"/>
          <w:szCs w:val="22"/>
          <w:color w:val="auto"/>
        </w:rPr>
        <w:t>of employment was at the request of a third party who has taken steps reasonably calculated to effect a Change in Control, then for all purposes of this Agreement the “Effective Date” shall mean the date immediately prior to the date of such termination of employment.</w:t>
      </w:r>
    </w:p>
    <w:p>
      <w:pPr>
        <w:spacing w:after="0" w:line="226" w:lineRule="exact"/>
        <w:rPr>
          <w:sz w:val="20"/>
          <w:szCs w:val="20"/>
          <w:color w:val="auto"/>
        </w:rPr>
      </w:pPr>
    </w:p>
    <w:p>
      <w:pPr>
        <w:jc w:val="both"/>
        <w:ind w:firstLine="1305"/>
        <w:spacing w:after="0" w:line="250" w:lineRule="auto"/>
        <w:tabs>
          <w:tab w:leader="none" w:pos="1831" w:val="left"/>
        </w:tabs>
        <w:numPr>
          <w:ilvl w:val="1"/>
          <w:numId w:val="89"/>
        </w:numPr>
        <w:rPr>
          <w:rFonts w:ascii="Arial" w:cs="Arial" w:eastAsia="Arial" w:hAnsi="Arial"/>
          <w:sz w:val="22"/>
          <w:szCs w:val="22"/>
          <w:color w:val="auto"/>
        </w:rPr>
      </w:pPr>
      <w:r>
        <w:rPr>
          <w:rFonts w:ascii="Arial" w:cs="Arial" w:eastAsia="Arial" w:hAnsi="Arial"/>
          <w:sz w:val="22"/>
          <w:szCs w:val="22"/>
          <w:color w:val="auto"/>
        </w:rPr>
        <w:t>“Incumbent Board” shall mean individuals who, as of February 1, 2019, constitute the Board and any other individual who becomes a director of the Company after that date and whose election or appointment by the Board or nomination for election by the Company’s stockholders was approved by a vote of at least a majority of the directors then comprising the Incumbent Board.</w:t>
      </w:r>
    </w:p>
    <w:p>
      <w:pPr>
        <w:spacing w:after="0" w:line="228" w:lineRule="exact"/>
        <w:rPr>
          <w:rFonts w:ascii="Arial" w:cs="Arial" w:eastAsia="Arial" w:hAnsi="Arial"/>
          <w:sz w:val="22"/>
          <w:szCs w:val="22"/>
          <w:color w:val="auto"/>
        </w:rPr>
      </w:pPr>
    </w:p>
    <w:p>
      <w:pPr>
        <w:ind w:firstLine="1305"/>
        <w:spacing w:after="0" w:line="263" w:lineRule="auto"/>
        <w:tabs>
          <w:tab w:leader="none" w:pos="1792" w:val="left"/>
        </w:tabs>
        <w:numPr>
          <w:ilvl w:val="1"/>
          <w:numId w:val="89"/>
        </w:numPr>
        <w:rPr>
          <w:rFonts w:ascii="Arial" w:cs="Arial" w:eastAsia="Arial" w:hAnsi="Arial"/>
          <w:sz w:val="22"/>
          <w:szCs w:val="22"/>
          <w:color w:val="auto"/>
        </w:rPr>
      </w:pPr>
      <w:r>
        <w:rPr>
          <w:rFonts w:ascii="Arial" w:cs="Arial" w:eastAsia="Arial" w:hAnsi="Arial"/>
          <w:sz w:val="22"/>
          <w:szCs w:val="22"/>
          <w:color w:val="auto"/>
        </w:rPr>
        <w:t>“Person” shall mean a Person as defined in Section 3(a)(9) of the Securities Exchange Act of 1934 (the “1934 Act”) and as used in Section 13d-3 and 14d-2 of the 1934 Act.</w:t>
      </w:r>
    </w:p>
    <w:p>
      <w:pPr>
        <w:spacing w:after="0" w:line="215" w:lineRule="exact"/>
        <w:rPr>
          <w:rFonts w:ascii="Arial" w:cs="Arial" w:eastAsia="Arial" w:hAnsi="Arial"/>
          <w:sz w:val="22"/>
          <w:szCs w:val="22"/>
          <w:color w:val="auto"/>
        </w:rPr>
      </w:pPr>
    </w:p>
    <w:p>
      <w:pPr>
        <w:ind w:firstLine="656"/>
        <w:spacing w:after="0" w:line="263" w:lineRule="auto"/>
        <w:tabs>
          <w:tab w:leader="none" w:pos="1053"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For the purposes of this Agreement, a “Change in Control” shall mean the occurrence of any of the following events:</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1787" w:val="left"/>
        </w:tabs>
        <w:numPr>
          <w:ilvl w:val="1"/>
          <w:numId w:val="90"/>
        </w:numPr>
        <w:rPr>
          <w:rFonts w:ascii="Arial" w:cs="Arial" w:eastAsia="Arial" w:hAnsi="Arial"/>
          <w:sz w:val="22"/>
          <w:szCs w:val="22"/>
          <w:color w:val="auto"/>
        </w:rPr>
      </w:pPr>
      <w:r>
        <w:rPr>
          <w:rFonts w:ascii="Arial" w:cs="Arial" w:eastAsia="Arial" w:hAnsi="Arial"/>
          <w:sz w:val="22"/>
          <w:szCs w:val="22"/>
          <w:color w:val="auto"/>
        </w:rPr>
        <w:t>A majority of the members of the Board of Directors of the Company is replaced during any 12-month period by directors whose appointment or election is not approved by a majority of the members constituting the Board of Directors prior to the date of the appointment or election; or</w:t>
      </w:r>
    </w:p>
    <w:p>
      <w:pPr>
        <w:spacing w:after="0" w:line="226" w:lineRule="exact"/>
        <w:rPr>
          <w:rFonts w:ascii="Arial" w:cs="Arial" w:eastAsia="Arial" w:hAnsi="Arial"/>
          <w:sz w:val="22"/>
          <w:szCs w:val="22"/>
          <w:color w:val="auto"/>
        </w:rPr>
      </w:pPr>
    </w:p>
    <w:p>
      <w:pPr>
        <w:jc w:val="both"/>
        <w:ind w:left="660" w:firstLine="645"/>
        <w:spacing w:after="0" w:line="259" w:lineRule="auto"/>
        <w:tabs>
          <w:tab w:leader="none" w:pos="1815" w:val="left"/>
        </w:tabs>
        <w:numPr>
          <w:ilvl w:val="1"/>
          <w:numId w:val="90"/>
        </w:numPr>
        <w:rPr>
          <w:rFonts w:ascii="Arial" w:cs="Arial" w:eastAsia="Arial" w:hAnsi="Arial"/>
          <w:sz w:val="21"/>
          <w:szCs w:val="21"/>
          <w:color w:val="auto"/>
        </w:rPr>
      </w:pPr>
      <w:r>
        <w:rPr>
          <w:rFonts w:ascii="Arial" w:cs="Arial" w:eastAsia="Arial" w:hAnsi="Arial"/>
          <w:sz w:val="21"/>
          <w:szCs w:val="21"/>
          <w:color w:val="auto"/>
        </w:rPr>
        <w:t xml:space="preserve">any Person becomes a “Beneficial Owner” (such term for purposes of this definition being as defined in Rule 13d-3 under the 1934 Act), directly or indirectly, of securities of the Company representing 30% or more of the combined voting power of the Company’s then outstanding securities eligible to vote for the election of directors (the “Company Voting Securities”);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for purposes of this subsection (b), the following acquisitions shall not constitute a Change in Control: (w) an acquisition directly from the Company, (x) an acquisition by the Company or a subsidiary of the Company (a “Subsidiary”), (y) an acquisition by any employee benefit plan (or related trust) sponsored or maintained by the Company or any Subsidiary, or (z) an acquisition pursuant to a Non-Qualifying Transaction (as defined in subsection (c) below); or</w:t>
      </w:r>
    </w:p>
    <w:p>
      <w:pPr>
        <w:spacing w:after="0" w:line="224" w:lineRule="exact"/>
        <w:rPr>
          <w:rFonts w:ascii="Arial" w:cs="Arial" w:eastAsia="Arial" w:hAnsi="Arial"/>
          <w:sz w:val="21"/>
          <w:szCs w:val="21"/>
          <w:color w:val="auto"/>
        </w:rPr>
      </w:pPr>
    </w:p>
    <w:p>
      <w:pPr>
        <w:jc w:val="both"/>
        <w:ind w:left="660" w:firstLine="645"/>
        <w:spacing w:after="0" w:line="258" w:lineRule="auto"/>
        <w:tabs>
          <w:tab w:leader="none" w:pos="1898"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entity (an “Acquisition”), unless immediately following such Reorganization, Sale or Acquisition: (A) all or substantially all of the individuals and entities who were the beneficial owners, respectively, of the outstanding shares of common stock of the Company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3" w:name="page174"/>
    <w:bookmarkEnd w:id="173"/>
    <w:p>
      <w:pPr>
        <w:jc w:val="both"/>
        <w:ind w:left="660"/>
        <w:spacing w:after="0" w:line="288" w:lineRule="auto"/>
        <w:rPr>
          <w:sz w:val="20"/>
          <w:szCs w:val="20"/>
          <w:color w:val="auto"/>
        </w:rPr>
      </w:pPr>
      <w:r>
        <w:rPr>
          <w:rFonts w:ascii="Arial" w:cs="Arial" w:eastAsia="Arial" w:hAnsi="Arial"/>
          <w:sz w:val="19"/>
          <w:szCs w:val="19"/>
          <w:color w:val="auto"/>
        </w:rPr>
        <w:t>owns the Company or all or substantially all of the Company’s assets or stock either directly or through one or more subsidiaries, the “Surviving Entity”)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Entity or its ultimate parent, or (z) any employee benefit plan (or related trust) sponsored or maintained by any of the foregoing) is the Beneficial Owner, directly or indirectly, of 30% or more of the Company Voting Securities, and (C) at least a majority of the members of the board of directors or similar governing body of the Surviving Entity were members of the Incumbent Board at the time of the execution of the initial agreement, or at the time of the action of the Board of Directors, providing for such Reorganization, Sale or Acquisition (any Reorganization, Sale or Acquisition which satisfies all of the criteria specified in (A), (B) and (C) above shall be deemed to be a “Non-Qualifying Transaction”); or</w:t>
      </w:r>
    </w:p>
    <w:p>
      <w:pPr>
        <w:spacing w:after="0" w:line="201" w:lineRule="exact"/>
        <w:rPr>
          <w:sz w:val="20"/>
          <w:szCs w:val="20"/>
          <w:color w:val="auto"/>
        </w:rPr>
      </w:pPr>
    </w:p>
    <w:p>
      <w:pPr>
        <w:ind w:left="1780" w:hanging="475"/>
        <w:spacing w:after="0"/>
        <w:tabs>
          <w:tab w:leader="none" w:pos="1780" w:val="left"/>
        </w:tabs>
        <w:numPr>
          <w:ilvl w:val="1"/>
          <w:numId w:val="91"/>
        </w:numPr>
        <w:rPr>
          <w:rFonts w:ascii="Arial" w:cs="Arial" w:eastAsia="Arial" w:hAnsi="Arial"/>
          <w:sz w:val="21"/>
          <w:szCs w:val="21"/>
          <w:color w:val="auto"/>
        </w:rPr>
      </w:pPr>
      <w:r>
        <w:rPr>
          <w:rFonts w:ascii="Arial" w:cs="Arial" w:eastAsia="Arial" w:hAnsi="Arial"/>
          <w:sz w:val="21"/>
          <w:szCs w:val="21"/>
          <w:color w:val="auto"/>
        </w:rPr>
        <w:t>approval by the shareholders of the Company of a complete liquidation or dissolution of the Company.</w:t>
      </w:r>
    </w:p>
    <w:p>
      <w:pPr>
        <w:spacing w:after="0" w:line="271" w:lineRule="exact"/>
        <w:rPr>
          <w:rFonts w:ascii="Arial" w:cs="Arial" w:eastAsia="Arial" w:hAnsi="Arial"/>
          <w:sz w:val="21"/>
          <w:szCs w:val="21"/>
          <w:color w:val="auto"/>
        </w:rPr>
      </w:pPr>
    </w:p>
    <w:p>
      <w:pPr>
        <w:jc w:val="both"/>
        <w:ind w:firstLine="656"/>
        <w:spacing w:after="0" w:line="294" w:lineRule="auto"/>
        <w:tabs>
          <w:tab w:leader="none" w:pos="106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Employment Period</w:t>
      </w:r>
      <w:r>
        <w:rPr>
          <w:rFonts w:ascii="Arial" w:cs="Arial" w:eastAsia="Arial" w:hAnsi="Arial"/>
          <w:sz w:val="19"/>
          <w:szCs w:val="19"/>
          <w:color w:val="auto"/>
        </w:rPr>
        <w:t>. The Company hereby agrees to continue Executive in its or an affiliate’s employ, and Executive hereby agrees to remain in the employ of the Company or an affiliate, subject to the terms and conditions of this Agreement, for the period commencing on the Effective Date and ending on the second anniversary of such date, unless Executive’s employment with the Company or an affiliate is terminated earlier pursuant to Section 5 of this Agreement. The period commencing on the Effective Date and ending on the earlier of the second anniversary of the Effective Date or the date on which Executive’s employment is terminated pursuant to Section 5 of this Agreement shall be the “Employment Period.”</w:t>
      </w:r>
    </w:p>
    <w:p>
      <w:pPr>
        <w:spacing w:after="0" w:line="190" w:lineRule="exact"/>
        <w:rPr>
          <w:rFonts w:ascii="Arial" w:cs="Arial" w:eastAsia="Arial" w:hAnsi="Arial"/>
          <w:sz w:val="19"/>
          <w:szCs w:val="19"/>
          <w:color w:val="auto"/>
        </w:rPr>
      </w:pPr>
    </w:p>
    <w:p>
      <w:pPr>
        <w:ind w:left="1040" w:hanging="384"/>
        <w:spacing w:after="0"/>
        <w:tabs>
          <w:tab w:leader="none" w:pos="104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Terms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48" w:lineRule="auto"/>
        <w:tabs>
          <w:tab w:leader="none" w:pos="2216" w:val="left"/>
        </w:tabs>
        <w:numPr>
          <w:ilvl w:val="2"/>
          <w:numId w:val="92"/>
        </w:numPr>
        <w:rPr>
          <w:rFonts w:ascii="Arial" w:cs="Arial" w:eastAsia="Arial" w:hAnsi="Arial"/>
          <w:sz w:val="22"/>
          <w:szCs w:val="22"/>
          <w:color w:val="auto"/>
        </w:rPr>
      </w:pPr>
      <w:r>
        <w:rPr>
          <w:rFonts w:ascii="Arial" w:cs="Arial" w:eastAsia="Arial" w:hAnsi="Arial"/>
          <w:sz w:val="22"/>
          <w:szCs w:val="22"/>
          <w:color w:val="auto"/>
        </w:rPr>
        <w:t>During the Employment Period, (A) Executive’s position (including status, offices, titles and reporting relationships), authority, duties and responsibilities shall be at least commensurate in all material respects with the most significant of those held, exercised and assigned at any time during the 120-day period immediately preceding the Effective Date and (B) Executive’s services shall be performed at the location where Executive was employed immediately preceding the Effective Date or any office or location less than 50 miles from such location.</w:t>
      </w:r>
    </w:p>
    <w:p>
      <w:pPr>
        <w:spacing w:after="0" w:line="232" w:lineRule="exact"/>
        <w:rPr>
          <w:rFonts w:ascii="Arial" w:cs="Arial" w:eastAsia="Arial" w:hAnsi="Arial"/>
          <w:sz w:val="22"/>
          <w:szCs w:val="22"/>
          <w:color w:val="auto"/>
        </w:rPr>
      </w:pPr>
    </w:p>
    <w:p>
      <w:pPr>
        <w:jc w:val="both"/>
        <w:ind w:firstLine="1953"/>
        <w:spacing w:after="0" w:line="247" w:lineRule="auto"/>
        <w:tabs>
          <w:tab w:leader="none" w:pos="2303" w:val="left"/>
        </w:tabs>
        <w:numPr>
          <w:ilvl w:val="2"/>
          <w:numId w:val="92"/>
        </w:numPr>
        <w:rPr>
          <w:rFonts w:ascii="Arial" w:cs="Arial" w:eastAsia="Arial" w:hAnsi="Arial"/>
          <w:sz w:val="22"/>
          <w:szCs w:val="22"/>
          <w:color w:val="auto"/>
        </w:rPr>
      </w:pPr>
      <w:r>
        <w:rPr>
          <w:rFonts w:ascii="Arial" w:cs="Arial" w:eastAsia="Arial" w:hAnsi="Arial"/>
          <w:sz w:val="22"/>
          <w:szCs w:val="22"/>
          <w:color w:val="auto"/>
        </w:rPr>
        <w:t>During the Employment Period, and excluding any periods of paid time off to which Executive is entitled, Executive shall devote substantially all of his or her business time, attention and effort to the business and affairs of the Company and its affiliates and, to the extent necessary to discharge the responsibilities assigned to Executive under this Agreement, use Executive’s reasonable best efforts to carry out such responsibilities faithfully and efficiently. It shall not be considered a violation of the foregoing for Executive to serve on corporate, industry, civic or charitable boards or committees, so long as such activities do not significantly interfere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4" w:name="page175"/>
    <w:bookmarkEnd w:id="174"/>
    <w:p>
      <w:pPr>
        <w:jc w:val="both"/>
        <w:spacing w:after="0" w:line="261" w:lineRule="auto"/>
        <w:rPr>
          <w:sz w:val="20"/>
          <w:szCs w:val="20"/>
          <w:color w:val="auto"/>
        </w:rPr>
      </w:pPr>
      <w:r>
        <w:rPr>
          <w:rFonts w:ascii="Arial" w:cs="Arial" w:eastAsia="Arial" w:hAnsi="Arial"/>
          <w:sz w:val="21"/>
          <w:szCs w:val="21"/>
          <w:color w:val="auto"/>
        </w:rPr>
        <w:t>with the performance of Executive’s responsibilities as an employee of the Company and its affiliates in accordance with this Agreement.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 As used in this Agreement, the term “affiliate” or “affiliated companies” shall include any company controlled by, controlling or under common control with the Company.</w:t>
      </w:r>
    </w:p>
    <w:p>
      <w:pPr>
        <w:spacing w:after="0" w:line="221" w:lineRule="exact"/>
        <w:rPr>
          <w:sz w:val="20"/>
          <w:szCs w:val="20"/>
          <w:color w:val="auto"/>
        </w:rPr>
      </w:pPr>
    </w:p>
    <w:p>
      <w:pPr>
        <w:ind w:left="1780" w:hanging="475"/>
        <w:spacing w:after="0"/>
        <w:tabs>
          <w:tab w:leader="none" w:pos="17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w:t>
      </w:r>
    </w:p>
    <w:p>
      <w:pPr>
        <w:spacing w:after="0" w:line="260" w:lineRule="exact"/>
        <w:rPr>
          <w:rFonts w:ascii="Arial" w:cs="Arial" w:eastAsia="Arial" w:hAnsi="Arial"/>
          <w:sz w:val="22"/>
          <w:szCs w:val="22"/>
          <w:color w:val="auto"/>
        </w:rPr>
      </w:pPr>
    </w:p>
    <w:p>
      <w:pPr>
        <w:jc w:val="both"/>
        <w:ind w:firstLine="1953"/>
        <w:spacing w:after="0" w:line="289" w:lineRule="auto"/>
        <w:tabs>
          <w:tab w:leader="none" w:pos="2432"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Executive shall receive an annual base salary (“Annual Base Salary”) at a rate at least equal to the rate of base salary in effect on the date of this Agreement or, if greater, on the Effective Date, paid or payable (including any base salary which has been earned but deferred) to Executive by the Company and its affiliated companies. The Annual Base Salary shall be payable in accordance with the Company’s regular payroll practice for its senior executives, as in effect from time to time. During the Employment Period, the Annual Base Salary shall be reviewed for possible increase no more than 12 months after the last salary increase awarded to Executive prior to the Effective Date and thereafter at least annually. Any increase in the Annual Base Salary shall not limit or reduce any other obligation of the Company under this Agreement. The Annual Base Salary shall not be reduced after any such increase, and the term “Annual Base Salary” shall thereafter refer to the Annual Base Salary as so increased.</w:t>
      </w:r>
    </w:p>
    <w:p>
      <w:pPr>
        <w:spacing w:after="0" w:line="198" w:lineRule="exact"/>
        <w:rPr>
          <w:rFonts w:ascii="Arial" w:cs="Arial" w:eastAsia="Arial" w:hAnsi="Arial"/>
          <w:sz w:val="19"/>
          <w:szCs w:val="19"/>
          <w:color w:val="auto"/>
        </w:rPr>
      </w:pPr>
    </w:p>
    <w:p>
      <w:pPr>
        <w:jc w:val="both"/>
        <w:ind w:firstLine="1953"/>
        <w:spacing w:after="0" w:line="250" w:lineRule="auto"/>
        <w:tabs>
          <w:tab w:leader="none" w:pos="2506"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In addition to Annual Base Salary, Executive shall be provided, for each fiscal year ending during the Employment Period, an annual bonus opportunity at least equal to Executive’s target bonus opportunity for the last full fiscal year prior to the Effective Date (annualized in the event that Executive was not employed by the Company or an affiliate for the whole of such fiscal year).</w:t>
      </w:r>
    </w:p>
    <w:p>
      <w:pPr>
        <w:spacing w:after="0" w:line="228" w:lineRule="exact"/>
        <w:rPr>
          <w:rFonts w:ascii="Arial" w:cs="Arial" w:eastAsia="Arial" w:hAnsi="Arial"/>
          <w:sz w:val="22"/>
          <w:szCs w:val="22"/>
          <w:color w:val="auto"/>
        </w:rPr>
      </w:pPr>
    </w:p>
    <w:p>
      <w:pPr>
        <w:jc w:val="both"/>
        <w:ind w:firstLine="1953"/>
        <w:spacing w:after="0" w:line="289" w:lineRule="auto"/>
        <w:tabs>
          <w:tab w:leader="none" w:pos="2620"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Incentive, Savings and Retirement Plans</w:t>
      </w:r>
      <w:r>
        <w:rPr>
          <w:rFonts w:ascii="Arial" w:cs="Arial" w:eastAsia="Arial" w:hAnsi="Arial"/>
          <w:sz w:val="19"/>
          <w:szCs w:val="19"/>
          <w:color w:val="auto"/>
        </w:rPr>
        <w:t>. Without limiting the foregoing, during the Employment Period, Executive shall be entitled to participate in all applicable short-term and long-term incentive plans and programs, and savings and retirement plans, practices, policies and programs applicable generally to other senior executives of the Company and its affiliated companies (“Peer Executives”), but in no event shall such plans, practices, policies and programs provide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Executive under such plans, practices, policies and programs as in effect at any time during the 120-day period immediately preceding the Effective Date or if more favorable to Executive, those provided generally at any time after the Effective Date to Peer Executives.</w:t>
      </w:r>
    </w:p>
    <w:p>
      <w:pPr>
        <w:spacing w:after="0" w:line="198" w:lineRule="exact"/>
        <w:rPr>
          <w:rFonts w:ascii="Arial" w:cs="Arial" w:eastAsia="Arial" w:hAnsi="Arial"/>
          <w:sz w:val="19"/>
          <w:szCs w:val="19"/>
          <w:color w:val="auto"/>
        </w:rPr>
      </w:pPr>
    </w:p>
    <w:p>
      <w:pPr>
        <w:ind w:firstLine="1953"/>
        <w:spacing w:after="0" w:line="263" w:lineRule="auto"/>
        <w:tabs>
          <w:tab w:leader="none" w:pos="2716"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Welfare Benefit Plans</w:t>
      </w:r>
      <w:r>
        <w:rPr>
          <w:rFonts w:ascii="Arial" w:cs="Arial" w:eastAsia="Arial" w:hAnsi="Arial"/>
          <w:sz w:val="22"/>
          <w:szCs w:val="22"/>
          <w:color w:val="auto"/>
        </w:rPr>
        <w:t>. During the Employment Period, Executive and/or Executive’s eligible dependents, as the case may be, shall be eligible for participation in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5" w:name="page176"/>
    <w:bookmarkEnd w:id="175"/>
    <w:p>
      <w:pPr>
        <w:jc w:val="both"/>
        <w:spacing w:after="0" w:line="246" w:lineRule="auto"/>
        <w:rPr>
          <w:sz w:val="20"/>
          <w:szCs w:val="20"/>
          <w:color w:val="auto"/>
        </w:rPr>
      </w:pPr>
      <w:r>
        <w:rPr>
          <w:rFonts w:ascii="Arial" w:cs="Arial" w:eastAsia="Arial" w:hAnsi="Arial"/>
          <w:sz w:val="22"/>
          <w:szCs w:val="22"/>
          <w:color w:val="auto"/>
        </w:rPr>
        <w:t>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to the extent applicable generally to Peer Executives, but in no event shall such plans, practices, policies and programs provide Executive with benefits which are less favorable, in the aggregate, than the most favorable of such plans, practices, policies and programs in effect for Executive at any time during the 120-day period immediately preceding the Effective Date or, if more favorable to Executive, those provided generally at any time after the Effective Date to Peer Executives.</w:t>
      </w:r>
    </w:p>
    <w:p>
      <w:pPr>
        <w:spacing w:after="0" w:line="238" w:lineRule="exact"/>
        <w:rPr>
          <w:sz w:val="20"/>
          <w:szCs w:val="20"/>
          <w:color w:val="auto"/>
        </w:rPr>
      </w:pPr>
    </w:p>
    <w:p>
      <w:pPr>
        <w:jc w:val="both"/>
        <w:ind w:firstLine="1953"/>
        <w:spacing w:after="0" w:line="302" w:lineRule="auto"/>
        <w:tabs>
          <w:tab w:leader="none" w:pos="2413"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During the Employment Period, Executive shall be entitled to receive prompt reimbursement for all reasonable expenses incurred by Executive in accordance with the most favorable policies, practices and procedures of the Company and its affiliated companies in effect for Executive at any time during the 120-day period immediately preceding the Effective Date or, if more favorable to Executive, as in effect generally at any time thereafter with respect to Peer Executives.</w:t>
      </w:r>
    </w:p>
    <w:p>
      <w:pPr>
        <w:spacing w:after="0" w:line="183" w:lineRule="exact"/>
        <w:rPr>
          <w:rFonts w:ascii="Arial" w:cs="Arial" w:eastAsia="Arial" w:hAnsi="Arial"/>
          <w:sz w:val="19"/>
          <w:szCs w:val="19"/>
          <w:color w:val="auto"/>
        </w:rPr>
      </w:pPr>
    </w:p>
    <w:p>
      <w:pPr>
        <w:jc w:val="both"/>
        <w:ind w:firstLine="1953"/>
        <w:spacing w:after="0" w:line="302" w:lineRule="auto"/>
        <w:tabs>
          <w:tab w:leader="none" w:pos="2513" w:val="left"/>
        </w:tabs>
        <w:numPr>
          <w:ilvl w:val="2"/>
          <w:numId w:val="94"/>
        </w:numPr>
        <w:rPr>
          <w:rFonts w:ascii="Arial" w:cs="Arial" w:eastAsia="Arial" w:hAnsi="Arial"/>
          <w:sz w:val="19"/>
          <w:szCs w:val="19"/>
          <w:color w:val="auto"/>
        </w:rPr>
      </w:pPr>
      <w:r>
        <w:rPr>
          <w:rFonts w:ascii="Arial" w:cs="Arial" w:eastAsia="Arial" w:hAnsi="Arial"/>
          <w:sz w:val="19"/>
          <w:szCs w:val="19"/>
          <w:u w:val="single" w:color="auto"/>
          <w:color w:val="auto"/>
        </w:rPr>
        <w:t>Fringe Benefits and Perquisites</w:t>
      </w:r>
      <w:r>
        <w:rPr>
          <w:rFonts w:ascii="Arial" w:cs="Arial" w:eastAsia="Arial" w:hAnsi="Arial"/>
          <w:sz w:val="19"/>
          <w:szCs w:val="19"/>
          <w:color w:val="auto"/>
        </w:rPr>
        <w:t>. During the Employment Period, Executive shall be entitled to fringe benefits and perquisites in accordance with the most favorable plans, practices, programs and policies of the Company and its affiliated companies in effect for Executive at any time during the 120-day period immediately preceding the Effective Date or, if more favorable to Executive, as in effect generally at any time thereafter with respect to Peer Executives.</w:t>
      </w:r>
    </w:p>
    <w:p>
      <w:pPr>
        <w:spacing w:after="0" w:line="183" w:lineRule="exact"/>
        <w:rPr>
          <w:rFonts w:ascii="Arial" w:cs="Arial" w:eastAsia="Arial" w:hAnsi="Arial"/>
          <w:sz w:val="19"/>
          <w:szCs w:val="19"/>
          <w:color w:val="auto"/>
        </w:rPr>
      </w:pPr>
    </w:p>
    <w:p>
      <w:pPr>
        <w:jc w:val="both"/>
        <w:ind w:firstLine="1953"/>
        <w:spacing w:after="0" w:line="250" w:lineRule="auto"/>
        <w:tabs>
          <w:tab w:leader="none" w:pos="2695" w:val="left"/>
        </w:tabs>
        <w:numPr>
          <w:ilvl w:val="2"/>
          <w:numId w:val="94"/>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During the Employment Period, Executive shall be entitled to paid time off in accordance with the most favorable plans, policies, programs and practices of the Company and its affiliated companies as in effect for Executive at any time during the 120-day period immediately preceding the Effective Date or, if more favorable to Executive, as in effect generally at any time thereafter with respect to Peer Executives.</w:t>
      </w:r>
    </w:p>
    <w:p>
      <w:pPr>
        <w:spacing w:after="0" w:line="228" w:lineRule="exact"/>
        <w:rPr>
          <w:rFonts w:ascii="Arial" w:cs="Arial" w:eastAsia="Arial" w:hAnsi="Arial"/>
          <w:sz w:val="22"/>
          <w:szCs w:val="22"/>
          <w:color w:val="auto"/>
        </w:rPr>
      </w:pPr>
    </w:p>
    <w:p>
      <w:pPr>
        <w:ind w:left="1040" w:hanging="384"/>
        <w:spacing w:after="0"/>
        <w:tabs>
          <w:tab w:leader="none" w:pos="104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8" w:lineRule="auto"/>
        <w:tabs>
          <w:tab w:leader="none" w:pos="1793"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Executive’s employment shall terminate automatically upon Executive’s death during the Employment Period. If the Company determines in good faith that the Disability of Executive has occurred during the Employment Period (pursuant to the definition of Disability set forth below), it may give to Executive written notice of its intention to terminate Executive’s employment. In such event, Executive’s employment with the Company or an affiliate shall terminate effective on the 30th day after receipt of such written notice by Executive (the “Disability Effective Date”), provided that, within the 30 days after such receipt, Executive shall not have returned to full-time performance of Executive’s duties. For purposes of this Agreement, “Disability” shall mean the inability of Executive, as determined by the Board, to perform the essential functions of his or her regular duties and responsibilities, with or without reasonable accommodation, due to a medically determinable physical or mental illness which has lasted (or can reasonably be expected to last) for a period of six consecutive months. At the request of Executive or his or her personal representative, the Board’s determination that the Disability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6" w:name="page177"/>
    <w:bookmarkEnd w:id="176"/>
    <w:p>
      <w:pPr>
        <w:jc w:val="both"/>
        <w:spacing w:after="0" w:line="248" w:lineRule="auto"/>
        <w:rPr>
          <w:sz w:val="20"/>
          <w:szCs w:val="20"/>
          <w:color w:val="auto"/>
        </w:rPr>
      </w:pPr>
      <w:r>
        <w:rPr>
          <w:rFonts w:ascii="Arial" w:cs="Arial" w:eastAsia="Arial" w:hAnsi="Arial"/>
          <w:sz w:val="22"/>
          <w:szCs w:val="22"/>
          <w:color w:val="auto"/>
        </w:rPr>
        <w:t>Executive has occurred shall be certified by two physicians mutually agreed upon by Executive, or his or her personal representative, and the Company. If Executive requests such independent certification of the Board’s determination and either (i) the Company does not seek such independent certification, or (ii) the two physicians do not certify the Board’s determination of Executive’s Disability, then, Executive’s termination shall be deemed a termination by the Company without Cause and not a termination by reason of his or her Disability.</w:t>
      </w:r>
    </w:p>
    <w:p>
      <w:pPr>
        <w:spacing w:after="0" w:line="233"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Cause</w:t>
      </w:r>
      <w:r>
        <w:rPr>
          <w:rFonts w:ascii="Arial" w:cs="Arial" w:eastAsia="Arial" w:hAnsi="Arial"/>
          <w:sz w:val="21"/>
          <w:szCs w:val="21"/>
          <w:color w:val="auto"/>
        </w:rPr>
        <w:t xml:space="preserve"> . The Company may terminate Executive’s employment during the Employment Period for Cause or without Cause. For purposes of this Agreement, a termination shall be considered to be for “Cause” if it occurs in conjunction with a good faith determination by the Board, after following the substantive and procedural provisions and applying the standard of review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that any of the following has occurred:</w:t>
      </w:r>
    </w:p>
    <w:p>
      <w:pPr>
        <w:spacing w:after="0" w:line="216" w:lineRule="exact"/>
        <w:rPr>
          <w:sz w:val="20"/>
          <w:szCs w:val="20"/>
          <w:color w:val="auto"/>
        </w:rPr>
      </w:pPr>
    </w:p>
    <w:p>
      <w:pPr>
        <w:ind w:firstLine="1953"/>
        <w:spacing w:after="0" w:line="263" w:lineRule="auto"/>
        <w:tabs>
          <w:tab w:leader="none" w:pos="22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Executive’s conviction of or plea of nolo contendere to a felony or other crime involving fraud, dishonesty or moral turpitude;</w:t>
      </w:r>
    </w:p>
    <w:p>
      <w:pPr>
        <w:spacing w:after="0" w:line="215" w:lineRule="exact"/>
        <w:rPr>
          <w:rFonts w:ascii="Arial" w:cs="Arial" w:eastAsia="Arial" w:hAnsi="Arial"/>
          <w:sz w:val="22"/>
          <w:szCs w:val="22"/>
          <w:color w:val="auto"/>
        </w:rPr>
      </w:pPr>
    </w:p>
    <w:p>
      <w:pPr>
        <w:ind w:left="2280" w:hanging="327"/>
        <w:spacing w:after="0"/>
        <w:tabs>
          <w:tab w:leader="none" w:pos="22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Executive’s misconduct in the performance of his or her duties which results in a material adverse effect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Company;</w:t>
      </w:r>
    </w:p>
    <w:p>
      <w:pPr>
        <w:spacing w:after="0" w:line="242" w:lineRule="exact"/>
        <w:rPr>
          <w:rFonts w:ascii="Arial" w:cs="Arial" w:eastAsia="Arial" w:hAnsi="Arial"/>
          <w:sz w:val="19"/>
          <w:szCs w:val="19"/>
          <w:color w:val="auto"/>
        </w:rPr>
      </w:pPr>
    </w:p>
    <w:p>
      <w:pPr>
        <w:ind w:left="2360" w:hanging="407"/>
        <w:spacing w:after="0"/>
        <w:tabs>
          <w:tab w:leader="none" w:pos="23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Executive’s violation or disregard of the code of business conduct which results in a material adverse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 to the Company;</w:t>
      </w:r>
    </w:p>
    <w:p>
      <w:pPr>
        <w:spacing w:after="0" w:line="242" w:lineRule="exact"/>
        <w:rPr>
          <w:rFonts w:ascii="Arial" w:cs="Arial" w:eastAsia="Arial" w:hAnsi="Arial"/>
          <w:sz w:val="19"/>
          <w:szCs w:val="19"/>
          <w:color w:val="auto"/>
        </w:rPr>
      </w:pPr>
    </w:p>
    <w:p>
      <w:pPr>
        <w:ind w:firstLine="1953"/>
        <w:spacing w:after="0" w:line="263" w:lineRule="auto"/>
        <w:tabs>
          <w:tab w:leader="none" w:pos="2323"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Executive’s violation or disregard of a Company policy, standard or process which results in a material adverse effect to the Company; or</w:t>
      </w:r>
    </w:p>
    <w:p>
      <w:pPr>
        <w:spacing w:after="0" w:line="215" w:lineRule="exact"/>
        <w:rPr>
          <w:rFonts w:ascii="Arial" w:cs="Arial" w:eastAsia="Arial" w:hAnsi="Arial"/>
          <w:sz w:val="22"/>
          <w:szCs w:val="22"/>
          <w:color w:val="auto"/>
        </w:rPr>
      </w:pPr>
    </w:p>
    <w:p>
      <w:pPr>
        <w:ind w:left="2260" w:hanging="307"/>
        <w:spacing w:after="0"/>
        <w:tabs>
          <w:tab w:leader="none" w:pos="22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Executive’s habitual or gross neglect of duties;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for purposes of clauses (ii) and (v), Cause shall not include any one or more of the following:</w:t>
      </w:r>
    </w:p>
    <w:p>
      <w:pPr>
        <w:spacing w:after="0" w:line="22" w:lineRule="exact"/>
        <w:rPr>
          <w:sz w:val="20"/>
          <w:szCs w:val="20"/>
          <w:color w:val="auto"/>
        </w:rPr>
      </w:pPr>
    </w:p>
    <w:p>
      <w:pPr>
        <w:ind w:left="2800" w:hanging="361"/>
        <w:spacing w:after="0"/>
        <w:tabs>
          <w:tab w:leader="none" w:pos="2800" w:val="left"/>
        </w:tabs>
        <w:numPr>
          <w:ilvl w:val="0"/>
          <w:numId w:val="97"/>
        </w:numPr>
        <w:rPr>
          <w:rFonts w:ascii="Arial" w:cs="Arial" w:eastAsia="Arial" w:hAnsi="Arial"/>
          <w:sz w:val="19"/>
          <w:szCs w:val="19"/>
          <w:color w:val="auto"/>
        </w:rPr>
      </w:pPr>
      <w:r>
        <w:rPr>
          <w:rFonts w:ascii="Arial" w:cs="Arial" w:eastAsia="Arial" w:hAnsi="Arial"/>
          <w:sz w:val="19"/>
          <w:szCs w:val="19"/>
          <w:color w:val="auto"/>
        </w:rPr>
        <w:t>bad judgment or negligence, other than Executive’s habitual neglect of duties or gross negligence;</w:t>
      </w:r>
    </w:p>
    <w:p>
      <w:pPr>
        <w:spacing w:after="0" w:line="276" w:lineRule="exact"/>
        <w:rPr>
          <w:rFonts w:ascii="Arial" w:cs="Arial" w:eastAsia="Arial" w:hAnsi="Arial"/>
          <w:sz w:val="19"/>
          <w:szCs w:val="19"/>
          <w:color w:val="auto"/>
        </w:rPr>
      </w:pPr>
    </w:p>
    <w:p>
      <w:pPr>
        <w:jc w:val="both"/>
        <w:ind w:firstLine="2439"/>
        <w:spacing w:after="0" w:line="253" w:lineRule="auto"/>
        <w:tabs>
          <w:tab w:leader="none" w:pos="2801"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act or omission believed by Executive in good faith, after reasonable investigation, to have been in or not opposed to the interest of the Company (without intent of Executive to gain, directly or indirectly, a profit to which Executive was not legally entitled);</w:t>
      </w:r>
    </w:p>
    <w:p>
      <w:pPr>
        <w:spacing w:after="0" w:line="226" w:lineRule="exact"/>
        <w:rPr>
          <w:rFonts w:ascii="Arial" w:cs="Arial" w:eastAsia="Arial" w:hAnsi="Arial"/>
          <w:sz w:val="22"/>
          <w:szCs w:val="22"/>
          <w:color w:val="auto"/>
        </w:rPr>
      </w:pPr>
    </w:p>
    <w:p>
      <w:pPr>
        <w:jc w:val="both"/>
        <w:ind w:firstLine="2439"/>
        <w:spacing w:after="0" w:line="250" w:lineRule="auto"/>
        <w:tabs>
          <w:tab w:leader="none" w:pos="279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act or omission with respect to which a determination could properly have been made by the Board that Executive had satisfied the applicable standard of conduct for indemnification or reimbursement under the Company’s by-laws, any applicable indemnification agreement, or applicable law, in each case as in effect at the time of such act or omission; or</w:t>
      </w:r>
    </w:p>
    <w:p>
      <w:pPr>
        <w:spacing w:after="0" w:line="228" w:lineRule="exact"/>
        <w:rPr>
          <w:rFonts w:ascii="Arial" w:cs="Arial" w:eastAsia="Arial" w:hAnsi="Arial"/>
          <w:sz w:val="22"/>
          <w:szCs w:val="22"/>
          <w:color w:val="auto"/>
        </w:rPr>
      </w:pPr>
    </w:p>
    <w:p>
      <w:pPr>
        <w:jc w:val="both"/>
        <w:ind w:firstLine="2439"/>
        <w:spacing w:after="0" w:line="312" w:lineRule="auto"/>
        <w:tabs>
          <w:tab w:leader="none" w:pos="2794" w:val="left"/>
        </w:tabs>
        <w:numPr>
          <w:ilvl w:val="0"/>
          <w:numId w:val="97"/>
        </w:numPr>
        <w:rPr>
          <w:rFonts w:ascii="Arial" w:cs="Arial" w:eastAsia="Arial" w:hAnsi="Arial"/>
          <w:sz w:val="19"/>
          <w:szCs w:val="19"/>
          <w:color w:val="auto"/>
        </w:rPr>
      </w:pPr>
      <w:r>
        <w:rPr>
          <w:rFonts w:ascii="Arial" w:cs="Arial" w:eastAsia="Arial" w:hAnsi="Arial"/>
          <w:sz w:val="19"/>
          <w:szCs w:val="19"/>
          <w:color w:val="auto"/>
        </w:rPr>
        <w:t>after the Effective Date, failure to meet performance goals, objectives or measures following good faith efforts to meet such goals, objectives or measures; and further provided that, for purposes of clauses (ii) through (v) if an act, or a failure to act, which was done, or omitted to be done, by Executive in good faith and with a reasonable belief, after reasonable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7" w:name="page178"/>
    <w:bookmarkEnd w:id="177"/>
    <w:p>
      <w:pPr>
        <w:jc w:val="both"/>
        <w:spacing w:after="0" w:line="261" w:lineRule="auto"/>
        <w:rPr>
          <w:sz w:val="20"/>
          <w:szCs w:val="20"/>
          <w:color w:val="auto"/>
        </w:rPr>
      </w:pPr>
      <w:r>
        <w:rPr>
          <w:rFonts w:ascii="Arial" w:cs="Arial" w:eastAsia="Arial" w:hAnsi="Arial"/>
          <w:sz w:val="21"/>
          <w:szCs w:val="21"/>
          <w:color w:val="auto"/>
        </w:rPr>
        <w:t>investigation, that Executive’s act, or failure to act, was in the best interests of the Company or was required by applicable law or administrative regulation, such breach shall not constitute Cause if, within 10 business days after Executive is given written notice of such breach that specifically refers to this Section 5(b), Executive cures such breach to the fullest extent that it is curable. With respect to the above definition of “Cause,” no act or conduct by Executive will constitute “Cause” if Executive acted: (i) in accordance with the instructions or advice of counsel representing the Company or there was a conflict such that Executive could not consult with counsel representing the Company, or (ii) as required by legal process.</w:t>
      </w:r>
    </w:p>
    <w:p>
      <w:pPr>
        <w:spacing w:after="0" w:line="221" w:lineRule="exact"/>
        <w:rPr>
          <w:sz w:val="20"/>
          <w:szCs w:val="20"/>
          <w:color w:val="auto"/>
        </w:rPr>
      </w:pPr>
    </w:p>
    <w:p>
      <w:pPr>
        <w:ind w:firstLine="1305"/>
        <w:spacing w:after="0" w:line="263" w:lineRule="auto"/>
        <w:tabs>
          <w:tab w:leader="none" w:pos="183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Executive’s employment may be terminated by Executive during the Employment Period for Good Reason or without Good Reason. For purposes of this Agreement, “Good Reason” shall mean:</w:t>
      </w:r>
    </w:p>
    <w:p>
      <w:pPr>
        <w:spacing w:after="0" w:line="215" w:lineRule="exact"/>
        <w:rPr>
          <w:rFonts w:ascii="Arial" w:cs="Arial" w:eastAsia="Arial" w:hAnsi="Arial"/>
          <w:sz w:val="22"/>
          <w:szCs w:val="22"/>
          <w:color w:val="auto"/>
        </w:rPr>
      </w:pPr>
    </w:p>
    <w:p>
      <w:pPr>
        <w:jc w:val="both"/>
        <w:ind w:firstLine="1953"/>
        <w:spacing w:after="0" w:line="263" w:lineRule="auto"/>
        <w:tabs>
          <w:tab w:leader="none" w:pos="2383" w:val="left"/>
        </w:tabs>
        <w:numPr>
          <w:ilvl w:val="1"/>
          <w:numId w:val="98"/>
        </w:numPr>
        <w:rPr>
          <w:rFonts w:ascii="Arial" w:cs="Arial" w:eastAsia="Arial" w:hAnsi="Arial"/>
          <w:sz w:val="21"/>
          <w:szCs w:val="21"/>
          <w:color w:val="auto"/>
        </w:rPr>
      </w:pPr>
      <w:r>
        <w:rPr>
          <w:rFonts w:ascii="Arial" w:cs="Arial" w:eastAsia="Arial" w:hAnsi="Arial"/>
          <w:sz w:val="21"/>
          <w:szCs w:val="21"/>
          <w:color w:val="auto"/>
        </w:rPr>
        <w:t>the assignment to Executive of any duties inconsistent in any material respect with Executive’s position (including status, offices, titles and direct reporting relationships), authority, duties or responsibilities as contemplated by Section 4(a) of this Agreement, or any other action by the Company that results in a material diminution in Executive’s position, authority, duties or responsibilities, other than an isolated, insubstantial and inadvertent action that is not taken in bad faith and is remedied by the Company promptly after receipt of notice thereof from Executive;</w:t>
      </w:r>
    </w:p>
    <w:p>
      <w:pPr>
        <w:spacing w:after="0" w:line="216" w:lineRule="exact"/>
        <w:rPr>
          <w:rFonts w:ascii="Arial" w:cs="Arial" w:eastAsia="Arial" w:hAnsi="Arial"/>
          <w:sz w:val="21"/>
          <w:szCs w:val="21"/>
          <w:color w:val="auto"/>
        </w:rPr>
      </w:pPr>
    </w:p>
    <w:p>
      <w:pPr>
        <w:jc w:val="both"/>
        <w:ind w:firstLine="1953"/>
        <w:spacing w:after="0" w:line="253" w:lineRule="auto"/>
        <w:tabs>
          <w:tab w:leader="none" w:pos="259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breach by the Company of Section 4(b)(i) or (ii) of this Agreement, other than an isolated, insubstantial and inadvertent failure that is not taken in bad faith and is remedied by the Company promptly after receipt of notice thereof from Executive;</w:t>
      </w:r>
    </w:p>
    <w:p>
      <w:pPr>
        <w:spacing w:after="0" w:line="226" w:lineRule="exact"/>
        <w:rPr>
          <w:rFonts w:ascii="Arial" w:cs="Arial" w:eastAsia="Arial" w:hAnsi="Arial"/>
          <w:sz w:val="22"/>
          <w:szCs w:val="22"/>
          <w:color w:val="auto"/>
        </w:rPr>
      </w:pPr>
    </w:p>
    <w:p>
      <w:pPr>
        <w:ind w:right="20" w:firstLine="1953"/>
        <w:spacing w:after="0" w:line="263" w:lineRule="auto"/>
        <w:tabs>
          <w:tab w:leader="none" w:pos="2555"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requirement that Executive’s employment be based at an office or location that is more than 50 miles from the location where Executive was employed immediately preceding the Effective Date;</w:t>
      </w:r>
    </w:p>
    <w:p>
      <w:pPr>
        <w:spacing w:after="0" w:line="215" w:lineRule="exact"/>
        <w:rPr>
          <w:rFonts w:ascii="Arial" w:cs="Arial" w:eastAsia="Arial" w:hAnsi="Arial"/>
          <w:sz w:val="22"/>
          <w:szCs w:val="22"/>
          <w:color w:val="auto"/>
        </w:rPr>
      </w:pPr>
    </w:p>
    <w:p>
      <w:pPr>
        <w:ind w:left="2480" w:hanging="527"/>
        <w:spacing w:after="0"/>
        <w:tabs>
          <w:tab w:leader="none" w:pos="248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failure by the Company to comply with and satisfy Section 13(c) of this Agreement; or</w:t>
      </w:r>
    </w:p>
    <w:p>
      <w:pPr>
        <w:spacing w:after="0" w:line="260" w:lineRule="exact"/>
        <w:rPr>
          <w:rFonts w:ascii="Arial" w:cs="Arial" w:eastAsia="Arial" w:hAnsi="Arial"/>
          <w:sz w:val="22"/>
          <w:szCs w:val="22"/>
          <w:color w:val="auto"/>
        </w:rPr>
      </w:pPr>
    </w:p>
    <w:p>
      <w:pPr>
        <w:ind w:firstLine="1953"/>
        <w:spacing w:after="0" w:line="263" w:lineRule="auto"/>
        <w:tabs>
          <w:tab w:leader="none" w:pos="2436"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other material breach of this Agreement by the Company that either is not taken in good faith or is not remedied by the Company promptly after receipt of notice thereof from Executive.</w:t>
      </w:r>
    </w:p>
    <w:p>
      <w:pPr>
        <w:spacing w:after="0" w:line="215" w:lineRule="exact"/>
        <w:rPr>
          <w:sz w:val="20"/>
          <w:szCs w:val="20"/>
          <w:color w:val="auto"/>
        </w:rPr>
      </w:pPr>
    </w:p>
    <w:p>
      <w:pPr>
        <w:jc w:val="both"/>
        <w:ind w:left="80" w:firstLine="1216"/>
        <w:spacing w:after="0" w:line="259" w:lineRule="auto"/>
        <w:rPr>
          <w:sz w:val="20"/>
          <w:szCs w:val="20"/>
          <w:color w:val="auto"/>
        </w:rPr>
      </w:pPr>
      <w:r>
        <w:rPr>
          <w:rFonts w:ascii="Arial" w:cs="Arial" w:eastAsia="Arial" w:hAnsi="Arial"/>
          <w:sz w:val="21"/>
          <w:szCs w:val="21"/>
          <w:color w:val="auto"/>
        </w:rPr>
        <w:t>A termination of employment by Executive for Good Reason shall be effectuated by giving the Company written notice (“Notice of Termination for Good Reason”) of the termination within 90 days after the event constituting Good Reason, setting forth in reasonable detail the specific conduct of the Company that constitutes Good Reason and the specific provisions of this Agreement on which Executive relies. The Company shall have 30 days from the receipt of such notice within which to correct, rescind or otherwise substantially reverse the occurrence supporting termination for Good Reason as identified by Executive. If such event has not been cured within such 30-day period, the termination of employment by Executive for Good Reason shall be effective as of the expiration of such 30-day period. If the event Good Reason is cured within such 30-day period, the Notice of Termination for Good Reason shall have no effect.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8" w:name="page179"/>
    <w:bookmarkEnd w:id="178"/>
    <w:p>
      <w:pPr>
        <w:jc w:val="both"/>
        <w:ind w:left="80"/>
        <w:spacing w:after="0" w:line="294" w:lineRule="auto"/>
        <w:rPr>
          <w:sz w:val="20"/>
          <w:szCs w:val="20"/>
          <w:color w:val="auto"/>
        </w:rPr>
      </w:pPr>
      <w:r>
        <w:rPr>
          <w:rFonts w:ascii="Arial" w:cs="Arial" w:eastAsia="Arial" w:hAnsi="Arial"/>
          <w:sz w:val="19"/>
          <w:szCs w:val="19"/>
          <w:color w:val="auto"/>
        </w:rPr>
        <w:t>dispute as to whether a claimed event of Good Reason has been cured within the 30-day period shall be submitted to mediation by a third party selected by Executive and the Board. If no mediated resolution is reached within 30-days after the end of the original 30-day cure period, the Notice of Termination for Good Reason shall have no effect, and Executive’s remedies thereafter shall be governed by Section 12 herein. The parties intend, believe and take the position that a resignation by the Executive for Good Reason as defined above effectively constitutes an involuntary separation from service within the meaning of Section 409A of the Internal Revenue Code of 1986, as amended (the “Code”), and Treas. Reg. §1.409A-1(n)(2).</w:t>
      </w:r>
    </w:p>
    <w:p>
      <w:pPr>
        <w:spacing w:after="0" w:line="190" w:lineRule="exact"/>
        <w:rPr>
          <w:sz w:val="20"/>
          <w:szCs w:val="20"/>
          <w:color w:val="auto"/>
        </w:rPr>
      </w:pPr>
    </w:p>
    <w:p>
      <w:pPr>
        <w:ind w:left="1040" w:hanging="384"/>
        <w:spacing w:after="0"/>
        <w:tabs>
          <w:tab w:leader="none" w:pos="104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59" w:lineRule="auto"/>
        <w:tabs>
          <w:tab w:leader="none" w:pos="1590"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Termination by Executive for Good Reason; Termination by the Company Other Than for Cause or Disability</w:t>
      </w:r>
      <w:r>
        <w:rPr>
          <w:rFonts w:ascii="Arial" w:cs="Arial" w:eastAsia="Arial" w:hAnsi="Arial"/>
          <w:sz w:val="21"/>
          <w:szCs w:val="21"/>
          <w:color w:val="auto"/>
        </w:rPr>
        <w:t>. If, during the Employment Period, the Company or an affiliate shall terminate Executive’s employment other than for Cause or Disability, or Executive shall terminate employment for Good Reason, the Company shall timely pay to Executive his or her accrued Annual Base Salary and accrued paid time off through the date of termination to the extent not theretofore paid (the “Accrued Obligations”) and any other amounts or benefits required to be paid or provided or which Executive is eligible to receive under any plan, program, policy or practice or contract or agreement of the Company and its affiliated companies to the extent not theretofore paid or provided (“Other Benefits”). In addition, provided that Executive timely executes and does not revoke a full release of claims in a form acceptable to the Company (the “</w:t>
      </w:r>
      <w:r>
        <w:rPr>
          <w:rFonts w:ascii="Arial" w:cs="Arial" w:eastAsia="Arial" w:hAnsi="Arial"/>
          <w:sz w:val="21"/>
          <w:szCs w:val="21"/>
          <w:u w:val="single" w:color="auto"/>
          <w:color w:val="auto"/>
        </w:rPr>
        <w:t>Release</w:t>
      </w:r>
      <w:r>
        <w:rPr>
          <w:rFonts w:ascii="Arial" w:cs="Arial" w:eastAsia="Arial" w:hAnsi="Arial"/>
          <w:sz w:val="21"/>
          <w:szCs w:val="21"/>
          <w:color w:val="auto"/>
        </w:rPr>
        <w:t>”):</w:t>
      </w:r>
    </w:p>
    <w:p>
      <w:pPr>
        <w:spacing w:after="0" w:line="224" w:lineRule="exact"/>
        <w:rPr>
          <w:rFonts w:ascii="Arial" w:cs="Arial" w:eastAsia="Arial" w:hAnsi="Arial"/>
          <w:sz w:val="21"/>
          <w:szCs w:val="21"/>
          <w:color w:val="auto"/>
        </w:rPr>
      </w:pPr>
    </w:p>
    <w:p>
      <w:pPr>
        <w:jc w:val="both"/>
        <w:ind w:firstLine="1953"/>
        <w:spacing w:after="0" w:line="312" w:lineRule="auto"/>
        <w:tabs>
          <w:tab w:leader="none" w:pos="2203" w:val="left"/>
        </w:tabs>
        <w:numPr>
          <w:ilvl w:val="2"/>
          <w:numId w:val="99"/>
        </w:numPr>
        <w:rPr>
          <w:rFonts w:ascii="Arial" w:cs="Arial" w:eastAsia="Arial" w:hAnsi="Arial"/>
          <w:sz w:val="19"/>
          <w:szCs w:val="19"/>
          <w:color w:val="auto"/>
        </w:rPr>
      </w:pPr>
      <w:r>
        <w:rPr>
          <w:rFonts w:ascii="Arial" w:cs="Arial" w:eastAsia="Arial" w:hAnsi="Arial"/>
          <w:sz w:val="19"/>
          <w:szCs w:val="19"/>
          <w:color w:val="auto"/>
        </w:rPr>
        <w:t>the Company shall pay to Executive in a lump sum in cash within 60 days after the date of termination (or any later date required by Section 15) a severance payment equal to three times the sum of (i) Executive’s Annual Base Salary as then in effect, plus (ii) Executive’s target annual incentive bonus for the year in which the date of termination occurs; and</w:t>
      </w:r>
    </w:p>
    <w:p>
      <w:pPr>
        <w:spacing w:after="0" w:line="174" w:lineRule="exact"/>
        <w:rPr>
          <w:rFonts w:ascii="Arial" w:cs="Arial" w:eastAsia="Arial" w:hAnsi="Arial"/>
          <w:sz w:val="19"/>
          <w:szCs w:val="19"/>
          <w:color w:val="auto"/>
        </w:rPr>
      </w:pPr>
    </w:p>
    <w:p>
      <w:pPr>
        <w:jc w:val="both"/>
        <w:ind w:firstLine="1953"/>
        <w:spacing w:after="0" w:line="247" w:lineRule="auto"/>
        <w:tabs>
          <w:tab w:leader="none" w:pos="2276" w:val="left"/>
        </w:tabs>
        <w:numPr>
          <w:ilvl w:val="2"/>
          <w:numId w:val="99"/>
        </w:numPr>
        <w:rPr>
          <w:rFonts w:ascii="Arial" w:cs="Arial" w:eastAsia="Arial" w:hAnsi="Arial"/>
          <w:sz w:val="22"/>
          <w:szCs w:val="22"/>
          <w:color w:val="auto"/>
        </w:rPr>
      </w:pPr>
      <w:r>
        <w:rPr>
          <w:rFonts w:ascii="Arial" w:cs="Arial" w:eastAsia="Arial" w:hAnsi="Arial"/>
          <w:sz w:val="22"/>
          <w:szCs w:val="22"/>
          <w:color w:val="auto"/>
        </w:rPr>
        <w:t>the Company shall pay to Executive a pro-rata bonus for the annual incentive plan performance period (“Plan Year”) in which the date of termination occurs (the “Prorata Final Year Bonus”) in an amount equal to the product of (x) Executive’s target annual bonus for the year of termination, and (y) a fraction, the numerator of which is the number of days in the Plan Year through the date of termination, and the denominator of which is 365; and such Prorata Final Year Bonus shall be paid in a single lump sum cash payment within 60 days after the date of termination (or any later date that may be required pursuant to Section 15 hereof);</w:t>
      </w:r>
    </w:p>
    <w:p>
      <w:pPr>
        <w:spacing w:after="0" w:line="234" w:lineRule="exact"/>
        <w:rPr>
          <w:rFonts w:ascii="Arial" w:cs="Arial" w:eastAsia="Arial" w:hAnsi="Arial"/>
          <w:sz w:val="22"/>
          <w:szCs w:val="22"/>
          <w:color w:val="auto"/>
        </w:rPr>
      </w:pPr>
    </w:p>
    <w:p>
      <w:pPr>
        <w:jc w:val="both"/>
        <w:ind w:firstLine="1953"/>
        <w:spacing w:after="0" w:line="297" w:lineRule="auto"/>
        <w:tabs>
          <w:tab w:leader="none" w:pos="2323" w:val="left"/>
        </w:tabs>
        <w:numPr>
          <w:ilvl w:val="2"/>
          <w:numId w:val="99"/>
        </w:numPr>
        <w:rPr>
          <w:rFonts w:ascii="Arial" w:cs="Arial" w:eastAsia="Arial" w:hAnsi="Arial"/>
          <w:sz w:val="19"/>
          <w:szCs w:val="19"/>
          <w:color w:val="auto"/>
        </w:rPr>
      </w:pPr>
      <w:r>
        <w:rPr>
          <w:rFonts w:ascii="Arial" w:cs="Arial" w:eastAsia="Arial" w:hAnsi="Arial"/>
          <w:sz w:val="19"/>
          <w:szCs w:val="19"/>
          <w:color w:val="auto"/>
        </w:rPr>
        <w:t>the Company shall pay to Executive an amount equal to the full monthly cost to provide group medical, dental, and/or prescription drug plan benefits sponsored by the Company and maintained by the Executive as of the date of termination, multiplied by thirty-six (36) (for purposes of this Section 6(a)(iii), the cost of such benefits will be calculated based on the “applicable premium” determined in accordance with Code Section 4980B(f)(4) and the regulations issued thereunder (including the 2% administrative fee) for the year in which the Separation from Service occurs);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79" w:name="page180"/>
    <w:bookmarkEnd w:id="179"/>
    <w:p>
      <w:pPr>
        <w:ind w:firstLine="1953"/>
        <w:spacing w:after="0" w:line="263" w:lineRule="auto"/>
        <w:tabs>
          <w:tab w:leader="none" w:pos="2324" w:val="left"/>
        </w:tabs>
        <w:numPr>
          <w:ilvl w:val="2"/>
          <w:numId w:val="100"/>
        </w:numPr>
        <w:rPr>
          <w:rFonts w:ascii="Arial" w:cs="Arial" w:eastAsia="Arial" w:hAnsi="Arial"/>
          <w:sz w:val="22"/>
          <w:szCs w:val="22"/>
          <w:color w:val="auto"/>
        </w:rPr>
      </w:pPr>
      <w:r>
        <w:rPr>
          <w:rFonts w:ascii="Arial" w:cs="Arial" w:eastAsia="Arial" w:hAnsi="Arial"/>
          <w:sz w:val="22"/>
          <w:szCs w:val="22"/>
          <w:color w:val="auto"/>
        </w:rPr>
        <w:t>all of Executive’s equity or incentive awards outstanding on the date of termination shall be treated in accordance with the applicable plan documents and award agreements evidencing such awards.</w:t>
      </w:r>
    </w:p>
    <w:p>
      <w:pPr>
        <w:spacing w:after="0" w:line="215" w:lineRule="exact"/>
        <w:rPr>
          <w:rFonts w:ascii="Arial" w:cs="Arial" w:eastAsia="Arial" w:hAnsi="Arial"/>
          <w:sz w:val="22"/>
          <w:szCs w:val="22"/>
          <w:color w:val="auto"/>
        </w:rPr>
      </w:pPr>
    </w:p>
    <w:p>
      <w:pPr>
        <w:jc w:val="both"/>
        <w:ind w:firstLine="1953"/>
        <w:spacing w:after="0" w:line="297" w:lineRule="auto"/>
        <w:tabs>
          <w:tab w:leader="none" w:pos="2291" w:val="left"/>
        </w:tabs>
        <w:numPr>
          <w:ilvl w:val="2"/>
          <w:numId w:val="100"/>
        </w:numPr>
        <w:rPr>
          <w:rFonts w:ascii="Arial" w:cs="Arial" w:eastAsia="Arial" w:hAnsi="Arial"/>
          <w:sz w:val="19"/>
          <w:szCs w:val="19"/>
          <w:color w:val="auto"/>
        </w:rPr>
      </w:pPr>
      <w:r>
        <w:rPr>
          <w:rFonts w:ascii="Arial" w:cs="Arial" w:eastAsia="Arial" w:hAnsi="Arial"/>
          <w:sz w:val="19"/>
          <w:szCs w:val="19"/>
          <w:color w:val="auto"/>
        </w:rPr>
        <w:t>Executive shall be reimbursed for reasonable fees and costs for outplacement services incurred by Executive within six (6) months after the date of termination, promptly upon presentation of reasonable documentation of such fees and costs, subject to a maximum of $25,000. All requests of Executive for reimbursement must be submitted to the Company within one (1) year of the date of termination and the Company shall make the reimbursement of reasonable requests no later than thirty (30) days after such request, but in all events within fifteen (15) months of the date of termination.</w:t>
      </w:r>
    </w:p>
    <w:p>
      <w:pPr>
        <w:spacing w:after="0" w:line="187" w:lineRule="exact"/>
        <w:rPr>
          <w:rFonts w:ascii="Arial" w:cs="Arial" w:eastAsia="Arial" w:hAnsi="Arial"/>
          <w:sz w:val="19"/>
          <w:szCs w:val="19"/>
          <w:color w:val="auto"/>
        </w:rPr>
      </w:pPr>
    </w:p>
    <w:p>
      <w:pPr>
        <w:jc w:val="both"/>
        <w:ind w:firstLine="1953"/>
        <w:spacing w:after="0" w:line="284" w:lineRule="auto"/>
        <w:tabs>
          <w:tab w:leader="none" w:pos="2324" w:val="left"/>
        </w:tabs>
        <w:numPr>
          <w:ilvl w:val="2"/>
          <w:numId w:val="100"/>
        </w:numPr>
        <w:rPr>
          <w:rFonts w:ascii="Arial" w:cs="Arial" w:eastAsia="Arial" w:hAnsi="Arial"/>
          <w:sz w:val="19"/>
          <w:szCs w:val="19"/>
          <w:color w:val="auto"/>
        </w:rPr>
      </w:pPr>
      <w:r>
        <w:rPr>
          <w:rFonts w:ascii="Arial" w:cs="Arial" w:eastAsia="Arial" w:hAnsi="Arial"/>
          <w:sz w:val="19"/>
          <w:szCs w:val="19"/>
          <w:color w:val="auto"/>
        </w:rPr>
        <w:t>Executive (i) shall be indemnified and held harmless by the Company on the same terms as other Peer Executives and to the greatest extent permitted under applicable law as the same now exists or may hereafter be amended and the Company’s by-laws as such exist on the Effective Date, or such greater rights that may be provided by amendment to such by-laws from time to time, if Executive was, is, or is threatened to be, made a party to any pending, completed or threatened action, suit, arbitration, alternate dispute resolution mechanism, investigation, administrative hearing or any other proceeding whether civil, criminal, administrative or investigative, and whether formal or informal, by reason of the fact that Executive is or was, or had agreed to become, a director, officer, employee, agent or fiduciary of the Company or any other entity which Executive is or was serving at the request of the Company (“Proceeding”), against all expenses (including reasonable attorneys’ fees) and all claims, damages, liabilities and losses incurred or suffered by Executive or to which Executive may become subject for any reason, and</w:t>
      </w:r>
    </w:p>
    <w:p>
      <w:pPr>
        <w:jc w:val="both"/>
        <w:ind w:firstLine="8"/>
        <w:spacing w:after="0" w:line="244" w:lineRule="auto"/>
        <w:tabs>
          <w:tab w:leader="none" w:pos="33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shall be entitled to advancement of any such indemnifiable expenses in accordance with the Company’s by-laws as such exist on the Effective Date, or such greater rights that may be provided by amendment to such by-laws from time to time. A Proceeding shall not include any proceeding to the extent it concerns or relates to a matter described in Section 9 (concerning reimbursement of certain costs and expenses).</w:t>
      </w:r>
    </w:p>
    <w:p>
      <w:pPr>
        <w:spacing w:after="0" w:line="236" w:lineRule="exact"/>
        <w:rPr>
          <w:rFonts w:ascii="Arial" w:cs="Arial" w:eastAsia="Arial" w:hAnsi="Arial"/>
          <w:sz w:val="22"/>
          <w:szCs w:val="22"/>
          <w:color w:val="auto"/>
        </w:rPr>
      </w:pPr>
    </w:p>
    <w:p>
      <w:pPr>
        <w:jc w:val="both"/>
        <w:ind w:firstLine="1953"/>
        <w:spacing w:after="0" w:line="253" w:lineRule="auto"/>
        <w:tabs>
          <w:tab w:leader="none" w:pos="2384" w:val="left"/>
        </w:tabs>
        <w:numPr>
          <w:ilvl w:val="2"/>
          <w:numId w:val="101"/>
        </w:numPr>
        <w:rPr>
          <w:rFonts w:ascii="Arial" w:cs="Arial" w:eastAsia="Arial" w:hAnsi="Arial"/>
          <w:sz w:val="22"/>
          <w:szCs w:val="22"/>
          <w:color w:val="auto"/>
        </w:rPr>
      </w:pPr>
      <w:r>
        <w:rPr>
          <w:rFonts w:ascii="Arial" w:cs="Arial" w:eastAsia="Arial" w:hAnsi="Arial"/>
          <w:sz w:val="22"/>
          <w:szCs w:val="22"/>
          <w:color w:val="auto"/>
        </w:rPr>
        <w:t>For a period of six years after the date of termination (or for any known longer applicable statute of limitations period), the Executive shall be entitled to coverage under a directors’ and officers’ liability insurance policy in an amount no less than, and on the same terms as those provided to Peer Executives.</w:t>
      </w:r>
    </w:p>
    <w:p>
      <w:pPr>
        <w:spacing w:after="0" w:line="226" w:lineRule="exact"/>
        <w:rPr>
          <w:rFonts w:ascii="Arial" w:cs="Arial" w:eastAsia="Arial" w:hAnsi="Arial"/>
          <w:sz w:val="22"/>
          <w:szCs w:val="22"/>
          <w:color w:val="auto"/>
        </w:rPr>
      </w:pPr>
    </w:p>
    <w:p>
      <w:pPr>
        <w:jc w:val="both"/>
        <w:ind w:firstLine="1305"/>
        <w:spacing w:after="0" w:line="290" w:lineRule="auto"/>
        <w:tabs>
          <w:tab w:leader="none" w:pos="1873"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Executive’s employment is terminated by reason of Executive’s death or Disability during the Employment Period, this Agreement shall terminate without further obligations to Executive or Executive’s legal representatives under this Agreement, other than for payment of Accrued Obligations and the Prorata Final Year Bonus (calculated as described in Section 6(a)(ii), regardless of when the date of termination occurs) and the timely payment or provision of Other Benefits. Accrued Obligations and the Prorata Final Year Bonus shall be paid to Executive or Executive’s estate or beneficiary, as applicable, in a lump sum in cash within 30 days of the date of termination (or any later date required by Section 15). With respect to the provision of Other Benefits, the term Other Benefits as used in this Section 6(b) shall include without limitation, and Executive or Executive’s estate and/or beneficiaries shall be entitled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0" w:name="page181"/>
    <w:bookmarkEnd w:id="180"/>
    <w:p>
      <w:pPr>
        <w:spacing w:after="0" w:line="263" w:lineRule="auto"/>
        <w:rPr>
          <w:sz w:val="20"/>
          <w:szCs w:val="20"/>
          <w:color w:val="auto"/>
        </w:rPr>
      </w:pPr>
      <w:r>
        <w:rPr>
          <w:rFonts w:ascii="Arial" w:cs="Arial" w:eastAsia="Arial" w:hAnsi="Arial"/>
          <w:sz w:val="22"/>
          <w:szCs w:val="22"/>
          <w:color w:val="auto"/>
        </w:rPr>
        <w:t>receive, benefits under such plans, programs, practices and policies relating to death or disability benefits, if any, as are applicable to Executive on the date of termination.</w:t>
      </w:r>
    </w:p>
    <w:p>
      <w:pPr>
        <w:spacing w:after="0" w:line="215" w:lineRule="exact"/>
        <w:rPr>
          <w:sz w:val="20"/>
          <w:szCs w:val="20"/>
          <w:color w:val="auto"/>
        </w:rPr>
      </w:pPr>
    </w:p>
    <w:p>
      <w:pPr>
        <w:jc w:val="both"/>
        <w:ind w:firstLine="1305"/>
        <w:spacing w:after="0" w:line="250" w:lineRule="auto"/>
        <w:tabs>
          <w:tab w:leader="none" w:pos="1779"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Cause; Other than for Good Reason</w:t>
      </w:r>
      <w:r>
        <w:rPr>
          <w:rFonts w:ascii="Arial" w:cs="Arial" w:eastAsia="Arial" w:hAnsi="Arial"/>
          <w:sz w:val="22"/>
          <w:szCs w:val="22"/>
          <w:color w:val="auto"/>
        </w:rPr>
        <w:t>. If Executive’s employment shall be terminated for Cause, or if Executive voluntarily terminates employment other than for Good Reason, during the Employment Period, this Agreement shall terminate without further obligations to Executive other than for payment of Accrued Obligations and the timely payment or provision of Other Benefits.</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1778"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Expiration of Employment Period</w:t>
      </w:r>
      <w:r>
        <w:rPr>
          <w:rFonts w:ascii="Arial" w:cs="Arial" w:eastAsia="Arial" w:hAnsi="Arial"/>
          <w:sz w:val="22"/>
          <w:szCs w:val="22"/>
          <w:color w:val="auto"/>
        </w:rPr>
        <w:t>. If Executive’s employment shall be terminated due to the normal expiration of the Employment Period, this Agreement shall terminate without further obligations to Executive, other than for payment of Accrued Obligations and the timely payment or provision of Other Benefits.</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243"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Nothing in this Agreement shall prevent or limit Executive’s continuing or future participation in any employee benefit plan, program, policy or practice provided by the Company or its affiliated companies and for which Executive may qualify, except as specifically provided herein. Amounts that are vested benefits or which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067"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26" w:lineRule="exact"/>
        <w:rPr>
          <w:rFonts w:ascii="Arial" w:cs="Arial" w:eastAsia="Arial" w:hAnsi="Arial"/>
          <w:sz w:val="22"/>
          <w:szCs w:val="22"/>
          <w:color w:val="auto"/>
        </w:rPr>
      </w:pPr>
    </w:p>
    <w:p>
      <w:pPr>
        <w:jc w:val="both"/>
        <w:ind w:firstLine="656"/>
        <w:spacing w:after="0" w:line="286" w:lineRule="auto"/>
        <w:tabs>
          <w:tab w:leader="none" w:pos="102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Costs of Enforcement and Interest</w:t>
      </w:r>
      <w:r>
        <w:rPr>
          <w:rFonts w:ascii="Arial" w:cs="Arial" w:eastAsia="Arial" w:hAnsi="Arial"/>
          <w:sz w:val="19"/>
          <w:szCs w:val="19"/>
          <w:color w:val="auto"/>
        </w:rPr>
        <w:t xml:space="preserve">. The Company shall reimburse Executive, on a current basis and in an amount not to exceed $100,000, for reasonable legal fees and related expenses incurred by Executive (i) in connection with any tax audit or proceeding to the extent attributable to the application of Code Section 4999 to any payment or benefit hereunder, or (ii) in seeking to enforce his or her right to payments under Section 6 of this Agreement, in each case, regardless of whether or not Executive’s claim is upheld by an arbitrator or a court of competent jurisdiction;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 if Executive is ultimately successful in respect of one or more material issues relating to such claim, the Company shall reimburse Executive for all reasonable legal fees and related expenses, and (ii) Executive shall be required to repay to the Company any such amounts to the extent that an arbitrator or a court issues a final order, judgment, decree or award setting forth the determination that the position taken by Executive was frivolous or advanced by Executive in bad faith. The amount reimbursable by the Company under this Section 9 in any one calendar year shall not affect the amount reimbursable in any other calendar year, and the reimbursement of an eligible expense shall be made within 30 days after delivery of Executive’s respective written requests for payment accompanied with such evidence of fees and expenses incurred as the Company reasonably may require, but in any event no later than December 31 of the year after the year in which the expense was incurred. Executive’s rights pursuant to this Section 9 shall expire at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end of five years after the date of termination and shall not be subject to liquidation or exchange for another benefit.</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Notwithstanding the foregoing, reimbursement of costs and attorneys’ fees incurred in connection with any legal action regarding the enforcement of any of the provisions of Section 11 shall be governed by Section 11(j).</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If an amount due is not paid to Executive under this Agreement within 30 days after such amount first became due and owing, interest shall accrue on such amount from the date it became due and owing until the date of payment at an annual rate equal to 200 basis points above the base commercial lending rate published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in effect from time to time during the period of such nonpayment.</w:t>
      </w:r>
    </w:p>
    <w:p>
      <w:pPr>
        <w:spacing w:after="0" w:line="229" w:lineRule="exact"/>
        <w:rPr>
          <w:sz w:val="20"/>
          <w:szCs w:val="20"/>
          <w:color w:val="auto"/>
        </w:rPr>
      </w:pPr>
    </w:p>
    <w:p>
      <w:pPr>
        <w:ind w:left="1140" w:hanging="484"/>
        <w:spacing w:after="0"/>
        <w:tabs>
          <w:tab w:leader="none" w:pos="11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Code Section 280G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9" w:lineRule="auto"/>
        <w:tabs>
          <w:tab w:leader="none" w:pos="1794" w:val="left"/>
        </w:tabs>
        <w:numPr>
          <w:ilvl w:val="2"/>
          <w:numId w:val="104"/>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in the event it is determined that any payment or distribution by the Company to or for the benefit of the Executive (whether paid or payable or distributed or distributable pursuant to the terms of this Agreement or otherwise) (such benefits, payments or distributions are hereinafter referred to as “Payments”) would, if paid, be subject to the excise tax (the “Excise Tax”) imposed by Code Section 4999, then, prior to the making of any Payments to the Executive, a calculation shall be made comparing (i) the net after-tax benefit to the Executive of the Payments after payment by the Executive of the Excise Tax, to (ii) the net after-tax benefit to the Executive if the Payments had been limited to the extent necessary to avoid being subject to the Excise Tax. If the amount calculated under (i) above is less than the amount calculated under (ii) above, then the Payments shall be limited to the extent necessary to avoid being subject to the Excise Tax (the “Reduced Amount”). Any reduction of the Payments, if applicable, shall be applied first to cash Payments due hereunder.</w:t>
      </w:r>
    </w:p>
    <w:p>
      <w:pPr>
        <w:spacing w:after="0" w:line="157" w:lineRule="exact"/>
        <w:rPr>
          <w:rFonts w:ascii="Arial" w:cs="Arial" w:eastAsia="Arial" w:hAnsi="Arial"/>
          <w:sz w:val="19"/>
          <w:szCs w:val="19"/>
          <w:color w:val="auto"/>
        </w:rPr>
      </w:pPr>
    </w:p>
    <w:p>
      <w:pPr>
        <w:jc w:val="both"/>
        <w:ind w:firstLine="1305"/>
        <w:spacing w:after="0" w:line="248" w:lineRule="auto"/>
        <w:tabs>
          <w:tab w:leader="none" w:pos="1847" w:val="left"/>
        </w:tabs>
        <w:numPr>
          <w:ilvl w:val="2"/>
          <w:numId w:val="104"/>
        </w:numPr>
        <w:rPr>
          <w:rFonts w:ascii="Arial" w:cs="Arial" w:eastAsia="Arial" w:hAnsi="Arial"/>
          <w:sz w:val="22"/>
          <w:szCs w:val="22"/>
          <w:color w:val="auto"/>
        </w:rPr>
      </w:pPr>
      <w:r>
        <w:rPr>
          <w:rFonts w:ascii="Arial" w:cs="Arial" w:eastAsia="Arial" w:hAnsi="Arial"/>
          <w:sz w:val="22"/>
          <w:szCs w:val="22"/>
          <w:color w:val="auto"/>
        </w:rPr>
        <w:t>All determinations required to be made under this Section 10, shall be made by an independent, nationally recognized accounting firm or compensation consulting firm (the “Determination Firm”) which shall provide detailed supporting calculations both to the Company and the Executive. All fees and expenses of the Determination Firm shall be borne solely by the Company. Absent manifest error, any determination by the Determination Firm shall be binding upon the Company and the Executive.</w:t>
      </w:r>
    </w:p>
    <w:p>
      <w:pPr>
        <w:spacing w:after="0" w:line="192" w:lineRule="exact"/>
        <w:rPr>
          <w:rFonts w:ascii="Arial" w:cs="Arial" w:eastAsia="Arial" w:hAnsi="Arial"/>
          <w:sz w:val="22"/>
          <w:szCs w:val="22"/>
          <w:color w:val="auto"/>
        </w:rPr>
      </w:pPr>
    </w:p>
    <w:p>
      <w:pPr>
        <w:ind w:firstLine="1305"/>
        <w:spacing w:after="0" w:line="263" w:lineRule="auto"/>
        <w:tabs>
          <w:tab w:leader="none" w:pos="1868" w:val="left"/>
        </w:tabs>
        <w:numPr>
          <w:ilvl w:val="2"/>
          <w:numId w:val="104"/>
        </w:numPr>
        <w:rPr>
          <w:rFonts w:ascii="Arial" w:cs="Arial" w:eastAsia="Arial" w:hAnsi="Arial"/>
          <w:sz w:val="22"/>
          <w:szCs w:val="22"/>
          <w:color w:val="auto"/>
        </w:rPr>
      </w:pPr>
      <w:r>
        <w:rPr>
          <w:rFonts w:ascii="Arial" w:cs="Arial" w:eastAsia="Arial" w:hAnsi="Arial"/>
          <w:sz w:val="22"/>
          <w:szCs w:val="22"/>
          <w:color w:val="auto"/>
        </w:rPr>
        <w:t>In the event that the provisions of Code Section 280G and 4999 or any successor provisions are repealed without succession, this Section 10 shall be of no further force or effect.</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1140" w:hanging="484"/>
        <w:spacing w:after="0"/>
        <w:tabs>
          <w:tab w:leader="none" w:pos="114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Restrictions on Conduct of Executive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680" w:hanging="456"/>
        <w:spacing w:after="0"/>
        <w:tabs>
          <w:tab w:leader="none" w:pos="168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For purposes of this Section 11, the following definitions apply: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2" w:name="page183"/>
    <w:bookmarkEnd w:id="182"/>
    <w:p>
      <w:pPr>
        <w:jc w:val="both"/>
        <w:ind w:firstLine="1953"/>
        <w:spacing w:after="0" w:line="259" w:lineRule="auto"/>
        <w:tabs>
          <w:tab w:leader="none" w:pos="2432" w:val="left"/>
        </w:tabs>
        <w:numPr>
          <w:ilvl w:val="0"/>
          <w:numId w:val="1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Business</w:t>
      </w:r>
      <w:r>
        <w:rPr>
          <w:rFonts w:ascii="Arial" w:cs="Arial" w:eastAsia="Arial" w:hAnsi="Arial"/>
          <w:sz w:val="21"/>
          <w:szCs w:val="21"/>
          <w:color w:val="auto"/>
        </w:rPr>
        <w:t>” means any individual or entity (and any branch, office, or operation thereof) which engages in, or proposes to engage in, with Executive’s assistance, any of the following in which the Executive has been engaged in the twelve (12) months preceding the date of termination: (i) the handling, marketing, gathering, processing, treating or transmission of natural gas, natural gas liquids or crude oil, or the transmission or distribution thereof through pipelines or similar medium, or (ii) any other business actively engaged in by the Company which represents for any calendar year or is projected by the Company (as reflected in a business plan adopted by the Company before Executive’s date of termination) to yield during any year during the first three-fiscal year period commencing on or after Executive’s date of termination, more than 5% of the gross revenue of the Company.</w:t>
      </w:r>
    </w:p>
    <w:p>
      <w:pPr>
        <w:spacing w:after="0" w:line="305" w:lineRule="exact"/>
        <w:rPr>
          <w:rFonts w:ascii="Arial" w:cs="Arial" w:eastAsia="Arial" w:hAnsi="Arial"/>
          <w:sz w:val="21"/>
          <w:szCs w:val="21"/>
          <w:color w:val="auto"/>
        </w:rPr>
      </w:pPr>
    </w:p>
    <w:p>
      <w:pPr>
        <w:jc w:val="both"/>
        <w:ind w:firstLine="1953"/>
        <w:spacing w:after="0" w:line="286" w:lineRule="auto"/>
        <w:tabs>
          <w:tab w:leader="none" w:pos="246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non-public information of any kind or nature in the possession of the Company or any of its affiliates, including without limitation, ideas, processes, methods, designs, innovations, devices, inventions, discoveries, know-how, data, techniques, models, customer lists, marketing, business or strategic plans, financial information, research and development information, trade secrets or other subject matter relating to the Company or any of its affiliates’ products, services, businesses, operations, employees, customers or suppliers, whether in tangible or intangible form, including (i) any information that gives the Company or any of its affiliates a competitive advantage in the harnessing, production, transmission, distribution, marketing or sale of oil, gas or other energy or the transmission or distribution thereof through pipelines, wire or cable or similar medium or in the energy services or energy trading industry and other businesses in which the Company or an affiliate is engaged, or (ii) any information obtained by the Company or any of its affiliates from third parties to which the Company or an affiliate owes a duty of confidentiality, or (iii) any information that was learned, discovered, developed, conceived, originated or prepared during or as a result of Executive’s performance of any services on behalf of the Company or an affiliate. Notwithstanding the foregoing, “Confidential Information” shall not include: (i) information that is or becomes generally known to the public through no fault of Executive; (ii) information obtained on a non-confidential basis from a third party other than the Company or any affiliate, which third party disclosed such information without breaching any legal, contractual or fiduciary obligation; or (iii) information approved for release by written authorization of the Company.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1953"/>
        <w:spacing w:after="0" w:line="248" w:lineRule="auto"/>
        <w:tabs>
          <w:tab w:leader="none" w:pos="2647"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Established Customer</w:t>
      </w:r>
      <w:r>
        <w:rPr>
          <w:rFonts w:ascii="Arial" w:cs="Arial" w:eastAsia="Arial" w:hAnsi="Arial"/>
          <w:sz w:val="22"/>
          <w:szCs w:val="22"/>
          <w:color w:val="auto"/>
        </w:rPr>
        <w:t>” means any person or entity to whom or which the Company and/or its affiliates provided products or services to within the twelve (12) months prior to the time of the conduct or issue in question (if the Executive is still employed by the Company or an affiliate) or the date of termination (if the Executive is no longer employed by the Company or an affiliate), and with whom or which the Company and/or its affiliates has had an ongoing relationship that is anticipated by the Company and/or its affiliates to continue.</w:t>
      </w:r>
    </w:p>
    <w:p>
      <w:pPr>
        <w:spacing w:after="0" w:line="232" w:lineRule="exact"/>
        <w:rPr>
          <w:rFonts w:ascii="Arial" w:cs="Arial" w:eastAsia="Arial" w:hAnsi="Arial"/>
          <w:sz w:val="22"/>
          <w:szCs w:val="22"/>
          <w:color w:val="auto"/>
        </w:rPr>
      </w:pPr>
    </w:p>
    <w:p>
      <w:pPr>
        <w:jc w:val="both"/>
        <w:ind w:firstLine="1953"/>
        <w:spacing w:after="0" w:line="265" w:lineRule="auto"/>
        <w:tabs>
          <w:tab w:leader="none" w:pos="2567" w:val="left"/>
        </w:tabs>
        <w:numPr>
          <w:ilvl w:val="0"/>
          <w:numId w:val="10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Territory</w:t>
      </w:r>
      <w:r>
        <w:rPr>
          <w:rFonts w:ascii="Arial" w:cs="Arial" w:eastAsia="Arial" w:hAnsi="Arial"/>
          <w:sz w:val="21"/>
          <w:szCs w:val="21"/>
          <w:color w:val="auto"/>
        </w:rPr>
        <w:t>” means (i) within each of the following discrete, severable, geographic areas: Alabama, Colorado, Florida, Georgia, Idaho, Indiana, Kansas, Louisiana, Maryland, Michigan, Mississippi, Missouri, New Jersey, New Mexico, New York, North Carolina, Ohio, Oklahoma, Oregon, Pennsylvania, South Carolina, Texas, Utah, Virginia, Washington, West Virginia, and Wyoming, and (ii) any other geographic area in which the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3" w:name="page184"/>
    <w:bookmarkEnd w:id="183"/>
    <w:p>
      <w:pPr>
        <w:ind w:right="20"/>
        <w:spacing w:after="0" w:line="287" w:lineRule="auto"/>
        <w:rPr>
          <w:sz w:val="20"/>
          <w:szCs w:val="20"/>
          <w:color w:val="auto"/>
        </w:rPr>
      </w:pPr>
      <w:r>
        <w:rPr>
          <w:rFonts w:ascii="Arial" w:cs="Arial" w:eastAsia="Arial" w:hAnsi="Arial"/>
          <w:sz w:val="21"/>
          <w:szCs w:val="21"/>
          <w:color w:val="auto"/>
        </w:rPr>
        <w:t>on behalf of the Company, has been engaged or is actively preparing to be engaged in any of the activities described in the definition of “Competitive Business” set forth above during the twelve (12) months preceding the date of termination.</w:t>
      </w:r>
    </w:p>
    <w:p>
      <w:pPr>
        <w:spacing w:after="0" w:line="192" w:lineRule="exact"/>
        <w:rPr>
          <w:sz w:val="20"/>
          <w:szCs w:val="20"/>
          <w:color w:val="auto"/>
        </w:rPr>
      </w:pPr>
    </w:p>
    <w:p>
      <w:pPr>
        <w:jc w:val="both"/>
        <w:ind w:firstLine="1305"/>
        <w:spacing w:after="0" w:line="284" w:lineRule="auto"/>
        <w:tabs>
          <w:tab w:leader="none" w:pos="191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The Executive acknowledges that in the course of performing services for the Company and its affiliates, Executive may create (alone or with others), learn of, have access to, and/or receive Confidential Information, and the Company hereby agrees to provide the Executive with Confidential Information in the course of the Executive’s performance of services for the Company and its affiliates. The Executive recognizes that all such Confidential Information is the sole and exclusive property of the Company and its affiliates or of third parties to which the Company or an affiliate owes a duty of confidentiality, that it is the Company’s policy to safeguard and keep confidential all such Confidential Information, and that disclosure of Confidential Information to an unauthorized third party would cause irreparable damage to the Company and its affiliates. Executive agrees that, during employment with the Company or an affiliate (including prior to the Effective Date), except as required by the duties of Executive’s employment with the Company or any of its affiliates, Executive will not, without the written consent of the Company, willfully disseminate or otherwise disclose, directly or indirectly, any Confidential Information disclosed to Executive or otherwise obtained by Executive during his or her employment with the Company or its affiliates, and will take all necessary precautions to prevent disclosure, to any unauthorized individual or entity (whether or not such individual or entity is employed or engaged by, or is otherwise affiliated with, the Company or any affiliate), and will use the Confidential Information solely for the benefit of the Company and its affiliates and will not use the Confidential Information for the benefit of any other person nor permit its use for the benefit of Executive. These obligations shall continue during and after the termination of Executive’s employment for any reason and for so long as the Confidential Information remains Confidential Information. Anything herein to the contrary notwithstanding, Executive shall not be restricted from: (i) disclosing information that is required to be disclosed by law, court order or other valid and appropriate legal process;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such disclosure is required by law, Executive shall provide the Company with prompt notice of such requirement so that the Company may seek an appropriate protective order prior to any such required disclosure by Executive; (ii) reporting possible violations of federal, state, or local law or regulation to any governmental agency or entity, or from making other disclosures that are protected under the whistleblower provisions of federal, state, or local law or regulation, and Executive shall not need the prior authorization of the Company to make any such reports or disclosures and shall not be required to notify the Company that he or she has made such reports or disclosures; (iii) disclosing a trade secret (as defined by 18 U.S.C. § 1839) in confidence to a federal, state, or local government official, either directly or indirectly, or to an attorney, in either event solely for the purpose of reporting or investigating a suspected violation of law; or (iv) disclosing a trade secret (as defined by 18 U.S.C. § 1839) in a complaint or other document filed in a lawsuit or other proceeding, if such filing is made under seal.</w:t>
      </w:r>
    </w:p>
    <w:p>
      <w:pPr>
        <w:spacing w:after="0" w:line="200" w:lineRule="exact"/>
        <w:rPr>
          <w:rFonts w:ascii="Arial" w:cs="Arial" w:eastAsia="Arial" w:hAnsi="Arial"/>
          <w:sz w:val="19"/>
          <w:szCs w:val="19"/>
          <w:color w:val="auto"/>
        </w:rPr>
      </w:pPr>
    </w:p>
    <w:p>
      <w:pPr>
        <w:spacing w:after="0" w:line="262" w:lineRule="exact"/>
        <w:rPr>
          <w:rFonts w:ascii="Arial" w:cs="Arial" w:eastAsia="Arial" w:hAnsi="Arial"/>
          <w:sz w:val="19"/>
          <w:szCs w:val="19"/>
          <w:color w:val="auto"/>
        </w:rPr>
      </w:pPr>
    </w:p>
    <w:p>
      <w:pPr>
        <w:jc w:val="both"/>
        <w:ind w:firstLine="1305"/>
        <w:spacing w:after="0" w:line="312" w:lineRule="auto"/>
        <w:tabs>
          <w:tab w:leader="none" w:pos="176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If during the Employment Period the Executive’s employment is terminated at a time and in a manner which would entitle the Executive to receive the payment set forth under Section 6(a)(i) of this Agreement and Executive accepts and receives such payment under Section 6(a)(i), then for a period ending on the first anniversary of the date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4" w:name="page185"/>
    <w:bookmarkEnd w:id="184"/>
    <w:p>
      <w:pPr>
        <w:ind w:right="20"/>
        <w:spacing w:after="0" w:line="343" w:lineRule="auto"/>
        <w:rPr>
          <w:sz w:val="20"/>
          <w:szCs w:val="20"/>
          <w:color w:val="auto"/>
        </w:rPr>
      </w:pPr>
      <w:r>
        <w:rPr>
          <w:rFonts w:ascii="Arial" w:cs="Arial" w:eastAsia="Arial" w:hAnsi="Arial"/>
          <w:sz w:val="19"/>
          <w:szCs w:val="19"/>
          <w:color w:val="auto"/>
        </w:rPr>
        <w:t>receipt of such payment, but in no event a period that exceeds fourteen months from the date of termination, Executive agrees that without the written consent of the Company, Executive shall not, directly or indirectly, within the Restricted Territory:</w:t>
      </w:r>
    </w:p>
    <w:p>
      <w:pPr>
        <w:spacing w:after="0" w:line="145" w:lineRule="exact"/>
        <w:rPr>
          <w:sz w:val="20"/>
          <w:szCs w:val="20"/>
          <w:color w:val="auto"/>
        </w:rPr>
      </w:pPr>
    </w:p>
    <w:p>
      <w:pPr>
        <w:jc w:val="both"/>
        <w:ind w:firstLine="1953"/>
        <w:spacing w:after="0" w:line="288" w:lineRule="auto"/>
        <w:tabs>
          <w:tab w:leader="none" w:pos="2373" w:val="left"/>
        </w:tabs>
        <w:numPr>
          <w:ilvl w:val="2"/>
          <w:numId w:val="107"/>
        </w:numPr>
        <w:rPr>
          <w:rFonts w:ascii="Arial" w:cs="Arial" w:eastAsia="Arial" w:hAnsi="Arial"/>
          <w:sz w:val="19"/>
          <w:szCs w:val="19"/>
          <w:color w:val="auto"/>
        </w:rPr>
      </w:pPr>
      <w:r>
        <w:rPr>
          <w:rFonts w:ascii="Arial" w:cs="Arial" w:eastAsia="Arial" w:hAnsi="Arial"/>
          <w:sz w:val="19"/>
          <w:szCs w:val="19"/>
          <w:color w:val="auto"/>
        </w:rPr>
        <w:t>engage or participate in, become employed by, serve as a director of, or render advisory or consulting or other services in connection with, any Competitive Business; provided, however, that after Executive’s termination, this Section 11(c) shall not preclude Executive from (A) being an employee of, or consultant to, any business unit of a Competitive Business if</w:t>
      </w:r>
    </w:p>
    <w:p>
      <w:pPr>
        <w:spacing w:after="0" w:line="1" w:lineRule="exact"/>
        <w:rPr>
          <w:rFonts w:ascii="Arial" w:cs="Arial" w:eastAsia="Arial" w:hAnsi="Arial"/>
          <w:sz w:val="19"/>
          <w:szCs w:val="19"/>
          <w:color w:val="auto"/>
        </w:rPr>
      </w:pPr>
    </w:p>
    <w:p>
      <w:pPr>
        <w:jc w:val="both"/>
        <w:ind w:firstLine="8"/>
        <w:spacing w:after="0" w:line="244" w:lineRule="auto"/>
        <w:tabs>
          <w:tab w:leader="none" w:pos="32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such business unit does not qualify as a Competitive Business in its own right and (2) Executive does not have any direct or indirect involvement in, or responsibility for, any operations of such Competitive Business that cause it to qualify as a Competitive Business, or (B) with the approval of the Company, being a consultant to, an advisor to, a director of, or an employee of a Competitive Business; or</w:t>
      </w:r>
    </w:p>
    <w:p>
      <w:pPr>
        <w:spacing w:after="0" w:line="236" w:lineRule="exact"/>
        <w:rPr>
          <w:rFonts w:ascii="Arial" w:cs="Arial" w:eastAsia="Arial" w:hAnsi="Arial"/>
          <w:sz w:val="22"/>
          <w:szCs w:val="22"/>
          <w:color w:val="auto"/>
        </w:rPr>
      </w:pPr>
    </w:p>
    <w:p>
      <w:pPr>
        <w:jc w:val="both"/>
        <w:ind w:firstLine="1953"/>
        <w:spacing w:after="0" w:line="246" w:lineRule="auto"/>
        <w:tabs>
          <w:tab w:leader="none" w:pos="2462" w:val="left"/>
        </w:tabs>
        <w:numPr>
          <w:ilvl w:val="2"/>
          <w:numId w:val="108"/>
        </w:numPr>
        <w:rPr>
          <w:rFonts w:ascii="Arial" w:cs="Arial" w:eastAsia="Arial" w:hAnsi="Arial"/>
          <w:sz w:val="22"/>
          <w:szCs w:val="22"/>
          <w:color w:val="auto"/>
        </w:rPr>
      </w:pPr>
      <w:r>
        <w:rPr>
          <w:rFonts w:ascii="Arial" w:cs="Arial" w:eastAsia="Arial" w:hAnsi="Arial"/>
          <w:sz w:val="22"/>
          <w:szCs w:val="22"/>
          <w:color w:val="auto"/>
        </w:rPr>
        <w:t>make or retain any financial investment, whether in the form of equity or debt, or own any interest, in any Competitive Business; provided, however, that nothing in this subsection (ii) shall, however, restrict Executive from making an investment in any Competitive Business if such investment does not (A) represent more than 1% of the aggregate market value of the outstanding capital stock or debt (as applicable) of such Competitive Business, (B) give Executive any right or ability, directly or indirectly, to control or influence the policy decisions or management of such Competitive Business, or (C) create a conflict of interest between Executive’s duties to the Company and its affiliates or under this Agreement and his or her interest in such investment.</w:t>
      </w:r>
    </w:p>
    <w:p>
      <w:pPr>
        <w:spacing w:after="0" w:line="237" w:lineRule="exact"/>
        <w:rPr>
          <w:rFonts w:ascii="Arial" w:cs="Arial" w:eastAsia="Arial" w:hAnsi="Arial"/>
          <w:sz w:val="22"/>
          <w:szCs w:val="22"/>
          <w:color w:val="auto"/>
        </w:rPr>
      </w:pPr>
    </w:p>
    <w:p>
      <w:pPr>
        <w:jc w:val="both"/>
        <w:ind w:firstLine="1305"/>
        <w:spacing w:after="0" w:line="271" w:lineRule="auto"/>
        <w:tabs>
          <w:tab w:leader="none" w:pos="1778"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employment with the Company or an affiliate (including prior to the Effective Date), and for a period ending on the first anniversary of the date of the termination of Executive’s employment, regardless of the reason for Executive’s termination of employment, Executive shall not, within the Restricted Territory:</w:t>
      </w:r>
    </w:p>
    <w:p>
      <w:pPr>
        <w:spacing w:after="0" w:line="208" w:lineRule="exact"/>
        <w:rPr>
          <w:rFonts w:ascii="Arial" w:cs="Arial" w:eastAsia="Arial" w:hAnsi="Arial"/>
          <w:sz w:val="21"/>
          <w:szCs w:val="21"/>
          <w:color w:val="auto"/>
        </w:rPr>
      </w:pPr>
    </w:p>
    <w:p>
      <w:pPr>
        <w:jc w:val="both"/>
        <w:ind w:firstLine="1953"/>
        <w:spacing w:after="0" w:line="312" w:lineRule="auto"/>
        <w:tabs>
          <w:tab w:leader="none" w:pos="2455" w:val="left"/>
        </w:tabs>
        <w:numPr>
          <w:ilvl w:val="2"/>
          <w:numId w:val="109"/>
        </w:numPr>
        <w:rPr>
          <w:rFonts w:ascii="Arial" w:cs="Arial" w:eastAsia="Arial" w:hAnsi="Arial"/>
          <w:sz w:val="19"/>
          <w:szCs w:val="19"/>
          <w:color w:val="auto"/>
        </w:rPr>
      </w:pPr>
      <w:r>
        <w:rPr>
          <w:rFonts w:ascii="Arial" w:cs="Arial" w:eastAsia="Arial" w:hAnsi="Arial"/>
          <w:sz w:val="19"/>
          <w:szCs w:val="19"/>
          <w:color w:val="auto"/>
        </w:rPr>
        <w:t>other than in connection with the good-faith performance of his or her duties as an employee of the Company or its affiliates, directly or indirectly cause or attempt to cause any employee, director or independent contractor of the Company or an affiliate to terminate his or her relationship or engagement with the Company or an affiliate;</w:t>
      </w:r>
    </w:p>
    <w:p>
      <w:pPr>
        <w:spacing w:after="0" w:line="174" w:lineRule="exact"/>
        <w:rPr>
          <w:sz w:val="20"/>
          <w:szCs w:val="20"/>
          <w:color w:val="auto"/>
        </w:rPr>
      </w:pPr>
    </w:p>
    <w:p>
      <w:pPr>
        <w:jc w:val="both"/>
        <w:ind w:firstLine="1953"/>
        <w:spacing w:after="0" w:line="253" w:lineRule="auto"/>
        <w:tabs>
          <w:tab w:leader="none" w:pos="261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directly or indirectly solicit or recruit or attempt to solicit or recruit any employee, director or independent contractor of the Company or an affiliate to enter into employment or any other kind of business relationship with any person other than the Company or an affiliate;</w:t>
      </w:r>
    </w:p>
    <w:p>
      <w:pPr>
        <w:spacing w:after="0" w:line="226" w:lineRule="exact"/>
        <w:rPr>
          <w:rFonts w:ascii="Arial" w:cs="Arial" w:eastAsia="Arial" w:hAnsi="Arial"/>
          <w:sz w:val="22"/>
          <w:szCs w:val="22"/>
          <w:color w:val="auto"/>
        </w:rPr>
      </w:pPr>
    </w:p>
    <w:p>
      <w:pPr>
        <w:jc w:val="both"/>
        <w:ind w:firstLine="1953"/>
        <w:spacing w:after="0" w:line="250" w:lineRule="auto"/>
        <w:tabs>
          <w:tab w:leader="none" w:pos="24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directly solicit any of the Company’s or an affiliate’s Established Customers for the sale of products or services that the Company or such affiliate provides to such Established Customer or planned to market to such Established Customer as of the time of the conduct or issue in question (if the Executive is still employed by the Company) or on the date of termination (if the Executive is no longer employed by the Company); 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5" w:name="page186"/>
    <w:bookmarkEnd w:id="185"/>
    <w:p>
      <w:pPr>
        <w:jc w:val="both"/>
        <w:ind w:firstLine="1953"/>
        <w:spacing w:after="0" w:line="253" w:lineRule="auto"/>
        <w:tabs>
          <w:tab w:leader="none" w:pos="247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interfere with the relationship of the Company or an affiliate with any person who or which at any time during the period commencing one year prior to the date of termination was or is, to Executive’s knowledge, a material supplier or material vendor of the Company or an affiliate.</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87" w:lineRule="auto"/>
        <w:tabs>
          <w:tab w:leader="none" w:pos="2515" w:val="left"/>
        </w:tabs>
        <w:numPr>
          <w:ilvl w:val="1"/>
          <w:numId w:val="112"/>
        </w:numPr>
        <w:rPr>
          <w:rFonts w:ascii="Arial" w:cs="Arial" w:eastAsia="Arial" w:hAnsi="Arial"/>
          <w:sz w:val="19"/>
          <w:szCs w:val="19"/>
          <w:color w:val="auto"/>
        </w:rPr>
      </w:pPr>
      <w:r>
        <w:rPr>
          <w:rFonts w:ascii="Arial" w:cs="Arial" w:eastAsia="Arial" w:hAnsi="Arial"/>
          <w:sz w:val="19"/>
          <w:szCs w:val="19"/>
          <w:color w:val="auto"/>
        </w:rPr>
        <w:t>During employment with the Company or an affiliate (including prior to the Effective Date), and thereafter upon the Company’s request, regardless of the reason for Executive’s termination of employment, Executive shall disclose immediately to the Company all Work Product that: (A) relates to the business of the Company or an affiliate or any customer or supplier to the Company or an affiliate or any of the products or services being developed, manufactured, sold or otherwise provided by the Company or an affiliate or that may be used in relation therewith; or (B) results from tasks or projects assigned to Executive by the Company or an affiliate; or (C) results from the use of the premises or personal property (whether tangible or intangible) owned, leased or contracted for by the Company or an affiliate. Executive agrees that any Work Product shall be the property of the Company and, if subject to copyright, shall be considered a “work made for hire” within the meaning of the Copyright Act of 1976, as amended. If and to the extent that any such Work Product is not a “work made for hire” within the meaning of the Copyright Act of 1976, as amended, Executive hereby assigns, and agrees to assign, to the Company all right, title and interest in and to the Work Product and all copies thereof, and all copyrights, patent rights, trademark rights, trade secret rights and all other proprietary and intellectual property rights in the Work Product, without further consideration, free from any claim, lien for balance due, or rights of retention thereto on the part of Executive.</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953"/>
        <w:spacing w:after="0" w:line="294" w:lineRule="auto"/>
        <w:tabs>
          <w:tab w:leader="none" w:pos="2673" w:val="left"/>
        </w:tabs>
        <w:numPr>
          <w:ilvl w:val="1"/>
          <w:numId w:val="112"/>
        </w:numPr>
        <w:rPr>
          <w:rFonts w:ascii="Arial" w:cs="Arial" w:eastAsia="Arial" w:hAnsi="Arial"/>
          <w:sz w:val="19"/>
          <w:szCs w:val="19"/>
          <w:color w:val="auto"/>
        </w:rPr>
      </w:pPr>
      <w:r>
        <w:rPr>
          <w:rFonts w:ascii="Arial" w:cs="Arial" w:eastAsia="Arial" w:hAnsi="Arial"/>
          <w:sz w:val="19"/>
          <w:szCs w:val="19"/>
          <w:color w:val="auto"/>
        </w:rPr>
        <w:t>Notwithstanding the foregoing, the Company agrees and acknowledges that the provisions of Section 11(e) relating to ownership and disclosure of Work Product do not apply to any inventions or other subject matter for which no equipment, supplies, facility, or trade secret information of the Company or an affiliate was used and that are developed entirely on Executive’s own time, unless: (A) the invention or other subject matter relates (1) to the business of the Company or an affiliate, or (2) to the actual or demonstrably anticipated research or development of the Company or an affiliate, or (B) the invention or other subject matter results from any work performed by Executive for the Company or an affiliate.</w:t>
      </w:r>
    </w:p>
    <w:p>
      <w:pPr>
        <w:spacing w:after="0" w:line="190" w:lineRule="exact"/>
        <w:rPr>
          <w:rFonts w:ascii="Arial" w:cs="Arial" w:eastAsia="Arial" w:hAnsi="Arial"/>
          <w:sz w:val="19"/>
          <w:szCs w:val="19"/>
          <w:color w:val="auto"/>
        </w:rPr>
      </w:pPr>
    </w:p>
    <w:p>
      <w:pPr>
        <w:jc w:val="both"/>
        <w:ind w:firstLine="1953"/>
        <w:spacing w:after="0" w:line="259" w:lineRule="auto"/>
        <w:tabs>
          <w:tab w:leader="none" w:pos="2510" w:val="left"/>
        </w:tabs>
        <w:numPr>
          <w:ilvl w:val="1"/>
          <w:numId w:val="112"/>
        </w:numPr>
        <w:rPr>
          <w:rFonts w:ascii="Arial" w:cs="Arial" w:eastAsia="Arial" w:hAnsi="Arial"/>
          <w:sz w:val="21"/>
          <w:szCs w:val="21"/>
          <w:color w:val="auto"/>
        </w:rPr>
      </w:pPr>
      <w:r>
        <w:rPr>
          <w:rFonts w:ascii="Arial" w:cs="Arial" w:eastAsia="Arial" w:hAnsi="Arial"/>
          <w:sz w:val="21"/>
          <w:szCs w:val="21"/>
          <w:color w:val="auto"/>
        </w:rPr>
        <w:t>Executive agrees that, upon disclosure of Work Product to the Company, Executive will, during his or her employment by the Company or an affiliate and at any time thereafter, at the request and cost of the Company, execute all such documents and perform all such acts as the Company or an affiliate (or their respective duly authorized agents) may reasonably require: (A) to apply for, obtain and vest in the name of the Company alone (unless the Company otherwise directs) letters patent, copyrights or other intellectual property protection in any country throughout the world, and when so obtained or vested to renew and restore the same; and (B) to prosecute or defend any opposition proceedings in respect of such applications and any opposition proceedings or petitions or applications for revocation of such letters patent, copyright or other intellectual property protection, or otherwise in respect of the Work Product.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6" w:name="page187"/>
    <w:bookmarkEnd w:id="186"/>
    <w:p>
      <w:pPr>
        <w:jc w:val="both"/>
        <w:ind w:firstLine="1953"/>
        <w:spacing w:after="0" w:line="294" w:lineRule="auto"/>
        <w:tabs>
          <w:tab w:leader="none" w:pos="2558" w:val="left"/>
        </w:tabs>
        <w:numPr>
          <w:ilvl w:val="1"/>
          <w:numId w:val="113"/>
        </w:numPr>
        <w:rPr>
          <w:rFonts w:ascii="Arial" w:cs="Arial" w:eastAsia="Arial" w:hAnsi="Arial"/>
          <w:sz w:val="19"/>
          <w:szCs w:val="19"/>
          <w:color w:val="auto"/>
        </w:rPr>
      </w:pPr>
      <w:r>
        <w:rPr>
          <w:rFonts w:ascii="Arial" w:cs="Arial" w:eastAsia="Arial" w:hAnsi="Arial"/>
          <w:sz w:val="19"/>
          <w:szCs w:val="19"/>
          <w:color w:val="auto"/>
        </w:rPr>
        <w:t>In the event that the Company is unable, after reasonable effort, to secure Executive’s execution of such documents as provided in Section 11(e), whether because of Executive’s physical or mental incapacity or for any other reason whatsoever, Executive hereby irrevocably designates and appoints the Company and its duly authorized officers and agents as his or her agent and attorney-in-fact, to act for and on his or her behalf to execute and file any such application or applications and to do all other lawfully permitted acts to further the prosecution, issuance and protection of letters patent, copyright and other intellectual property protection with the same legal force and effect as if personally executed by Executive.</w:t>
      </w:r>
    </w:p>
    <w:p>
      <w:pPr>
        <w:spacing w:after="0" w:line="190" w:lineRule="exact"/>
        <w:rPr>
          <w:rFonts w:ascii="Arial" w:cs="Arial" w:eastAsia="Arial" w:hAnsi="Arial"/>
          <w:sz w:val="19"/>
          <w:szCs w:val="19"/>
          <w:color w:val="auto"/>
        </w:rPr>
      </w:pPr>
    </w:p>
    <w:p>
      <w:pPr>
        <w:ind w:left="1740" w:hanging="435"/>
        <w:spacing w:after="0"/>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59" w:lineRule="auto"/>
        <w:tabs>
          <w:tab w:leader="none" w:pos="2578" w:val="left"/>
        </w:tabs>
        <w:numPr>
          <w:ilvl w:val="1"/>
          <w:numId w:val="114"/>
        </w:numPr>
        <w:rPr>
          <w:rFonts w:ascii="Arial" w:cs="Arial" w:eastAsia="Arial" w:hAnsi="Arial"/>
          <w:sz w:val="21"/>
          <w:szCs w:val="21"/>
          <w:color w:val="auto"/>
        </w:rPr>
      </w:pPr>
      <w:r>
        <w:rPr>
          <w:rFonts w:ascii="Arial" w:cs="Arial" w:eastAsia="Arial" w:hAnsi="Arial"/>
          <w:sz w:val="21"/>
          <w:szCs w:val="21"/>
          <w:color w:val="auto"/>
        </w:rPr>
        <w:t>Executive agrees not to make, or cause to be made, any statement, observation or opinion, or communicate any information (whether oral or written, directly or indirectly) that (A) accuses or implies that the Company and/or any of its affiliates, together with their respective present or former officers, directors, partners, stockholders, employees and agents, and each of their predecessors, successors and assigns, engaged in any wrongful, unlawful or improper conduct, whether relating to Executive’s employment (or the termination thereof), the business or operations of the Company and/or any of its affiliates, or otherwise; or (B) disparages, impugns or in any way reflects adversely upon the business or reputation of the Company and/or any of its affiliates, together with their respective present or former officers, directors, partners, stockholders, employees and agents, and each of their predecessors, successors and assigns.</w:t>
      </w:r>
    </w:p>
    <w:p>
      <w:pPr>
        <w:spacing w:after="0" w:line="224" w:lineRule="exact"/>
        <w:rPr>
          <w:rFonts w:ascii="Arial" w:cs="Arial" w:eastAsia="Arial" w:hAnsi="Arial"/>
          <w:sz w:val="21"/>
          <w:szCs w:val="21"/>
          <w:color w:val="auto"/>
        </w:rPr>
      </w:pPr>
    </w:p>
    <w:p>
      <w:pPr>
        <w:jc w:val="both"/>
        <w:ind w:firstLine="1953"/>
        <w:spacing w:after="0" w:line="294" w:lineRule="auto"/>
        <w:tabs>
          <w:tab w:leader="none" w:pos="244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The Company agrees that, after the Effective Date, the Company and its employees holding the title of Senior Vice President or above and the members of the Board as of the date of this Agreement (during their employment with the Company or an affiliate or service as a director of the Company or an affiliate) will not make any statement, observation or opinion, or communicate any information (whether oral or written, direct or indirect) that (A) accuses or implies that Executive engaged in any wrongful, unlawful or improper conduct relating to Executive’s employment or termination thereof with the Company or an affiliate, or otherwise; or (B) disparages, impugns or in any way reflects adversely upon the reputation of Executive.</w:t>
      </w:r>
    </w:p>
    <w:p>
      <w:pPr>
        <w:spacing w:after="0" w:line="190" w:lineRule="exact"/>
        <w:rPr>
          <w:rFonts w:ascii="Arial" w:cs="Arial" w:eastAsia="Arial" w:hAnsi="Arial"/>
          <w:sz w:val="19"/>
          <w:szCs w:val="19"/>
          <w:color w:val="auto"/>
        </w:rPr>
      </w:pPr>
    </w:p>
    <w:p>
      <w:pPr>
        <w:jc w:val="both"/>
        <w:ind w:firstLine="1953"/>
        <w:spacing w:after="0" w:line="250" w:lineRule="auto"/>
        <w:tabs>
          <w:tab w:leader="none" w:pos="249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nothing herein shall be deemed to preclude Executive, the Company, or the Company’s affiliates, employees or directors from providing truthful testimony or information pursuant to subpoena, court order, valid request by a government agency, other similar legal or regulatory process, or as otherwise required by law.</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Restrictive Covenants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65" w:lineRule="auto"/>
        <w:tabs>
          <w:tab w:leader="none" w:pos="2404" w:val="left"/>
        </w:tabs>
        <w:numPr>
          <w:ilvl w:val="1"/>
          <w:numId w:val="114"/>
        </w:numPr>
        <w:rPr>
          <w:rFonts w:ascii="Arial" w:cs="Arial" w:eastAsia="Arial" w:hAnsi="Arial"/>
          <w:sz w:val="21"/>
          <w:szCs w:val="21"/>
          <w:color w:val="auto"/>
        </w:rPr>
      </w:pPr>
      <w:r>
        <w:rPr>
          <w:rFonts w:ascii="Arial" w:cs="Arial" w:eastAsia="Arial" w:hAnsi="Arial"/>
          <w:sz w:val="21"/>
          <w:szCs w:val="21"/>
          <w:color w:val="auto"/>
        </w:rPr>
        <w:t>Executive acknowledges that the covenants contained in this Agreement are reasonable in the scope of the activities restricted, the geographic area covered by the restrictions, and the duration of the restrictions, and that such covenants are reasonably necessary to protect the Company’s legitimate interests in its Confidential Information, its proprietary work, and in its relationships with its employees, customers, suppliers and agents.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7" w:name="page188"/>
    <w:bookmarkEnd w:id="187"/>
    <w:p>
      <w:pPr>
        <w:jc w:val="both"/>
        <w:ind w:firstLine="1953"/>
        <w:spacing w:after="0" w:line="250" w:lineRule="auto"/>
        <w:tabs>
          <w:tab w:leader="none" w:pos="2438"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The Company has, and Executive has had an opportunity to, consult with their respective legal counsel and to be advised concerning the reasonableness and propriety of such covenants. Executive acknowledges that his or her observance of the covenants contained herein will not deprive Executive of the ability to earn a livelihood or to support his or her dependents.</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Right to Injunction; Survival of Undertakings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89" w:lineRule="auto"/>
        <w:tabs>
          <w:tab w:leader="none" w:pos="249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In recognition of the confidential nature of the Confidential Information, and in recognition of the necessity of the limited restrictions imposed by this Agreement, Executive and the Company agree that it would be impossible to measure solely in money the damages which the Company would suffer if Executive were to breach any of his or her obligations hereunder. Executive acknowledges that any breach of any provision of this Agreement would irreparably injure the Company. Accordingly, Executive agrees that if he or she breaches any of the provisions of this Agreement, the Company shall be entitled, in addition to any other remedies to which the Company may be entitled under this Agreement or otherwise, to an injunction to be issued by a court of competent jurisdiction or arbitrator, to restrain any breach, or threatened breach, of any provision of this Agreement without the necessity of posting a bond or other security therefor, and Executive hereby waives any right to assert any claim or defense that the Company has an adequate remedy at law for any such breach.</w:t>
      </w:r>
    </w:p>
    <w:p>
      <w:pPr>
        <w:spacing w:after="0" w:line="198" w:lineRule="exact"/>
        <w:rPr>
          <w:sz w:val="20"/>
          <w:szCs w:val="20"/>
          <w:color w:val="auto"/>
        </w:rPr>
      </w:pPr>
    </w:p>
    <w:p>
      <w:pPr>
        <w:jc w:val="both"/>
        <w:ind w:firstLine="1953"/>
        <w:spacing w:after="0" w:line="250" w:lineRule="auto"/>
        <w:tabs>
          <w:tab w:leader="none" w:pos="246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a court of competent jurisdiction or arbitrator determines that any covenant included in this Section 11 is unenforceable in whole or in part because of such covenant’s duration or geographical or other scope, such court or arbitrator shall have the power to modify the duration or scope of such provision, as the case may be, so as to cause such covenant as so modified to be enforceable.</w:t>
      </w:r>
    </w:p>
    <w:p>
      <w:pPr>
        <w:spacing w:after="0" w:line="228" w:lineRule="exact"/>
        <w:rPr>
          <w:rFonts w:ascii="Arial" w:cs="Arial" w:eastAsia="Arial" w:hAnsi="Arial"/>
          <w:sz w:val="22"/>
          <w:szCs w:val="22"/>
          <w:color w:val="auto"/>
        </w:rPr>
      </w:pPr>
    </w:p>
    <w:p>
      <w:pPr>
        <w:jc w:val="both"/>
        <w:ind w:firstLine="1953"/>
        <w:spacing w:after="0" w:line="250" w:lineRule="auto"/>
        <w:tabs>
          <w:tab w:leader="none" w:pos="2515" w:val="left"/>
        </w:tabs>
        <w:numPr>
          <w:ilvl w:val="1"/>
          <w:numId w:val="117"/>
        </w:numPr>
        <w:rPr>
          <w:rFonts w:ascii="Arial" w:cs="Arial" w:eastAsia="Arial" w:hAnsi="Arial"/>
          <w:sz w:val="22"/>
          <w:szCs w:val="22"/>
          <w:color w:val="auto"/>
        </w:rPr>
      </w:pPr>
      <w:r>
        <w:rPr>
          <w:rFonts w:ascii="Arial" w:cs="Arial" w:eastAsia="Arial" w:hAnsi="Arial"/>
          <w:sz w:val="22"/>
          <w:szCs w:val="22"/>
          <w:color w:val="auto"/>
        </w:rPr>
        <w:t>Executive’s obligations under this Section 11 and any provisions necessary to interpret or enforce this Section 11 shall be in effect regardless of whether the Employment Period ever begins, and shall survive the expiration of the Employment Period (if any) and any termination of the Agreement Term and/or Executive’s employment with the Company or an affiliate, without regard to the reasons for such termination.</w:t>
      </w:r>
    </w:p>
    <w:p>
      <w:pPr>
        <w:spacing w:after="0" w:line="228" w:lineRule="exact"/>
        <w:rPr>
          <w:rFonts w:ascii="Arial" w:cs="Arial" w:eastAsia="Arial" w:hAnsi="Arial"/>
          <w:sz w:val="22"/>
          <w:szCs w:val="22"/>
          <w:color w:val="auto"/>
        </w:rPr>
      </w:pPr>
    </w:p>
    <w:p>
      <w:pPr>
        <w:jc w:val="both"/>
        <w:ind w:firstLine="1305"/>
        <w:spacing w:after="0" w:line="288" w:lineRule="auto"/>
        <w:tabs>
          <w:tab w:leader="none" w:pos="1825"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Violation of Covenants</w:t>
      </w:r>
      <w:r>
        <w:rPr>
          <w:rFonts w:ascii="Arial" w:cs="Arial" w:eastAsia="Arial" w:hAnsi="Arial"/>
          <w:sz w:val="19"/>
          <w:szCs w:val="19"/>
          <w:color w:val="auto"/>
        </w:rPr>
        <w:t>. If a determination is made that Executive has breached any non-competition, non-solicitation, non-disparagement, confidential information or intellectual property covenant entered into at any time between Executive (on the one hand) and the Company or any affiliate (on the other hand), including any of the restrictive covenants in this Section 11, (A) the Company shall have no obligation to pay or provide any severance or benefits under Section 6, (B) all of Executive’s outstanding equity incentive awards (including any unexercised stock options or unvested restricted stock or restricted stock units) shall terminate and be forfeited as of the date of the breach, (C) Executive shall reimburse the Company for any amount already paid under Section 6, and (D) Executive shall repay to the Company an amount equal to the aggregate “spread” (as defined below) on all stock options exercised during the period beginning one year prior to the earlier of the date of termination or the first date on which Executive breached any such covenant (“Breach Date”) and ending on the later of the date of termination or the Breach Date (the “Recoupment Period”). For purposes of the preceding sentence, any determination that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8" w:name="page189"/>
    <w:bookmarkEnd w:id="188"/>
    <w:p>
      <w:pPr>
        <w:jc w:val="both"/>
        <w:spacing w:after="0" w:line="246" w:lineRule="auto"/>
        <w:rPr>
          <w:sz w:val="20"/>
          <w:szCs w:val="20"/>
          <w:color w:val="auto"/>
        </w:rPr>
      </w:pPr>
      <w:r>
        <w:rPr>
          <w:rFonts w:ascii="Arial" w:cs="Arial" w:eastAsia="Arial" w:hAnsi="Arial"/>
          <w:sz w:val="22"/>
          <w:szCs w:val="22"/>
          <w:color w:val="auto"/>
        </w:rPr>
        <w:t>Executive has breached any restrictive covenants shall be made, prior to the Effective Date, by the Company in good faith, and following the Effective Date, by a court of competent jurisdiction or arbitrator. For purposes of this Section 11(i), “spread” in respect of any stock option shall mean the product of the number of shares as to which such stock option has been exercised during Recoupment Period, multiplied by the difference between the closing price of the common stock on the exercise date (or if the common stock did not trade on the New York Stock Exchange or other exchange, if any, on which common stock had a higher trading volume at the time, on the exercise date, the most recent date on which the common stock did so trade) and the exercise price of the stock options.</w:t>
      </w:r>
    </w:p>
    <w:p>
      <w:pPr>
        <w:spacing w:after="0" w:line="238" w:lineRule="exact"/>
        <w:rPr>
          <w:sz w:val="20"/>
          <w:szCs w:val="20"/>
          <w:color w:val="auto"/>
        </w:rPr>
      </w:pPr>
    </w:p>
    <w:p>
      <w:pPr>
        <w:jc w:val="both"/>
        <w:ind w:firstLine="1305"/>
        <w:spacing w:after="0" w:line="250" w:lineRule="auto"/>
        <w:tabs>
          <w:tab w:leader="none" w:pos="1757"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Attorneys’ Fees and Costs</w:t>
      </w:r>
      <w:r>
        <w:rPr>
          <w:rFonts w:ascii="Arial" w:cs="Arial" w:eastAsia="Arial" w:hAnsi="Arial"/>
          <w:sz w:val="22"/>
          <w:szCs w:val="22"/>
          <w:color w:val="auto"/>
        </w:rPr>
        <w:t>. If the parties become involved in legal action regarding the enforcement of any of the provisions of this Section 11, the prevailing party in such legal action will be entitled, in addition to any other remedy, to recover from the non-prevailing party its or his/her reasonable costs and attorneys’ fees incurred in connection with such legal action.</w:t>
      </w:r>
    </w:p>
    <w:p>
      <w:pPr>
        <w:spacing w:after="0" w:line="222" w:lineRule="exact"/>
        <w:rPr>
          <w:rFonts w:ascii="Arial" w:cs="Arial" w:eastAsia="Arial" w:hAnsi="Arial"/>
          <w:sz w:val="22"/>
          <w:szCs w:val="22"/>
          <w:color w:val="auto"/>
        </w:rPr>
      </w:pPr>
    </w:p>
    <w:p>
      <w:pPr>
        <w:ind w:left="1380" w:hanging="494"/>
        <w:spacing w:after="0"/>
        <w:tabs>
          <w:tab w:leader="none" w:pos="138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b w:val="1"/>
          <w:bCs w:val="1"/>
          <w:u w:val="single" w:color="auto"/>
          <w:color w:val="auto"/>
        </w:rPr>
        <w:t>.</w:t>
      </w:r>
    </w:p>
    <w:p>
      <w:pPr>
        <w:spacing w:after="0" w:line="266" w:lineRule="exact"/>
        <w:rPr>
          <w:rFonts w:ascii="Arial" w:cs="Arial" w:eastAsia="Arial" w:hAnsi="Arial"/>
          <w:sz w:val="22"/>
          <w:szCs w:val="22"/>
          <w:color w:val="auto"/>
        </w:rPr>
      </w:pPr>
    </w:p>
    <w:p>
      <w:pPr>
        <w:jc w:val="both"/>
        <w:ind w:firstLine="1305"/>
        <w:spacing w:after="0" w:line="287" w:lineRule="auto"/>
        <w:tabs>
          <w:tab w:leader="none" w:pos="176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Company and Executive agree that any claim, complaint, or dispute that arises out of or relates in any way to the Executive’s employment relationship with the Company or any of its affiliates, whether based in contract, tort, federal, state, or municipal statute, fraud, misrepresentation, or any other legal theory, shall be submitted to binding arbitration pursuant to the Federal Arbitration Act, to be held in Tulsa, Oklahoma and administered by the American Arbitration Association (the “AAA”) pursuant to the National Rules for the Resolution of Employment Disputes of the AAA (the “Rules”). Notwithstanding the foregoing, (i) the assessment of legal fees and related costs of such arbitration incurred by the Company and Executive shall be governed by applicable law, except as set forth in Section 9 or Section 11(j) of this Agreement, as applicable; (ii) the arbitration shall be determined by a single arbitrator, not a panel; (iii) both the Company and Executive shall be permitted to seek summary disposition prior to hearing; (iv) the decision rendered by the arbitrator shall be in writing and set forth findings of fact and conclusions of law; (v) except as otherwise set forth in this Agreement, t</w:t>
      </w:r>
      <w:r>
        <w:rPr>
          <w:rFonts w:ascii="Arial" w:cs="Arial" w:eastAsia="Arial" w:hAnsi="Arial"/>
          <w:sz w:val="19"/>
          <w:szCs w:val="19"/>
          <w:color w:val="212121"/>
        </w:rPr>
        <w:t>he arbitrator, and not any federal, state, or local court, or</w:t>
      </w:r>
      <w:r>
        <w:rPr>
          <w:rFonts w:ascii="Arial" w:cs="Arial" w:eastAsia="Arial" w:hAnsi="Arial"/>
          <w:sz w:val="19"/>
          <w:szCs w:val="19"/>
          <w:color w:val="auto"/>
        </w:rPr>
        <w:t xml:space="preserve"> </w:t>
      </w:r>
      <w:r>
        <w:rPr>
          <w:rFonts w:ascii="Arial" w:cs="Arial" w:eastAsia="Arial" w:hAnsi="Arial"/>
          <w:sz w:val="19"/>
          <w:szCs w:val="19"/>
          <w:color w:val="212121"/>
        </w:rPr>
        <w:t>agency, shall have exclusive authority to resolve any dispute relating to the arbitrability of any dispute between the parties. The arbitrator's decision shall be final and binding upon the Company and Executive. If the Rules are inconsistent with the terms of this Agreement, the terms of this Agreement shall govern</w:t>
      </w:r>
      <w:r>
        <w:rPr>
          <w:rFonts w:ascii="Arial" w:cs="Arial" w:eastAsia="Arial" w:hAnsi="Arial"/>
          <w:sz w:val="19"/>
          <w:szCs w:val="19"/>
          <w:color w:val="000000"/>
        </w:rPr>
        <w:t>.</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305"/>
        <w:spacing w:after="0" w:line="259" w:lineRule="auto"/>
        <w:tabs>
          <w:tab w:leader="none" w:pos="1778" w:val="left"/>
        </w:tabs>
        <w:numPr>
          <w:ilvl w:val="1"/>
          <w:numId w:val="120"/>
        </w:numPr>
        <w:rPr>
          <w:rFonts w:ascii="Arial" w:cs="Arial" w:eastAsia="Arial" w:hAnsi="Arial"/>
          <w:sz w:val="21"/>
          <w:szCs w:val="21"/>
          <w:color w:val="auto"/>
        </w:rPr>
      </w:pPr>
      <w:r>
        <w:rPr>
          <w:rFonts w:ascii="Arial" w:cs="Arial" w:eastAsia="Arial" w:hAnsi="Arial"/>
          <w:sz w:val="21"/>
          <w:szCs w:val="21"/>
          <w:color w:val="212121"/>
        </w:rPr>
        <w:t xml:space="preserve">This Agreement to arbitrate covers all grievances, disputes, claims, or causes of action that otherwise could be brought in a federal, state, or local court or agency under applicable federal, state, or local laws, arising out of or relating to Executive’s employment with the Company or an </w:t>
      </w:r>
      <w:r>
        <w:rPr>
          <w:rFonts w:ascii="Arial" w:cs="Arial" w:eastAsia="Arial" w:hAnsi="Arial"/>
          <w:sz w:val="21"/>
          <w:szCs w:val="21"/>
          <w:color w:val="000000"/>
        </w:rPr>
        <w:t>affiliate</w:t>
      </w:r>
      <w:r>
        <w:rPr>
          <w:rFonts w:ascii="Arial" w:cs="Arial" w:eastAsia="Arial" w:hAnsi="Arial"/>
          <w:sz w:val="21"/>
          <w:szCs w:val="21"/>
          <w:color w:val="212121"/>
        </w:rPr>
        <w:t xml:space="preserve"> and the termination thereof, including claims the Executive may have against the Company or against its </w:t>
      </w:r>
      <w:r>
        <w:rPr>
          <w:rFonts w:ascii="Arial" w:cs="Arial" w:eastAsia="Arial" w:hAnsi="Arial"/>
          <w:sz w:val="21"/>
          <w:szCs w:val="21"/>
          <w:color w:val="000000"/>
        </w:rPr>
        <w:t>affiliates,</w:t>
      </w:r>
      <w:r>
        <w:rPr>
          <w:rFonts w:ascii="Arial" w:cs="Arial" w:eastAsia="Arial" w:hAnsi="Arial"/>
          <w:sz w:val="21"/>
          <w:szCs w:val="21"/>
          <w:color w:val="212121"/>
        </w:rPr>
        <w:t xml:space="preserve"> officers, directors, supervisors, managers, employees, or agents in their capacity as such or otherwise, or that the Company may have against the Executive. The claims covered by this Agreement include, but are not limited to, claims for breach of any contract or covenant (express or implied), including, but not limited to, any claim in connection with this Agreement, tort claims, claims for wages, or other compensation due, claims for wrongful termination (constructive or actual), claims for discrimination or harassment (including, but not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89" w:name="page190"/>
    <w:bookmarkEnd w:id="189"/>
    <w:p>
      <w:pPr>
        <w:jc w:val="both"/>
        <w:spacing w:after="0" w:line="288" w:lineRule="auto"/>
        <w:rPr>
          <w:sz w:val="20"/>
          <w:szCs w:val="20"/>
          <w:color w:val="auto"/>
        </w:rPr>
      </w:pPr>
      <w:r>
        <w:rPr>
          <w:rFonts w:ascii="Arial" w:cs="Arial" w:eastAsia="Arial" w:hAnsi="Arial"/>
          <w:sz w:val="19"/>
          <w:szCs w:val="19"/>
          <w:color w:val="212121"/>
        </w:rPr>
        <w:t>limited to, harassment or discrimination based on race, age, color, sex, gender, national origin, alienage or citizenship status, creed, religion, marital status, partnership status, military status, predisposing genetic characteristics, medical condition, psychological condition, mental condition, criminal accusations and convictions, disability, sexual orientation, or any other trait or characteristic protected by federal, state, or local law), claims for violation of any federal, state, local, or other governmental law, statute, regulation, or ordinance, including, but not limited to, all claims arising under Title VII of the Civil Rights Act, as amended, the Americans with Disabilities Act, as amended, the Family and Medical Leave Act, as amended, the Fair Labor Standards Act, as amended, the Equal Pay Act, as amended, the Employee Retirement Income Security Act, as amended, the Civil Rights Act of 1991, as amended, Section 1981 of U.S.C. Title 42, the Sarbanes-Oxley Act of 2002, as amended, the Worker Adjustment and Retraining Notification Act, as amended, the Age Discrimination in Employment Act, as amended, the Uniform Services Employment and Reemployment Rights Act, as amended, the Genetic Information Nondiscrimination Act, all of their respective implementing regulations and any other federal, state, local, or foreign law (statutory, regulatory, or otherwise)</w:t>
      </w:r>
      <w:r>
        <w:rPr>
          <w:rFonts w:ascii="Arial" w:cs="Arial" w:eastAsia="Arial" w:hAnsi="Arial"/>
          <w:sz w:val="19"/>
          <w:szCs w:val="19"/>
          <w:color w:val="000000"/>
        </w:rPr>
        <w:t>.</w:t>
      </w:r>
    </w:p>
    <w:p>
      <w:pPr>
        <w:spacing w:after="0" w:line="195" w:lineRule="exact"/>
        <w:rPr>
          <w:sz w:val="20"/>
          <w:szCs w:val="20"/>
          <w:color w:val="auto"/>
        </w:rPr>
      </w:pPr>
    </w:p>
    <w:p>
      <w:pPr>
        <w:jc w:val="both"/>
        <w:ind w:firstLine="1305"/>
        <w:spacing w:after="0" w:line="261" w:lineRule="auto"/>
        <w:tabs>
          <w:tab w:leader="none" w:pos="179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Company and Executive acknowledge and agree that the agreement to arbitrate contained in this Section 12 does not apply to the following: (i) claims under any state worker’s compensation law; (ii) claims under any state unemployment compensation law; (iii) claims for injunctive relief that may otherwise be available for the violation of any state trade secrets act or unfair competition law; (iv) any claim that by law cannot be required to be resolved by binding arbitration; or (v) any request to a court for a temporary restraining order or temporary or preliminary injunction to enforce this Agreement pending submission of the merits of the parties’ dispute to arbitration.</w:t>
      </w:r>
    </w:p>
    <w:p>
      <w:pPr>
        <w:spacing w:after="0" w:line="220" w:lineRule="exact"/>
        <w:rPr>
          <w:rFonts w:ascii="Arial" w:cs="Arial" w:eastAsia="Arial" w:hAnsi="Arial"/>
          <w:sz w:val="21"/>
          <w:szCs w:val="21"/>
          <w:color w:val="auto"/>
        </w:rPr>
      </w:pPr>
    </w:p>
    <w:p>
      <w:pPr>
        <w:ind w:right="20" w:firstLine="1305"/>
        <w:spacing w:after="0" w:line="263" w:lineRule="auto"/>
        <w:tabs>
          <w:tab w:leader="none" w:pos="179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Company and Executive acknowledge and agree that damages awarded, if any, in any arbitration shall be limited to those damages that are otherwise available at law.</w:t>
      </w:r>
    </w:p>
    <w:p>
      <w:pPr>
        <w:spacing w:after="0" w:line="215" w:lineRule="exact"/>
        <w:rPr>
          <w:rFonts w:ascii="Arial" w:cs="Arial" w:eastAsia="Arial" w:hAnsi="Arial"/>
          <w:sz w:val="22"/>
          <w:szCs w:val="22"/>
          <w:color w:val="auto"/>
        </w:rPr>
      </w:pPr>
    </w:p>
    <w:p>
      <w:pPr>
        <w:jc w:val="both"/>
        <w:ind w:firstLine="1305"/>
        <w:spacing w:after="0" w:line="290" w:lineRule="auto"/>
        <w:tabs>
          <w:tab w:leader="none" w:pos="1833" w:val="left"/>
        </w:tabs>
        <w:numPr>
          <w:ilvl w:val="0"/>
          <w:numId w:val="121"/>
        </w:numPr>
        <w:rPr>
          <w:rFonts w:ascii="Arial" w:cs="Arial" w:eastAsia="Arial" w:hAnsi="Arial"/>
          <w:sz w:val="19"/>
          <w:szCs w:val="19"/>
          <w:color w:val="auto"/>
        </w:rPr>
      </w:pPr>
      <w:r>
        <w:rPr>
          <w:rFonts w:ascii="Arial" w:cs="Arial" w:eastAsia="Arial" w:hAnsi="Arial"/>
          <w:sz w:val="19"/>
          <w:szCs w:val="19"/>
          <w:color w:val="212121"/>
        </w:rPr>
        <w:t xml:space="preserve">Except as otherwise required under applicable law,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expressly intend and agree that: (i) class action and representative action procedures shall not be asserted, nor will they apply, in any arbitration pursuant to this Agreement; (ii) each party will not assert class action or representative action claims against the other in arbitration or otherwise; and (iii)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shall only submit their own, individual claims in arbitration and will not seek to represent the interests of any other person. Further,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expressly intend and agree that any claims by the Executive will not be joined, consolidated or heard together with claims of any other employee. Notwithstanding anything to the contrary in the Rules, the arbitrator shall have no jurisdiction or authority to compel any class or collective claim, to consolidate different arbitration proceedings or to join any other party to an arbitration between </w:t>
      </w:r>
      <w:r>
        <w:rPr>
          <w:rFonts w:ascii="Arial" w:cs="Arial" w:eastAsia="Arial" w:hAnsi="Arial"/>
          <w:sz w:val="19"/>
          <w:szCs w:val="19"/>
          <w:color w:val="000000"/>
        </w:rPr>
        <w:t>the Company and Executive</w:t>
      </w:r>
      <w:r>
        <w:rPr>
          <w:rFonts w:ascii="Arial" w:cs="Arial" w:eastAsia="Arial" w:hAnsi="Arial"/>
          <w:sz w:val="19"/>
          <w:szCs w:val="19"/>
          <w:color w:val="212121"/>
        </w:rPr>
        <w:t>.</w:t>
      </w:r>
    </w:p>
    <w:p>
      <w:pPr>
        <w:spacing w:after="0" w:line="197" w:lineRule="exact"/>
        <w:rPr>
          <w:rFonts w:ascii="Arial" w:cs="Arial" w:eastAsia="Arial" w:hAnsi="Arial"/>
          <w:sz w:val="19"/>
          <w:szCs w:val="19"/>
          <w:color w:val="auto"/>
        </w:rPr>
      </w:pPr>
    </w:p>
    <w:p>
      <w:pPr>
        <w:jc w:val="both"/>
        <w:ind w:firstLine="1305"/>
        <w:spacing w:after="0" w:line="265" w:lineRule="auto"/>
        <w:tabs>
          <w:tab w:leader="none" w:pos="178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Company and Executive acknowledge and agree that by signing this Agreement, they release and waive any right either may have to resolve their legal disputes (including employment disputes and claims of discrimination or unlawful discharge) by filing a lawsuit in court, and to have the potential opportunity of having their claim heard by a jury, and agree instead that the disputes will be resolved exclusively through binding arbitration, except as otherwise set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90" w:name="page191"/>
    <w:bookmarkEnd w:id="190"/>
    <w:p>
      <w:pPr>
        <w:jc w:val="both"/>
        <w:spacing w:after="0" w:line="263" w:lineRule="auto"/>
        <w:rPr>
          <w:sz w:val="20"/>
          <w:szCs w:val="20"/>
          <w:color w:val="auto"/>
        </w:rPr>
      </w:pPr>
      <w:r>
        <w:rPr>
          <w:rFonts w:ascii="Arial" w:cs="Arial" w:eastAsia="Arial" w:hAnsi="Arial"/>
          <w:sz w:val="21"/>
          <w:szCs w:val="21"/>
          <w:color w:val="auto"/>
        </w:rPr>
        <w:t>forth in this Agreement. The Company and Executive acknowledge that although Executive agrees to resolve Executive’s legal dispute(s) exclusively through binding arbitration, nothing in this Agreement shall be interpreted as prohibiting Executive from filing a charge of discrimination with an appropriate administrative agency or participating in the investigation or prosecution of such a charge by an appropriate administrative agency; however, this Agreement does prohibit Executive from seeking and recovering an award on his or her own behalf through any administrative process.</w:t>
      </w:r>
    </w:p>
    <w:p>
      <w:pPr>
        <w:spacing w:after="0" w:line="216" w:lineRule="exact"/>
        <w:rPr>
          <w:sz w:val="20"/>
          <w:szCs w:val="20"/>
          <w:color w:val="auto"/>
        </w:rPr>
      </w:pPr>
    </w:p>
    <w:p>
      <w:pPr>
        <w:ind w:left="1140" w:hanging="484"/>
        <w:spacing w:after="0"/>
        <w:tabs>
          <w:tab w:leader="none" w:pos="114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1305"/>
        <w:spacing w:after="0" w:line="343" w:lineRule="auto"/>
        <w:tabs>
          <w:tab w:leader="none" w:pos="1823"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This Agreement is personal to Executive and without the prior written consent of the Company shall not be assignable by Executive. This Agreement shall inure to the benefit of and be enforceable by Executive’s legal representatives.</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Company and its successors and assigns.</w:t>
      </w:r>
    </w:p>
    <w:p>
      <w:pPr>
        <w:spacing w:after="0" w:line="294" w:lineRule="exact"/>
        <w:rPr>
          <w:rFonts w:ascii="Arial" w:cs="Arial" w:eastAsia="Arial" w:hAnsi="Arial"/>
          <w:sz w:val="19"/>
          <w:szCs w:val="19"/>
          <w:color w:val="auto"/>
        </w:rPr>
      </w:pPr>
    </w:p>
    <w:p>
      <w:pPr>
        <w:jc w:val="both"/>
        <w:ind w:firstLine="1305"/>
        <w:spacing w:after="0" w:line="263" w:lineRule="auto"/>
        <w:tabs>
          <w:tab w:leader="none" w:pos="1833" w:val="left"/>
        </w:tabs>
        <w:numPr>
          <w:ilvl w:val="1"/>
          <w:numId w:val="122"/>
        </w:numPr>
        <w:rPr>
          <w:rFonts w:ascii="Arial" w:cs="Arial" w:eastAsia="Arial" w:hAnsi="Arial"/>
          <w:sz w:val="21"/>
          <w:szCs w:val="21"/>
          <w:color w:val="auto"/>
        </w:rPr>
      </w:pPr>
      <w:r>
        <w:rPr>
          <w:rFonts w:ascii="Arial" w:cs="Arial" w:eastAsia="Arial" w:hAnsi="Arial"/>
          <w:sz w:val="21"/>
          <w:szCs w:val="21"/>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In the event of any such succession and assumption of this Agreement by the successor, the term “the Company” as used in this Agreement shall thereafter include such successor.</w:t>
      </w:r>
    </w:p>
    <w:p>
      <w:pPr>
        <w:spacing w:after="0" w:line="216" w:lineRule="exact"/>
        <w:rPr>
          <w:rFonts w:ascii="Arial" w:cs="Arial" w:eastAsia="Arial" w:hAnsi="Arial"/>
          <w:sz w:val="21"/>
          <w:szCs w:val="21"/>
          <w:color w:val="auto"/>
        </w:rPr>
      </w:pPr>
    </w:p>
    <w:p>
      <w:pPr>
        <w:ind w:left="1140" w:hanging="484"/>
        <w:spacing w:after="0"/>
        <w:tabs>
          <w:tab w:leader="none" w:pos="114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1305"/>
        <w:spacing w:after="0" w:line="263" w:lineRule="auto"/>
        <w:tabs>
          <w:tab w:leader="none" w:pos="1779"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Oklahoma, without reference to principles of conflict of laws.</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Captions</w:t>
      </w:r>
      <w:r>
        <w:rPr>
          <w:rFonts w:ascii="Arial" w:cs="Arial" w:eastAsia="Arial" w:hAnsi="Arial"/>
          <w:sz w:val="19"/>
          <w:szCs w:val="19"/>
          <w:color w:val="auto"/>
        </w:rPr>
        <w:t>. The captions of this Agreement are not part of the provisions hereof and shall have no force or effect.</w:t>
      </w:r>
    </w:p>
    <w:p>
      <w:pPr>
        <w:spacing w:after="0" w:line="294" w:lineRule="exact"/>
        <w:rPr>
          <w:rFonts w:ascii="Arial" w:cs="Arial" w:eastAsia="Arial" w:hAnsi="Arial"/>
          <w:sz w:val="19"/>
          <w:szCs w:val="19"/>
          <w:color w:val="auto"/>
        </w:rPr>
      </w:pPr>
    </w:p>
    <w:p>
      <w:pPr>
        <w:ind w:firstLine="1305"/>
        <w:spacing w:after="0" w:line="263" w:lineRule="auto"/>
        <w:tabs>
          <w:tab w:leader="none" w:pos="1914" w:val="left"/>
        </w:tabs>
        <w:numPr>
          <w:ilvl w:val="1"/>
          <w:numId w:val="122"/>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or modified otherwise than-by a written agreement executed by the parties hereto or their respective successors and legal representatives.</w:t>
      </w:r>
    </w:p>
    <w:p>
      <w:pPr>
        <w:spacing w:after="0" w:line="215" w:lineRule="exact"/>
        <w:rPr>
          <w:rFonts w:ascii="Arial" w:cs="Arial" w:eastAsia="Arial" w:hAnsi="Arial"/>
          <w:sz w:val="22"/>
          <w:szCs w:val="22"/>
          <w:color w:val="auto"/>
        </w:rPr>
      </w:pPr>
    </w:p>
    <w:p>
      <w:pPr>
        <w:ind w:right="20" w:firstLine="1305"/>
        <w:spacing w:after="0" w:line="343" w:lineRule="auto"/>
        <w:tabs>
          <w:tab w:leader="none" w:pos="1900"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145"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To the last address on file with the records of the Company</w:t>
      </w:r>
    </w:p>
    <w:p>
      <w:pPr>
        <w:spacing w:after="0" w:line="200" w:lineRule="exact"/>
        <w:rPr>
          <w:sz w:val="20"/>
          <w:szCs w:val="20"/>
          <w:color w:val="auto"/>
        </w:rPr>
      </w:pPr>
    </w:p>
    <w:p>
      <w:pPr>
        <w:spacing w:after="0" w:line="317" w:lineRule="exact"/>
        <w:rPr>
          <w:sz w:val="20"/>
          <w:szCs w:val="20"/>
          <w:color w:val="auto"/>
        </w:rPr>
      </w:pPr>
    </w:p>
    <w:p>
      <w:pPr>
        <w:ind w:left="1300"/>
        <w:spacing w:after="0"/>
        <w:tabs>
          <w:tab w:leader="none" w:pos="3140" w:val="left"/>
        </w:tabs>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Williams Companies,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One Williams Center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91" w:name="page192"/>
    <w:bookmarkEnd w:id="191"/>
    <w:p>
      <w:pPr>
        <w:ind w:left="3240"/>
        <w:spacing w:after="0"/>
        <w:rPr>
          <w:sz w:val="20"/>
          <w:szCs w:val="20"/>
          <w:color w:val="auto"/>
        </w:rPr>
      </w:pPr>
      <w:r>
        <w:rPr>
          <w:rFonts w:ascii="Arial" w:cs="Arial" w:eastAsia="Arial" w:hAnsi="Arial"/>
          <w:sz w:val="22"/>
          <w:szCs w:val="22"/>
          <w:color w:val="auto"/>
        </w:rPr>
        <w:t>Tulsa, Oklahoma 74172</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215" w:lineRule="exact"/>
        <w:rPr>
          <w:sz w:val="20"/>
          <w:szCs w:val="20"/>
          <w:color w:val="auto"/>
        </w:rPr>
      </w:pPr>
    </w:p>
    <w:p>
      <w:pPr>
        <w:ind w:right="20" w:firstLine="1305"/>
        <w:spacing w:after="0" w:line="263" w:lineRule="auto"/>
        <w:tabs>
          <w:tab w:leader="none" w:pos="1779"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215" w:lineRule="exact"/>
        <w:rPr>
          <w:rFonts w:ascii="Arial" w:cs="Arial" w:eastAsia="Arial" w:hAnsi="Arial"/>
          <w:sz w:val="22"/>
          <w:szCs w:val="22"/>
          <w:color w:val="auto"/>
        </w:rPr>
      </w:pPr>
    </w:p>
    <w:p>
      <w:pPr>
        <w:ind w:right="20" w:firstLine="1305"/>
        <w:spacing w:after="0" w:line="263" w:lineRule="auto"/>
        <w:tabs>
          <w:tab w:leader="none" w:pos="1728"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withhold from any amounts payable under this Agreement such Federal, state, local or foreign taxes as shall be required to be withheld pursuant to any applicable law or regulation.</w:t>
      </w:r>
    </w:p>
    <w:p>
      <w:pPr>
        <w:spacing w:after="0" w:line="215" w:lineRule="exact"/>
        <w:rPr>
          <w:rFonts w:ascii="Arial" w:cs="Arial" w:eastAsia="Arial" w:hAnsi="Arial"/>
          <w:sz w:val="22"/>
          <w:szCs w:val="22"/>
          <w:color w:val="auto"/>
        </w:rPr>
      </w:pPr>
    </w:p>
    <w:p>
      <w:pPr>
        <w:jc w:val="both"/>
        <w:ind w:right="20" w:firstLine="1305"/>
        <w:spacing w:after="0" w:line="253" w:lineRule="auto"/>
        <w:tabs>
          <w:tab w:leader="none" w:pos="1886" w:val="left"/>
        </w:tabs>
        <w:numPr>
          <w:ilvl w:val="1"/>
          <w:numId w:val="123"/>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Executive’s or the Company’s failure to insist upon strict compliance with any provision of this Agreement or the failure to assert any right Executive or the Company may have hereunder, shall not be deemed to be a waiver of such provision or right or any other provision or right of this Agreement.</w:t>
      </w:r>
    </w:p>
    <w:p>
      <w:pPr>
        <w:spacing w:after="0" w:line="226" w:lineRule="exact"/>
        <w:rPr>
          <w:rFonts w:ascii="Arial" w:cs="Arial" w:eastAsia="Arial" w:hAnsi="Arial"/>
          <w:sz w:val="22"/>
          <w:szCs w:val="22"/>
          <w:color w:val="auto"/>
        </w:rPr>
      </w:pPr>
    </w:p>
    <w:p>
      <w:pPr>
        <w:jc w:val="both"/>
        <w:ind w:firstLine="1305"/>
        <w:spacing w:after="0" w:line="259" w:lineRule="auto"/>
        <w:tabs>
          <w:tab w:leader="none" w:pos="1940" w:val="left"/>
        </w:tabs>
        <w:numPr>
          <w:ilvl w:val="1"/>
          <w:numId w:val="123"/>
        </w:numPr>
        <w:rPr>
          <w:rFonts w:ascii="Arial" w:cs="Arial" w:eastAsia="Arial" w:hAnsi="Arial"/>
          <w:sz w:val="21"/>
          <w:szCs w:val="21"/>
          <w:color w:val="auto"/>
        </w:rPr>
      </w:pPr>
      <w:r>
        <w:rPr>
          <w:rFonts w:ascii="Arial" w:cs="Arial" w:eastAsia="Arial" w:hAnsi="Arial"/>
          <w:sz w:val="21"/>
          <w:szCs w:val="21"/>
          <w:u w:val="single" w:color="auto"/>
          <w:color w:val="auto"/>
        </w:rPr>
        <w:t>Status Before and After Effective Date</w:t>
      </w:r>
      <w:r>
        <w:rPr>
          <w:rFonts w:ascii="Arial" w:cs="Arial" w:eastAsia="Arial" w:hAnsi="Arial"/>
          <w:sz w:val="21"/>
          <w:szCs w:val="21"/>
          <w:color w:val="auto"/>
        </w:rPr>
        <w:t>. Executive and the Company acknowledge that, except as may otherwise be provided under any other written agreement between Executive and the Company or an affiliate, the employment of Executive by the Company or an of its affiliates is “at will” and, subject to Section 1(a) hereof, Executive’s employment and/or this Agreement may be terminated by either Executive or the Company or an affiliate at any time prior to the Effective Date, in which case Executive shall have no further rights under this Agreement and no further obligations other than the applicable covenants in Section 11. From and after February 1, 2019, this Agreement shall supersede any prior agreement between the parties with respect to the subject matter hereof, including, but not limited, any change in control agreements between Executive and the Company executed prior to the date of this Agreement.</w:t>
      </w:r>
    </w:p>
    <w:p>
      <w:pPr>
        <w:spacing w:after="0" w:line="224" w:lineRule="exact"/>
        <w:rPr>
          <w:rFonts w:ascii="Arial" w:cs="Arial" w:eastAsia="Arial" w:hAnsi="Arial"/>
          <w:sz w:val="21"/>
          <w:szCs w:val="21"/>
          <w:color w:val="auto"/>
        </w:rPr>
      </w:pPr>
    </w:p>
    <w:p>
      <w:pPr>
        <w:ind w:left="1140" w:hanging="484"/>
        <w:spacing w:after="0"/>
        <w:tabs>
          <w:tab w:leader="none" w:pos="114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97" w:lineRule="auto"/>
        <w:tabs>
          <w:tab w:leader="none" w:pos="1860" w:val="left"/>
        </w:tabs>
        <w:numPr>
          <w:ilvl w:val="1"/>
          <w:numId w:val="124"/>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This Agreement shall be interpreted and administered in a manner so that any amount or benefit payable hereunder shall be either exempt from or compliant with the requirements of Code Section 409A and applicable guidance and regulations issued thereunder. Nevertheless, the tax treatment of the benefits provided under the Agreement is not warranted or guaranteed. Neither the Company nor its directors, officers, employees or advisers shall be held liable for any taxes, interest, penalties or other monetary amounts owed by Executive as a result of the application of Code Section 409A.</w:t>
      </w:r>
    </w:p>
    <w:p>
      <w:pPr>
        <w:spacing w:after="0" w:line="187" w:lineRule="exact"/>
        <w:rPr>
          <w:rFonts w:ascii="Arial" w:cs="Arial" w:eastAsia="Arial" w:hAnsi="Arial"/>
          <w:sz w:val="19"/>
          <w:szCs w:val="19"/>
          <w:color w:val="auto"/>
        </w:rPr>
      </w:pPr>
    </w:p>
    <w:p>
      <w:pPr>
        <w:jc w:val="both"/>
        <w:ind w:firstLine="1305"/>
        <w:spacing w:after="0" w:line="263" w:lineRule="auto"/>
        <w:tabs>
          <w:tab w:leader="none" w:pos="1832"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Definitional Restrictions</w:t>
      </w:r>
      <w:r>
        <w:rPr>
          <w:rFonts w:ascii="Arial" w:cs="Arial" w:eastAsia="Arial" w:hAnsi="Arial"/>
          <w:sz w:val="21"/>
          <w:szCs w:val="21"/>
          <w:color w:val="auto"/>
        </w:rPr>
        <w:t>. Notwithstanding anything in this Agreement to the contrary, to the extent that any amount or benefit that is non-exempt “deferred compensation” subject to Code Section 409A would otherwise be payable or distributable hereunder by reason of Executive’s termination of employment, such amount or benefit will not be payable or distributable to Executive by reason of such circumstance unless the termination of employment satisfies the definition of “separation from service” in Code Section 409A and applicable regulations (without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92" w:name="page193"/>
    <w:bookmarkEnd w:id="192"/>
    <w:p>
      <w:pPr>
        <w:jc w:val="both"/>
        <w:spacing w:after="0" w:line="228" w:lineRule="auto"/>
        <w:rPr>
          <w:sz w:val="20"/>
          <w:szCs w:val="20"/>
          <w:color w:val="auto"/>
        </w:rPr>
      </w:pPr>
      <w:r>
        <w:rPr>
          <w:rFonts w:ascii="Arial" w:cs="Arial" w:eastAsia="Arial" w:hAnsi="Arial"/>
          <w:sz w:val="22"/>
          <w:szCs w:val="22"/>
          <w:color w:val="auto"/>
        </w:rPr>
        <w:t>giving effect to any elective provisions that may be available under such definition) (a “Separation from Service”). If this provision prevents a payment or distribution, such payment or distribution shall be made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a Separation from Service,” if any, or such later date as may be required by Subsection 15(c) below.</w:t>
      </w:r>
    </w:p>
    <w:p>
      <w:pPr>
        <w:spacing w:after="0" w:line="240" w:lineRule="exact"/>
        <w:rPr>
          <w:sz w:val="20"/>
          <w:szCs w:val="20"/>
          <w:color w:val="auto"/>
        </w:rPr>
      </w:pPr>
    </w:p>
    <w:p>
      <w:pPr>
        <w:jc w:val="both"/>
        <w:ind w:firstLine="1305"/>
        <w:spacing w:after="0" w:line="260" w:lineRule="auto"/>
        <w:tabs>
          <w:tab w:leader="none" w:pos="1752"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Six-Month Delay in Certain Circumstances</w:t>
      </w:r>
      <w:r>
        <w:rPr>
          <w:rFonts w:ascii="Arial" w:cs="Arial" w:eastAsia="Arial" w:hAnsi="Arial"/>
          <w:sz w:val="21"/>
          <w:szCs w:val="21"/>
          <w:color w:val="auto"/>
        </w:rPr>
        <w:t>. Notwithstanding anything in this Agreement to the contrary, if any amount or benefit that would constitute non-exempt “deferred compensation” subject to Code Section 409A would otherwise be payable or distributable under this Agreement by reason of Executive’s Separation from Service during a period in which he or she is a Specified Employee (as defined below), then, subject to any permissible acceleration of payment by the Company under Treas. Reg. Section 1.409A-3(j)(4)(ii), (j)(4)(iii), or (j)(4)(vi), Executive’s right to receive payment or distribution of such non-exempt deferred compensation will be delayed until the earlier of Executive’s death or the first day of the seventh month following Executive’s Separation from Service.</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For purposes of this Agreement, the term “Specified Employee” has the meaning given such term in Code Section 409A and the final regulations thereunder (“409A Regulations”),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as permitted in the 409A Regulations, the Company’s Specified Employees shall be determined in accordance with rules adopted by the Board of Directors or a committee thereof, and applied consistently with respect to all nonqualified deferred compensation arrangements of the Company, including this Agreement.</w:t>
      </w:r>
    </w:p>
    <w:p>
      <w:pPr>
        <w:spacing w:after="0" w:line="23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Additionally to the extent that any payment or distribution can be made during a period that spans two calendar years, the payment or distribution will be made in the later calendar year.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348" w:right="239" w:bottom="1440" w:gutter="0" w:footer="0" w:header="0"/>
        </w:sectPr>
      </w:pPr>
    </w:p>
    <w:bookmarkStart w:id="193" w:name="page194"/>
    <w:bookmarkEnd w:id="193"/>
    <w:p>
      <w:pPr>
        <w:ind w:firstLine="648"/>
        <w:spacing w:after="0" w:line="263" w:lineRule="auto"/>
        <w:rPr>
          <w:sz w:val="20"/>
          <w:szCs w:val="20"/>
          <w:color w:val="auto"/>
        </w:rPr>
      </w:pPr>
      <w:r>
        <w:rPr>
          <w:rFonts w:ascii="Arial" w:cs="Arial" w:eastAsia="Arial" w:hAnsi="Arial"/>
          <w:sz w:val="22"/>
          <w:szCs w:val="22"/>
          <w:color w:val="auto"/>
        </w:rPr>
        <w:t>IN WITNESS WHEREOF, Executive has hereunto set Executive’s hand and, pursuant to the authorization from its Board of Directors, the Company has caused these presents to be executed in its name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441960</wp:posOffset>
            </wp:positionV>
            <wp:extent cx="8235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1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THE WILLIAMS COMPANIES,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23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420"/>
          </w:cols>
          <w:pgMar w:left="240" w:top="605" w:right="239" w:bottom="1440" w:gutter="0" w:footer="0" w:header="0"/>
        </w:sectPr>
      </w:pPr>
    </w:p>
    <w:bookmarkStart w:id="194" w:name="page195"/>
    <w:bookmarkEnd w:id="194"/>
    <w:p>
      <w:pPr>
        <w:jc w:val="center"/>
        <w:ind w:right="-99"/>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Termination for Cause</w:t>
      </w:r>
    </w:p>
    <w:p>
      <w:pPr>
        <w:spacing w:after="0" w:line="341" w:lineRule="exact"/>
        <w:rPr>
          <w:sz w:val="20"/>
          <w:szCs w:val="20"/>
          <w:color w:val="auto"/>
        </w:rPr>
      </w:pPr>
    </w:p>
    <w:p>
      <w:pPr>
        <w:ind w:right="260" w:firstLine="656"/>
        <w:spacing w:after="0" w:line="263" w:lineRule="auto"/>
        <w:tabs>
          <w:tab w:leader="none" w:pos="1026"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Substantive and Procedural Requirements</w:t>
      </w:r>
      <w:r>
        <w:rPr>
          <w:rFonts w:ascii="Arial" w:cs="Arial" w:eastAsia="Arial" w:hAnsi="Arial"/>
          <w:sz w:val="22"/>
          <w:szCs w:val="22"/>
          <w:color w:val="auto"/>
        </w:rPr>
        <w:t>. To determine that a termination of employment was for Cause, the Board shall strictly observe each of the following substantive and procedural provisions:</w:t>
      </w:r>
    </w:p>
    <w:p>
      <w:pPr>
        <w:spacing w:after="0" w:line="39" w:lineRule="exact"/>
        <w:rPr>
          <w:rFonts w:ascii="Arial" w:cs="Arial" w:eastAsia="Arial" w:hAnsi="Arial"/>
          <w:sz w:val="22"/>
          <w:szCs w:val="22"/>
          <w:color w:val="auto"/>
        </w:rPr>
      </w:pPr>
    </w:p>
    <w:p>
      <w:pPr>
        <w:ind w:left="2040" w:right="60" w:hanging="735"/>
        <w:spacing w:after="0" w:line="253" w:lineRule="auto"/>
        <w:tabs>
          <w:tab w:leader="none" w:pos="20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Board shall call a meeting for the stated purpose of determining whether Executive’s acts or omissions satisfy the requirements of the definition of “Cause” and, if so, whether to terminate Executive’s employment for Cause.</w:t>
      </w:r>
    </w:p>
    <w:p>
      <w:pPr>
        <w:spacing w:after="0" w:line="50" w:lineRule="exact"/>
        <w:rPr>
          <w:rFonts w:ascii="Arial" w:cs="Arial" w:eastAsia="Arial" w:hAnsi="Arial"/>
          <w:sz w:val="22"/>
          <w:szCs w:val="22"/>
          <w:color w:val="auto"/>
        </w:rPr>
      </w:pPr>
    </w:p>
    <w:p>
      <w:pPr>
        <w:ind w:left="2040" w:right="140" w:hanging="735"/>
        <w:spacing w:after="0" w:line="250" w:lineRule="auto"/>
        <w:tabs>
          <w:tab w:leader="none" w:pos="20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Not less than 15 days prior to the date of such meeting, the Board shall provide or cause to be provided Executive and each member of the Board written notice (a “</w:t>
      </w:r>
      <w:r>
        <w:rPr>
          <w:rFonts w:ascii="Arial" w:cs="Arial" w:eastAsia="Arial" w:hAnsi="Arial"/>
          <w:sz w:val="22"/>
          <w:szCs w:val="22"/>
          <w:u w:val="single" w:color="auto"/>
          <w:color w:val="auto"/>
        </w:rPr>
        <w:t>Notice of Consideration</w:t>
      </w:r>
      <w:r>
        <w:rPr>
          <w:rFonts w:ascii="Arial" w:cs="Arial" w:eastAsia="Arial" w:hAnsi="Arial"/>
          <w:sz w:val="22"/>
          <w:szCs w:val="22"/>
          <w:color w:val="auto"/>
          <w:highlight w:val="white"/>
        </w:rPr>
        <w:t>”) of (i) a detailed</w:t>
      </w:r>
      <w:r>
        <w:rPr>
          <w:rFonts w:ascii="Arial" w:cs="Arial" w:eastAsia="Arial" w:hAnsi="Arial"/>
          <w:sz w:val="22"/>
          <w:szCs w:val="22"/>
          <w:color w:val="auto"/>
        </w:rPr>
        <w:t xml:space="preserve"> description of the acts or omissions alleged to constitute Cause, (ii) the date of such meeting of the Board, and (iii) Executive’s rights under clauses (c) and (d) below.</w:t>
      </w:r>
    </w:p>
    <w:p>
      <w:pPr>
        <w:spacing w:after="0" w:line="53" w:lineRule="exact"/>
        <w:rPr>
          <w:rFonts w:ascii="Arial" w:cs="Arial" w:eastAsia="Arial" w:hAnsi="Arial"/>
          <w:sz w:val="22"/>
          <w:szCs w:val="22"/>
          <w:color w:val="auto"/>
        </w:rPr>
      </w:pPr>
    </w:p>
    <w:p>
      <w:pPr>
        <w:ind w:left="2040" w:right="140" w:hanging="735"/>
        <w:spacing w:after="0" w:line="326" w:lineRule="auto"/>
        <w:tabs>
          <w:tab w:leader="none" w:pos="204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Executive shall have the opportunity to appear before the Board in person and, at Executive’s option, with legal counsel, and/or present to the Board a written response to the Notice of Consideration.</w:t>
      </w:r>
    </w:p>
    <w:p>
      <w:pPr>
        <w:ind w:left="2040" w:hanging="735"/>
        <w:spacing w:after="0" w:line="249" w:lineRule="auto"/>
        <w:tabs>
          <w:tab w:leader="none" w:pos="204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 xml:space="preserve">Executive’s employment may be terminated for Cause only if (i) the acts or omissions specified in the Notice of Consideration did in fact occur and such actions or omissions do constitute Cause as defined in this Agreement, (ii) the Board, by affirmative vote of at least 66 </w:t>
      </w:r>
      <w:r>
        <w:rPr>
          <w:rFonts w:ascii="Arial" w:cs="Arial" w:eastAsia="Arial" w:hAnsi="Arial"/>
          <w:sz w:val="27"/>
          <w:szCs w:val="27"/>
          <w:color w:val="auto"/>
          <w:vertAlign w:val="superscript"/>
        </w:rPr>
        <w:t>2</w:t>
      </w:r>
      <w:r>
        <w:rPr>
          <w:rFonts w:ascii="Arial" w:cs="Arial" w:eastAsia="Arial" w:hAnsi="Arial"/>
          <w:sz w:val="21"/>
          <w:szCs w:val="21"/>
          <w:color w:val="auto"/>
        </w:rPr>
        <w:t>/</w:t>
      </w:r>
      <w:r>
        <w:rPr>
          <w:rFonts w:ascii="Arial" w:cs="Arial" w:eastAsia="Arial" w:hAnsi="Arial"/>
          <w:sz w:val="14"/>
          <w:szCs w:val="14"/>
          <w:color w:val="auto"/>
        </w:rPr>
        <w:t>3</w:t>
      </w:r>
      <w:r>
        <w:rPr>
          <w:rFonts w:ascii="Arial" w:cs="Arial" w:eastAsia="Arial" w:hAnsi="Arial"/>
          <w:sz w:val="21"/>
          <w:szCs w:val="21"/>
          <w:color w:val="auto"/>
        </w:rPr>
        <w:t xml:space="preserve"> of its members (excluding Executive’s vote, if Executive is a member of the Board), makes a specific determination to such effect and to the effect that Executive’s employment should be terminated for Cause (“</w:t>
      </w:r>
      <w:r>
        <w:rPr>
          <w:rFonts w:ascii="Arial" w:cs="Arial" w:eastAsia="Arial" w:hAnsi="Arial"/>
          <w:sz w:val="21"/>
          <w:szCs w:val="21"/>
          <w:u w:val="single" w:color="auto"/>
          <w:color w:val="auto"/>
        </w:rPr>
        <w:t>Cause Determination</w:t>
      </w:r>
      <w:r>
        <w:rPr>
          <w:rFonts w:ascii="Arial" w:cs="Arial" w:eastAsia="Arial" w:hAnsi="Arial"/>
          <w:sz w:val="21"/>
          <w:szCs w:val="21"/>
          <w:color w:val="auto"/>
        </w:rPr>
        <w:t>”), and (iii) the Company thereafter provides Executive with a Notice of Termination that specifies in specific detail the basis of such termination of employment for Cause and which Notice shall be consistent with the reasons set forth in the Notice of Consideration.</w:t>
      </w:r>
    </w:p>
    <w:p>
      <w:pPr>
        <w:spacing w:after="0" w:line="57" w:lineRule="exact"/>
        <w:rPr>
          <w:rFonts w:ascii="Arial" w:cs="Arial" w:eastAsia="Arial" w:hAnsi="Arial"/>
          <w:sz w:val="21"/>
          <w:szCs w:val="21"/>
          <w:color w:val="auto"/>
        </w:rPr>
      </w:pPr>
    </w:p>
    <w:p>
      <w:pPr>
        <w:ind w:left="2040" w:right="20"/>
        <w:spacing w:after="0" w:line="263" w:lineRule="auto"/>
        <w:rPr>
          <w:rFonts w:ascii="Arial" w:cs="Arial" w:eastAsia="Arial" w:hAnsi="Arial"/>
          <w:sz w:val="21"/>
          <w:szCs w:val="21"/>
          <w:color w:val="auto"/>
        </w:rPr>
      </w:pPr>
      <w:r>
        <w:rPr>
          <w:rFonts w:ascii="Arial" w:cs="Arial" w:eastAsia="Arial" w:hAnsi="Arial"/>
          <w:sz w:val="22"/>
          <w:szCs w:val="22"/>
          <w:color w:val="auto"/>
        </w:rPr>
        <w:t>Nothing shall preclude the Board, by majority vote, from suspending Executive from his or her duties, with pay, at any time.</w:t>
      </w:r>
    </w:p>
    <w:p>
      <w:pPr>
        <w:spacing w:after="0" w:line="39" w:lineRule="exact"/>
        <w:rPr>
          <w:rFonts w:ascii="Arial" w:cs="Arial" w:eastAsia="Arial" w:hAnsi="Arial"/>
          <w:sz w:val="21"/>
          <w:szCs w:val="21"/>
          <w:color w:val="auto"/>
        </w:rPr>
      </w:pPr>
    </w:p>
    <w:p>
      <w:pPr>
        <w:ind w:right="120" w:firstLine="656"/>
        <w:spacing w:after="0" w:line="248" w:lineRule="auto"/>
        <w:tabs>
          <w:tab w:leader="none" w:pos="1026"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Change in Control: Standard of Review</w:t>
      </w:r>
      <w:r>
        <w:rPr>
          <w:rFonts w:ascii="Arial" w:cs="Arial" w:eastAsia="Arial" w:hAnsi="Arial"/>
          <w:sz w:val="22"/>
          <w:szCs w:val="22"/>
          <w:color w:val="auto"/>
        </w:rPr>
        <w:t>. In the event that the existence of Cause during the Employment Period shall become an issue in any action or proceeding between the Executive and the Company, the Company shall, notwithstanding the Cause Determination, have the burden of establishing that the actions or omissions specified in the Notice of Consideration did in fact occur and do constitute Cause and that the Company has satisfied all applicable substantive and procedural requirements set forth herein.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- 26 -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LEGAL02/21751871v13</w:t>
      </w:r>
    </w:p>
    <w:p>
      <w:pPr>
        <w:sectPr>
          <w:pgSz w:w="11900" w:h="16838" w:orient="portrait"/>
          <w:cols w:equalWidth="0" w:num="1">
            <w:col w:w="11340"/>
          </w:cols>
          <w:pgMar w:left="240" w:top="598"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_________________________________</w:t>
      </w:r>
    </w:p>
    <w:p>
      <w:pPr>
        <w:spacing w:after="0" w:line="200" w:lineRule="exact"/>
        <w:rPr>
          <w:sz w:val="20"/>
          <w:szCs w:val="20"/>
          <w:color w:val="auto"/>
        </w:rPr>
      </w:pPr>
    </w:p>
    <w:p>
      <w:pPr>
        <w:spacing w:after="0" w:line="31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CHANGE IN CONTROL AND RESTRICTIVE COVENANT AGREEMENT</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BETWEEN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[EXECUTIVE]</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THE WILLIAMS COMPANIES, INC.</w:t>
      </w:r>
    </w:p>
    <w:p>
      <w:pPr>
        <w:spacing w:after="0" w:line="200" w:lineRule="exact"/>
        <w:rPr>
          <w:sz w:val="20"/>
          <w:szCs w:val="20"/>
          <w:color w:val="auto"/>
        </w:rPr>
      </w:pPr>
    </w:p>
    <w:p>
      <w:pPr>
        <w:spacing w:after="0" w:line="317" w:lineRule="exact"/>
        <w:rPr>
          <w:sz w:val="20"/>
          <w:szCs w:val="20"/>
          <w:color w:val="auto"/>
        </w:rPr>
      </w:pPr>
    </w:p>
    <w:p>
      <w:pPr>
        <w:ind w:left="3540"/>
        <w:spacing w:after="0"/>
        <w:rPr>
          <w:sz w:val="20"/>
          <w:szCs w:val="20"/>
          <w:color w:val="auto"/>
        </w:rPr>
      </w:pPr>
      <w:r>
        <w:rPr>
          <w:rFonts w:ascii="Arial" w:cs="Arial" w:eastAsia="Arial" w:hAnsi="Arial"/>
          <w:sz w:val="22"/>
          <w:szCs w:val="22"/>
          <w:b w:val="1"/>
          <w:bCs w:val="1"/>
          <w:u w:val="single" w:color="auto"/>
          <w:color w:val="auto"/>
        </w:rPr>
        <w:t>(Tier Two Executive)</w:t>
      </w:r>
    </w:p>
    <w:p>
      <w:pPr>
        <w:spacing w:after="0" w:line="200" w:lineRule="exact"/>
        <w:rPr>
          <w:sz w:val="20"/>
          <w:szCs w:val="20"/>
          <w:color w:val="auto"/>
        </w:rPr>
      </w:pPr>
    </w:p>
    <w:p>
      <w:pPr>
        <w:spacing w:after="0" w:line="31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_________________________________________________________________</w:t>
      </w:r>
    </w:p>
    <w:p>
      <w:pPr>
        <w:sectPr>
          <w:pgSz w:w="11900" w:h="16838" w:orient="portrait"/>
          <w:cols w:equalWidth="0" w:num="1">
            <w:col w:w="10220"/>
          </w:cols>
          <w:pgMar w:left="1440" w:top="342" w:right="239" w:bottom="1440" w:gutter="0" w:footer="0" w:header="0"/>
        </w:sectPr>
      </w:pPr>
    </w:p>
    <w:bookmarkStart w:id="196" w:name="page197"/>
    <w:bookmarkEnd w:id="196"/>
    <w:p>
      <w:pPr>
        <w:ind w:left="2100"/>
        <w:spacing w:after="0"/>
        <w:rPr>
          <w:sz w:val="20"/>
          <w:szCs w:val="20"/>
          <w:color w:val="auto"/>
        </w:rPr>
      </w:pPr>
      <w:r>
        <w:rPr>
          <w:rFonts w:ascii="Arial" w:cs="Arial" w:eastAsia="Arial" w:hAnsi="Arial"/>
          <w:sz w:val="22"/>
          <w:szCs w:val="22"/>
          <w:b w:val="1"/>
          <w:bCs w:val="1"/>
          <w:color w:val="auto"/>
        </w:rPr>
        <w:t>CHANGE IN CONTROL AND RESTRICTIVE COVENANT AGREEMENT</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Certain Definitions</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3</w:t>
            </w:r>
          </w:p>
        </w:tc>
      </w:tr>
      <w:tr>
        <w:trPr>
          <w:trHeight w:val="378"/>
        </w:trPr>
        <w:tc>
          <w:tcPr>
            <w:tcW w:w="7140" w:type="dxa"/>
            <w:vAlign w:val="bottom"/>
          </w:tcPr>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Change in Control</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4</w:t>
            </w:r>
          </w:p>
        </w:tc>
      </w:tr>
      <w:tr>
        <w:trPr>
          <w:trHeight w:val="378"/>
        </w:trPr>
        <w:tc>
          <w:tcPr>
            <w:tcW w:w="7140" w:type="dxa"/>
            <w:vAlign w:val="bottom"/>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Employment Period</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5</w:t>
            </w:r>
          </w:p>
        </w:tc>
      </w:tr>
      <w:tr>
        <w:trPr>
          <w:trHeight w:val="378"/>
        </w:trPr>
        <w:tc>
          <w:tcPr>
            <w:tcW w:w="7140" w:type="dxa"/>
            <w:vAlign w:val="bottom"/>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Terms of Employment</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5</w:t>
            </w:r>
          </w:p>
        </w:tc>
      </w:tr>
      <w:tr>
        <w:trPr>
          <w:trHeight w:val="270"/>
        </w:trPr>
        <w:tc>
          <w:tcPr>
            <w:tcW w:w="7140" w:type="dxa"/>
            <w:vAlign w:val="bottom"/>
          </w:tcPr>
          <w:p>
            <w:pPr>
              <w:ind w:left="480"/>
              <w:spacing w:after="0"/>
              <w:rPr>
                <w:sz w:val="20"/>
                <w:szCs w:val="20"/>
                <w:color w:val="auto"/>
              </w:rPr>
            </w:pPr>
            <w:r>
              <w:rPr>
                <w:rFonts w:ascii="Arial" w:cs="Arial" w:eastAsia="Arial" w:hAnsi="Arial"/>
                <w:sz w:val="18"/>
                <w:szCs w:val="18"/>
                <w:color w:val="auto"/>
              </w:rPr>
              <w:t>(a) Position and Duties</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5</w:t>
            </w:r>
          </w:p>
        </w:tc>
      </w:tr>
      <w:tr>
        <w:trPr>
          <w:trHeight w:val="270"/>
        </w:trPr>
        <w:tc>
          <w:tcPr>
            <w:tcW w:w="7140" w:type="dxa"/>
            <w:vAlign w:val="bottom"/>
          </w:tcPr>
          <w:p>
            <w:pPr>
              <w:ind w:left="480"/>
              <w:spacing w:after="0"/>
              <w:rPr>
                <w:sz w:val="20"/>
                <w:szCs w:val="20"/>
                <w:color w:val="auto"/>
              </w:rPr>
            </w:pPr>
            <w:r>
              <w:rPr>
                <w:rFonts w:ascii="Arial" w:cs="Arial" w:eastAsia="Arial" w:hAnsi="Arial"/>
                <w:sz w:val="18"/>
                <w:szCs w:val="18"/>
                <w:color w:val="auto"/>
              </w:rPr>
              <w:t>(b) Compensation</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6</w:t>
            </w:r>
          </w:p>
        </w:tc>
      </w:tr>
      <w:tr>
        <w:trPr>
          <w:trHeight w:val="378"/>
        </w:trPr>
        <w:tc>
          <w:tcPr>
            <w:tcW w:w="7140" w:type="dxa"/>
            <w:vAlign w:val="bottom"/>
          </w:tcPr>
          <w:p>
            <w:pPr>
              <w:spacing w:after="0"/>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Termination of Employment</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7</w:t>
            </w:r>
          </w:p>
        </w:tc>
      </w:tr>
      <w:tr>
        <w:trPr>
          <w:trHeight w:val="270"/>
        </w:trPr>
        <w:tc>
          <w:tcPr>
            <w:tcW w:w="7140" w:type="dxa"/>
            <w:vAlign w:val="bottom"/>
          </w:tcPr>
          <w:p>
            <w:pPr>
              <w:ind w:left="480"/>
              <w:spacing w:after="0"/>
              <w:rPr>
                <w:sz w:val="20"/>
                <w:szCs w:val="20"/>
                <w:color w:val="auto"/>
              </w:rPr>
            </w:pPr>
            <w:r>
              <w:rPr>
                <w:rFonts w:ascii="Arial" w:cs="Arial" w:eastAsia="Arial" w:hAnsi="Arial"/>
                <w:sz w:val="18"/>
                <w:szCs w:val="18"/>
                <w:color w:val="auto"/>
              </w:rPr>
              <w:t>(a) Death or Disability</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7</w:t>
            </w:r>
          </w:p>
        </w:tc>
      </w:tr>
      <w:tr>
        <w:trPr>
          <w:trHeight w:val="270"/>
        </w:trPr>
        <w:tc>
          <w:tcPr>
            <w:tcW w:w="7140" w:type="dxa"/>
            <w:vAlign w:val="bottom"/>
          </w:tcPr>
          <w:p>
            <w:pPr>
              <w:ind w:left="480"/>
              <w:spacing w:after="0"/>
              <w:rPr>
                <w:sz w:val="20"/>
                <w:szCs w:val="20"/>
                <w:color w:val="auto"/>
              </w:rPr>
            </w:pPr>
            <w:r>
              <w:rPr>
                <w:rFonts w:ascii="Arial" w:cs="Arial" w:eastAsia="Arial" w:hAnsi="Arial"/>
                <w:sz w:val="18"/>
                <w:szCs w:val="18"/>
                <w:color w:val="auto"/>
              </w:rPr>
              <w:t>(b) Cause</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8</w:t>
            </w:r>
          </w:p>
        </w:tc>
      </w:tr>
      <w:tr>
        <w:trPr>
          <w:trHeight w:val="270"/>
        </w:trPr>
        <w:tc>
          <w:tcPr>
            <w:tcW w:w="7140" w:type="dxa"/>
            <w:vAlign w:val="bottom"/>
          </w:tcPr>
          <w:p>
            <w:pPr>
              <w:ind w:left="480"/>
              <w:spacing w:after="0"/>
              <w:rPr>
                <w:sz w:val="20"/>
                <w:szCs w:val="20"/>
                <w:color w:val="auto"/>
              </w:rPr>
            </w:pPr>
            <w:r>
              <w:rPr>
                <w:rFonts w:ascii="Arial" w:cs="Arial" w:eastAsia="Arial" w:hAnsi="Arial"/>
                <w:sz w:val="18"/>
                <w:szCs w:val="18"/>
                <w:color w:val="auto"/>
              </w:rPr>
              <w:t>(c) Good Reason</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99"/>
              </w:rPr>
              <w:t>9</w:t>
            </w:r>
          </w:p>
        </w:tc>
      </w:tr>
      <w:tr>
        <w:trPr>
          <w:trHeight w:val="378"/>
        </w:trPr>
        <w:tc>
          <w:tcPr>
            <w:tcW w:w="7140" w:type="dxa"/>
            <w:vAlign w:val="bottom"/>
          </w:tcPr>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Obligations of the Company upon Termination</w:t>
            </w:r>
          </w:p>
        </w:tc>
        <w:tc>
          <w:tcPr>
            <w:tcW w:w="3760" w:type="dxa"/>
            <w:vAlign w:val="bottom"/>
          </w:tcPr>
          <w:p>
            <w:pPr>
              <w:jc w:val="center"/>
              <w:ind w:left="3490"/>
              <w:spacing w:after="0"/>
              <w:rPr>
                <w:sz w:val="20"/>
                <w:szCs w:val="20"/>
                <w:color w:val="auto"/>
              </w:rPr>
            </w:pPr>
            <w:r>
              <w:rPr>
                <w:rFonts w:ascii="Arial" w:cs="Arial" w:eastAsia="Arial" w:hAnsi="Arial"/>
                <w:sz w:val="18"/>
                <w:szCs w:val="18"/>
                <w:color w:val="auto"/>
                <w:w w:val="89"/>
              </w:rPr>
              <w:t>10</w:t>
            </w:r>
          </w:p>
        </w:tc>
      </w:tr>
    </w:tbl>
    <w:p>
      <w:pPr>
        <w:spacing w:after="0" w:line="33" w:lineRule="exact"/>
        <w:rPr>
          <w:sz w:val="20"/>
          <w:szCs w:val="20"/>
          <w:color w:val="auto"/>
        </w:rPr>
      </w:pPr>
    </w:p>
    <w:p>
      <w:pPr>
        <w:ind w:left="1080" w:right="6120" w:hanging="559"/>
        <w:spacing w:after="0" w:line="286" w:lineRule="auto"/>
        <w:tabs>
          <w:tab w:leader="none" w:pos="757" w:val="left"/>
        </w:tabs>
        <w:numPr>
          <w:ilvl w:val="0"/>
          <w:numId w:val="127"/>
        </w:numPr>
        <w:rPr>
          <w:rFonts w:ascii="Arial" w:cs="Arial" w:eastAsia="Arial" w:hAnsi="Arial"/>
          <w:sz w:val="16"/>
          <w:szCs w:val="16"/>
          <w:color w:val="auto"/>
        </w:rPr>
      </w:pPr>
      <w:r>
        <w:rPr>
          <w:rFonts w:ascii="Arial" w:cs="Arial" w:eastAsia="Arial" w:hAnsi="Arial"/>
          <w:sz w:val="19"/>
          <w:szCs w:val="19"/>
          <w:color w:val="auto"/>
        </w:rPr>
        <w:t>T</w:t>
      </w:r>
      <w:r>
        <w:rPr>
          <w:rFonts w:ascii="Arial" w:cs="Arial" w:eastAsia="Arial" w:hAnsi="Arial"/>
          <w:sz w:val="16"/>
          <w:szCs w:val="16"/>
          <w:color w:val="auto"/>
        </w:rPr>
        <w:t>ermination by Executive for Good Reason;</w:t>
      </w:r>
      <w:r>
        <w:rPr>
          <w:rFonts w:ascii="Arial" w:cs="Arial" w:eastAsia="Arial" w:hAnsi="Arial"/>
          <w:sz w:val="19"/>
          <w:szCs w:val="19"/>
          <w:color w:val="auto"/>
        </w:rPr>
        <w:t xml:space="preserve"> </w:t>
      </w:r>
      <w:r>
        <w:rPr>
          <w:rFonts w:ascii="Arial" w:cs="Arial" w:eastAsia="Arial" w:hAnsi="Arial"/>
          <w:sz w:val="16"/>
          <w:szCs w:val="16"/>
          <w:color w:val="auto"/>
        </w:rPr>
        <w:t>Termination by the Company Other Than for Cause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20" w:type="dxa"/>
            <w:vAlign w:val="bottom"/>
          </w:tcPr>
          <w:p>
            <w:pPr>
              <w:ind w:left="1040"/>
              <w:spacing w:after="0"/>
              <w:rPr>
                <w:sz w:val="20"/>
                <w:szCs w:val="20"/>
                <w:color w:val="auto"/>
              </w:rPr>
            </w:pPr>
            <w:r>
              <w:rPr>
                <w:rFonts w:ascii="Arial" w:cs="Arial" w:eastAsia="Arial" w:hAnsi="Arial"/>
                <w:sz w:val="18"/>
                <w:szCs w:val="18"/>
                <w:color w:val="auto"/>
              </w:rPr>
              <w:t>or Disability</w:t>
            </w:r>
          </w:p>
        </w:tc>
        <w:tc>
          <w:tcPr>
            <w:tcW w:w="3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6"/>
        </w:trPr>
        <w:tc>
          <w:tcPr>
            <w:tcW w:w="7120" w:type="dxa"/>
            <w:vAlign w:val="bottom"/>
          </w:tcPr>
          <w:p>
            <w:pPr>
              <w:ind w:left="480"/>
              <w:spacing w:after="0"/>
              <w:rPr>
                <w:sz w:val="20"/>
                <w:szCs w:val="20"/>
                <w:color w:val="auto"/>
              </w:rPr>
            </w:pPr>
            <w:r>
              <w:rPr>
                <w:rFonts w:ascii="Arial" w:cs="Arial" w:eastAsia="Arial" w:hAnsi="Arial"/>
                <w:sz w:val="18"/>
                <w:szCs w:val="18"/>
                <w:color w:val="auto"/>
              </w:rPr>
              <w:t>(b) Death or Disability</w:t>
            </w:r>
          </w:p>
        </w:tc>
        <w:tc>
          <w:tcPr>
            <w:tcW w:w="3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(c) Cause; Other than Good Reason</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(d) Expiration of Employment Period</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 Non-exclusivity of Rights</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 No Mitigation</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 Costs of Enforcement and Interest</w:t>
            </w:r>
          </w:p>
        </w:tc>
        <w:tc>
          <w:tcPr>
            <w:tcW w:w="3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 Code Section 280G</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 Restrictions on Conduct of Executive</w:t>
            </w:r>
          </w:p>
        </w:tc>
        <w:tc>
          <w:tcPr>
            <w:tcW w:w="3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 Arbitration</w:t>
            </w:r>
          </w:p>
        </w:tc>
        <w:tc>
          <w:tcPr>
            <w:tcW w:w="37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 Successors</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 Miscellaneous</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(a) Governing Law</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(b) Captions</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(c) Amendments</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(d) Notices</w:t>
            </w:r>
          </w:p>
        </w:tc>
        <w:tc>
          <w:tcPr>
            <w:tcW w:w="3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(e) Severability</w:t>
            </w:r>
          </w:p>
        </w:tc>
        <w:tc>
          <w:tcPr>
            <w:tcW w:w="3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(f) Withholding</w:t>
            </w:r>
          </w:p>
        </w:tc>
        <w:tc>
          <w:tcPr>
            <w:tcW w:w="3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(g) Waivers</w:t>
            </w:r>
          </w:p>
        </w:tc>
        <w:tc>
          <w:tcPr>
            <w:tcW w:w="3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7120" w:type="dxa"/>
            <w:vAlign w:val="bottom"/>
          </w:tcPr>
          <w:p>
            <w:pPr>
              <w:ind w:left="480"/>
              <w:spacing w:after="0"/>
              <w:rPr>
                <w:sz w:val="20"/>
                <w:szCs w:val="20"/>
                <w:color w:val="auto"/>
              </w:rPr>
            </w:pPr>
            <w:r>
              <w:rPr>
                <w:rFonts w:ascii="Arial" w:cs="Arial" w:eastAsia="Arial" w:hAnsi="Arial"/>
                <w:sz w:val="18"/>
                <w:szCs w:val="18"/>
                <w:color w:val="auto"/>
              </w:rPr>
              <w:t>(h) Status Before and After Effective Date</w:t>
            </w:r>
          </w:p>
        </w:tc>
        <w:tc>
          <w:tcPr>
            <w:tcW w:w="3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78"/>
        </w:trPr>
        <w:tc>
          <w:tcPr>
            <w:tcW w:w="7120" w:type="dxa"/>
            <w:vAlign w:val="bottom"/>
          </w:tcPr>
          <w:p>
            <w:pPr>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 Code Section 409A</w:t>
            </w:r>
          </w:p>
        </w:tc>
        <w:tc>
          <w:tcPr>
            <w:tcW w:w="37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92"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- 2 -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0940"/>
          </w:cols>
          <w:pgMar w:left="240" w:top="598" w:right="719" w:bottom="1440" w:gutter="0" w:footer="0" w:header="0"/>
        </w:sectPr>
      </w:pPr>
    </w:p>
    <w:bookmarkStart w:id="197" w:name="page198"/>
    <w:bookmarkEnd w:id="197"/>
    <w:p>
      <w:pPr>
        <w:jc w:val="center"/>
        <w:spacing w:after="0"/>
        <w:rPr>
          <w:sz w:val="20"/>
          <w:szCs w:val="20"/>
          <w:color w:val="auto"/>
        </w:rPr>
      </w:pPr>
      <w:r>
        <w:rPr>
          <w:rFonts w:ascii="Arial" w:cs="Arial" w:eastAsia="Arial" w:hAnsi="Arial"/>
          <w:sz w:val="22"/>
          <w:szCs w:val="22"/>
          <w:b w:val="1"/>
          <w:bCs w:val="1"/>
          <w:u w:val="single" w:color="auto"/>
          <w:color w:val="auto"/>
        </w:rPr>
        <w:t>CHANGE IN CONTROL AND RESTRICTIVE COVENANT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(Tier Two Executive)</w:t>
      </w: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CHANGE IN CONTROL AND RESTRICTIVE COVENANT AGREEMENT (the “Agreement”) is entered into by and between The Williams Companies, Inc., a Delaware corporation (the “Company”) and [Executive] (“Executive”), as of the __ day of ________, 2019.</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The Board of Directors of the Company (the “Board”) has determined that it is in the best interests of the Company and its shareholders to assure that the Company will have the continued dedication of Executive, notwithstanding the possibility, threat or occurrence of a Change in Control (as defined below) of the Company. The Board believes it is imperative to diminish the inevitable distraction of Executive by virtue of the personal uncertainties and risks created by a pending or threatened Change in Control and to encourage Executive’s full attention and dedication to the Company currently and in the event of any threatened or pending Change in Control, and to provide Executive with compensation and benefits arrangements upon a Change in Control which ensure that the compensation and benefits expectations of Executive will be satisfied and are competitive with those of other corporations. Therefore, in order to accomplish these objectives, the Board has caused the Company to enter into this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HEREBY AGREED AS FOLLOWS:</w:t>
      </w:r>
    </w:p>
    <w:p>
      <w:pPr>
        <w:spacing w:after="0" w:line="260" w:lineRule="exact"/>
        <w:rPr>
          <w:sz w:val="20"/>
          <w:szCs w:val="20"/>
          <w:color w:val="auto"/>
        </w:rPr>
      </w:pPr>
    </w:p>
    <w:p>
      <w:pPr>
        <w:ind w:left="1040" w:hanging="384"/>
        <w:spacing w:after="0"/>
        <w:tabs>
          <w:tab w:leader="none" w:pos="104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7" w:lineRule="auto"/>
        <w:tabs>
          <w:tab w:leader="none" w:pos="1911"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“Agreement Term” shall mean the period commencing on February 1, 2019 and continuing indefinitely, provided, however, that the Company may cause the Agreement Term to terminate at any time by delivering written notice (an “Expiration Notice”) to Executive in accordance with Section 14(d) that the Agreement Term shall expire on a date specified in the Expiration Notice (the “Expiration Date”) that is not less than 12 months after the date the Expiration Notice is delivered to Executive. Notwithstanding the foregoing, if prior to the Expiration Date specified in the Expiration Notice, the Company enters into an agreement that is reasonably likely to result in a Change in Control, then such Expiration Notice shall be void and of no further effect. In addition, if, prior to February 1, 2019, (i) a Change in Control of the Company occurs, or (ii) the Company enters into an agreement that is reasonably likely to result in a Change in Control, then the Executive’s Amended and Restated Change-In-Control Severance Agreement in effect with the Company, dated as of _______, 20__ (the “Prior CIC Severance Agreement”), shall remain in full force and effect, the Expiration Notice relating to the Prior CIC Severance Agreement delivered to Executive on February 1, 2018 shall be void and of no further effect, and this Agreement shall not become effective. For purposes of the preceding sentence only, “Change in Control” shall have the meaning ascribed to such term in the Prior CIC Severance Agreement.</w:t>
      </w:r>
    </w:p>
    <w:p>
      <w:pPr>
        <w:spacing w:after="0" w:line="200" w:lineRule="exact"/>
        <w:rPr>
          <w:rFonts w:ascii="Arial" w:cs="Arial" w:eastAsia="Arial" w:hAnsi="Arial"/>
          <w:sz w:val="19"/>
          <w:szCs w:val="19"/>
          <w:color w:val="auto"/>
        </w:rPr>
      </w:pPr>
    </w:p>
    <w:p>
      <w:pPr>
        <w:jc w:val="both"/>
        <w:ind w:firstLine="1305"/>
        <w:spacing w:after="0" w:line="265" w:lineRule="auto"/>
        <w:tabs>
          <w:tab w:leader="none" w:pos="189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“Effective Date” shall mean the first date during the Agreement Term on which a Change in Control (as defined in Section 2) occurs. Anything in this Agreement to the contrary notwithstanding, if Executive’s employment with the Company or an affiliate is involuntarily terminated, and if it is reasonably demonstrated by Executive that such termination of employment was at the request of a third party who has taken steps reasonably calculated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2" w:right="239" w:bottom="1440" w:gutter="0" w:footer="0" w:header="0"/>
        </w:sectPr>
      </w:pPr>
    </w:p>
    <w:bookmarkStart w:id="198" w:name="page199"/>
    <w:bookmarkEnd w:id="198"/>
    <w:p>
      <w:pPr>
        <w:spacing w:after="0" w:line="263" w:lineRule="auto"/>
        <w:rPr>
          <w:sz w:val="20"/>
          <w:szCs w:val="20"/>
          <w:color w:val="auto"/>
        </w:rPr>
      </w:pPr>
      <w:r>
        <w:rPr>
          <w:rFonts w:ascii="Arial" w:cs="Arial" w:eastAsia="Arial" w:hAnsi="Arial"/>
          <w:sz w:val="22"/>
          <w:szCs w:val="22"/>
          <w:color w:val="auto"/>
        </w:rPr>
        <w:t>effect a Change in Control, then for all purposes of this Agreement the “Effective Date” shall mean the date immediately prior to the date of such termination of employment.</w:t>
      </w:r>
    </w:p>
    <w:p>
      <w:pPr>
        <w:spacing w:after="0" w:line="215" w:lineRule="exact"/>
        <w:rPr>
          <w:sz w:val="20"/>
          <w:szCs w:val="20"/>
          <w:color w:val="auto"/>
        </w:rPr>
      </w:pPr>
    </w:p>
    <w:p>
      <w:pPr>
        <w:jc w:val="both"/>
        <w:ind w:firstLine="1305"/>
        <w:spacing w:after="0" w:line="250" w:lineRule="auto"/>
        <w:tabs>
          <w:tab w:leader="none" w:pos="1831" w:val="left"/>
        </w:tabs>
        <w:numPr>
          <w:ilvl w:val="1"/>
          <w:numId w:val="129"/>
        </w:numPr>
        <w:rPr>
          <w:rFonts w:ascii="Arial" w:cs="Arial" w:eastAsia="Arial" w:hAnsi="Arial"/>
          <w:sz w:val="22"/>
          <w:szCs w:val="22"/>
          <w:color w:val="auto"/>
        </w:rPr>
      </w:pPr>
      <w:r>
        <w:rPr>
          <w:rFonts w:ascii="Arial" w:cs="Arial" w:eastAsia="Arial" w:hAnsi="Arial"/>
          <w:sz w:val="22"/>
          <w:szCs w:val="22"/>
          <w:color w:val="auto"/>
        </w:rPr>
        <w:t>“Incumbent Board” shall mean individuals who, as of February 1, 2019, constitute the Board and any other individual who becomes a director of the Company after that date and whose election or appointment by the Board or nomination for election by the Company’s stockholders was approved by a vote of at least a majority of the directors then comprising the Incumbent Board.</w:t>
      </w:r>
    </w:p>
    <w:p>
      <w:pPr>
        <w:spacing w:after="0" w:line="228" w:lineRule="exact"/>
        <w:rPr>
          <w:rFonts w:ascii="Arial" w:cs="Arial" w:eastAsia="Arial" w:hAnsi="Arial"/>
          <w:sz w:val="22"/>
          <w:szCs w:val="22"/>
          <w:color w:val="auto"/>
        </w:rPr>
      </w:pPr>
    </w:p>
    <w:p>
      <w:pPr>
        <w:ind w:firstLine="1305"/>
        <w:spacing w:after="0" w:line="263" w:lineRule="auto"/>
        <w:tabs>
          <w:tab w:leader="none" w:pos="1792" w:val="left"/>
        </w:tabs>
        <w:numPr>
          <w:ilvl w:val="1"/>
          <w:numId w:val="129"/>
        </w:numPr>
        <w:rPr>
          <w:rFonts w:ascii="Arial" w:cs="Arial" w:eastAsia="Arial" w:hAnsi="Arial"/>
          <w:sz w:val="22"/>
          <w:szCs w:val="22"/>
          <w:color w:val="auto"/>
        </w:rPr>
      </w:pPr>
      <w:r>
        <w:rPr>
          <w:rFonts w:ascii="Arial" w:cs="Arial" w:eastAsia="Arial" w:hAnsi="Arial"/>
          <w:sz w:val="22"/>
          <w:szCs w:val="22"/>
          <w:color w:val="auto"/>
        </w:rPr>
        <w:t>“Person” shall mean a Person as defined in Section 3(a)(9) of the Securities Exchange Act of 1934 (the “1934 Act”) and as used in Section 13d-3 and 14d-2 of the 1934 Act.</w:t>
      </w:r>
    </w:p>
    <w:p>
      <w:pPr>
        <w:spacing w:after="0" w:line="215" w:lineRule="exact"/>
        <w:rPr>
          <w:rFonts w:ascii="Arial" w:cs="Arial" w:eastAsia="Arial" w:hAnsi="Arial"/>
          <w:sz w:val="22"/>
          <w:szCs w:val="22"/>
          <w:color w:val="auto"/>
        </w:rPr>
      </w:pPr>
    </w:p>
    <w:p>
      <w:pPr>
        <w:ind w:firstLine="656"/>
        <w:spacing w:after="0" w:line="263" w:lineRule="auto"/>
        <w:tabs>
          <w:tab w:leader="none" w:pos="1053"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For the purposes of this Agreement, a “Change in Control” shall mean the occurrence of any of the following events:</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178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A majority of the members of the Board of Directors of the Company is replaced during any 12-month period by directors whose appointment or election is not approved by a majority of the members constituting the Board of Directors prior to the date of the appointment or election; or</w:t>
      </w:r>
    </w:p>
    <w:p>
      <w:pPr>
        <w:spacing w:after="0" w:line="226" w:lineRule="exact"/>
        <w:rPr>
          <w:rFonts w:ascii="Arial" w:cs="Arial" w:eastAsia="Arial" w:hAnsi="Arial"/>
          <w:sz w:val="22"/>
          <w:szCs w:val="22"/>
          <w:color w:val="auto"/>
        </w:rPr>
      </w:pPr>
    </w:p>
    <w:p>
      <w:pPr>
        <w:jc w:val="both"/>
        <w:ind w:left="660" w:firstLine="645"/>
        <w:spacing w:after="0" w:line="259" w:lineRule="auto"/>
        <w:tabs>
          <w:tab w:leader="none" w:pos="1815"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any Person becomes a “Beneficial Owner” (such term for purposes of this definition being as defined in Rule 13d-3 under the 1934 Act), directly or indirectly, of securities of the Company representing 30% or more of the combined voting power of the Company’s then outstanding securities eligible to vote for the election of directors (the “Company Voting Securities”);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for purposes of this subsection (b), the following acquisitions shall not constitute a Change in Control: (w) an acquisition directly from the Company, (x) an acquisition by the Company or a subsidiary of the Company (a “Subsidiary”), (y) an acquisition by any employee benefit plan (or related trust) sponsored or maintained by the Company or any Subsidiary, or (z) an acquisition pursuant to a Non-Qualifying Transaction (as defined in subsection (c) below); or</w:t>
      </w:r>
    </w:p>
    <w:p>
      <w:pPr>
        <w:spacing w:after="0" w:line="224" w:lineRule="exact"/>
        <w:rPr>
          <w:rFonts w:ascii="Arial" w:cs="Arial" w:eastAsia="Arial" w:hAnsi="Arial"/>
          <w:sz w:val="21"/>
          <w:szCs w:val="21"/>
          <w:color w:val="auto"/>
        </w:rPr>
      </w:pPr>
    </w:p>
    <w:p>
      <w:pPr>
        <w:jc w:val="both"/>
        <w:ind w:left="660" w:firstLine="645"/>
        <w:spacing w:after="0" w:line="258" w:lineRule="auto"/>
        <w:tabs>
          <w:tab w:leader="none" w:pos="1898"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entity (an “Acquisition”), unless immediately following such Reorganization, Sale or Acquisition: (A) all or substantially all of the individuals and entities who were the beneficial owners, respectively, of the outstanding shares of common stock of the Company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entity resulting from such Reorganization, Sale or Acquisition (including, without limitation, an entity which as a result of such transaction owns the Company or all or substantially all of the Company’s assets or stock either directly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199" w:name="page200"/>
    <w:bookmarkEnd w:id="199"/>
    <w:p>
      <w:pPr>
        <w:jc w:val="both"/>
        <w:ind w:left="660"/>
        <w:spacing w:after="0" w:line="258" w:lineRule="auto"/>
        <w:rPr>
          <w:sz w:val="20"/>
          <w:szCs w:val="20"/>
          <w:color w:val="auto"/>
        </w:rPr>
      </w:pPr>
      <w:r>
        <w:rPr>
          <w:rFonts w:ascii="Arial" w:cs="Arial" w:eastAsia="Arial" w:hAnsi="Arial"/>
          <w:sz w:val="21"/>
          <w:szCs w:val="21"/>
          <w:color w:val="auto"/>
        </w:rPr>
        <w:t>or through one or more subsidiaries, the “Surviving Entity”)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Entity or its ultimate parent, or (z) any employee benefit plan (or related trust) sponsored or maintained by any of the foregoing) is the Beneficial Owner, directly or indirectly, of 30% or more of the Company Voting Securities, and (C) at least a majority of the members of the board of directors or similar governing body of the Surviving Entity were members of the Incumbent Board at the time of the execution of the initial agreement, or at the time of the action of the Board of Directors, providing for such Reorganization, Sale or Acquisition (any Reorganization, Sale or Acquisition which satisfies all of the criteria specified in (A), (B) and (C) above shall be deemed to be a “Non-Qualifying Transaction”); or</w:t>
      </w:r>
    </w:p>
    <w:p>
      <w:pPr>
        <w:spacing w:after="0" w:line="227" w:lineRule="exact"/>
        <w:rPr>
          <w:sz w:val="20"/>
          <w:szCs w:val="20"/>
          <w:color w:val="auto"/>
        </w:rPr>
      </w:pPr>
    </w:p>
    <w:p>
      <w:pPr>
        <w:ind w:left="1780" w:hanging="475"/>
        <w:spacing w:after="0"/>
        <w:tabs>
          <w:tab w:leader="none" w:pos="1780" w:val="left"/>
        </w:tabs>
        <w:numPr>
          <w:ilvl w:val="1"/>
          <w:numId w:val="131"/>
        </w:numPr>
        <w:rPr>
          <w:rFonts w:ascii="Arial" w:cs="Arial" w:eastAsia="Arial" w:hAnsi="Arial"/>
          <w:sz w:val="21"/>
          <w:szCs w:val="21"/>
          <w:color w:val="auto"/>
        </w:rPr>
      </w:pPr>
      <w:r>
        <w:rPr>
          <w:rFonts w:ascii="Arial" w:cs="Arial" w:eastAsia="Arial" w:hAnsi="Arial"/>
          <w:sz w:val="21"/>
          <w:szCs w:val="21"/>
          <w:color w:val="auto"/>
        </w:rPr>
        <w:t>approval by the shareholders of the Company of a complete liquidation or dissolution of the Company.</w:t>
      </w:r>
    </w:p>
    <w:p>
      <w:pPr>
        <w:spacing w:after="0" w:line="271" w:lineRule="exact"/>
        <w:rPr>
          <w:rFonts w:ascii="Arial" w:cs="Arial" w:eastAsia="Arial" w:hAnsi="Arial"/>
          <w:sz w:val="21"/>
          <w:szCs w:val="21"/>
          <w:color w:val="auto"/>
        </w:rPr>
      </w:pPr>
    </w:p>
    <w:p>
      <w:pPr>
        <w:jc w:val="both"/>
        <w:ind w:firstLine="656"/>
        <w:spacing w:after="0" w:line="294" w:lineRule="auto"/>
        <w:tabs>
          <w:tab w:leader="none" w:pos="1067"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Employment Period</w:t>
      </w:r>
      <w:r>
        <w:rPr>
          <w:rFonts w:ascii="Arial" w:cs="Arial" w:eastAsia="Arial" w:hAnsi="Arial"/>
          <w:sz w:val="19"/>
          <w:szCs w:val="19"/>
          <w:color w:val="auto"/>
        </w:rPr>
        <w:t>. The Company hereby agrees to continue Executive in its or an affiliate’s employ, and Executive hereby agrees to remain in the employ of the Company or an affiliate, subject to the terms and conditions of this Agreement, for the period commencing on the Effective Date and ending on the second anniversary of such date, unless Executive’s employment with the Company or an affiliate is terminated earlier pursuant to Section 5 of this Agreement. The period commencing on the Effective Date and ending on the earlier of the second anniversary of the Effective Date or the date on which Executive’s employment is terminated pursuant to Section 5 of this Agreement shall be the “Employment Period.”</w:t>
      </w:r>
    </w:p>
    <w:p>
      <w:pPr>
        <w:spacing w:after="0" w:line="190" w:lineRule="exact"/>
        <w:rPr>
          <w:rFonts w:ascii="Arial" w:cs="Arial" w:eastAsia="Arial" w:hAnsi="Arial"/>
          <w:sz w:val="19"/>
          <w:szCs w:val="19"/>
          <w:color w:val="auto"/>
        </w:rPr>
      </w:pPr>
    </w:p>
    <w:p>
      <w:pPr>
        <w:ind w:left="1040" w:hanging="384"/>
        <w:spacing w:after="0"/>
        <w:tabs>
          <w:tab w:leader="none" w:pos="104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Terms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48" w:lineRule="auto"/>
        <w:tabs>
          <w:tab w:leader="none" w:pos="2216" w:val="left"/>
        </w:tabs>
        <w:numPr>
          <w:ilvl w:val="2"/>
          <w:numId w:val="132"/>
        </w:numPr>
        <w:rPr>
          <w:rFonts w:ascii="Arial" w:cs="Arial" w:eastAsia="Arial" w:hAnsi="Arial"/>
          <w:sz w:val="22"/>
          <w:szCs w:val="22"/>
          <w:color w:val="auto"/>
        </w:rPr>
      </w:pPr>
      <w:r>
        <w:rPr>
          <w:rFonts w:ascii="Arial" w:cs="Arial" w:eastAsia="Arial" w:hAnsi="Arial"/>
          <w:sz w:val="22"/>
          <w:szCs w:val="22"/>
          <w:color w:val="auto"/>
        </w:rPr>
        <w:t>During the Employment Period, (A) Executive’s position (including status, offices, titles and reporting relationships), authority, duties and responsibilities shall be at least commensurate in all material respects with the most significant of those held, exercised and assigned at any time during the 120-day period immediately preceding the Effective Date and (B) Executive’s services shall be performed at the location where Executive was employed immediately preceding the Effective Date or any office or location less than 50 miles from such location.</w:t>
      </w:r>
    </w:p>
    <w:p>
      <w:pPr>
        <w:spacing w:after="0" w:line="232" w:lineRule="exact"/>
        <w:rPr>
          <w:rFonts w:ascii="Arial" w:cs="Arial" w:eastAsia="Arial" w:hAnsi="Arial"/>
          <w:sz w:val="22"/>
          <w:szCs w:val="22"/>
          <w:color w:val="auto"/>
        </w:rPr>
      </w:pPr>
    </w:p>
    <w:p>
      <w:pPr>
        <w:jc w:val="both"/>
        <w:ind w:firstLine="1953"/>
        <w:spacing w:after="0" w:line="246" w:lineRule="auto"/>
        <w:tabs>
          <w:tab w:leader="none" w:pos="2303" w:val="left"/>
        </w:tabs>
        <w:numPr>
          <w:ilvl w:val="2"/>
          <w:numId w:val="132"/>
        </w:numPr>
        <w:rPr>
          <w:rFonts w:ascii="Arial" w:cs="Arial" w:eastAsia="Arial" w:hAnsi="Arial"/>
          <w:sz w:val="22"/>
          <w:szCs w:val="22"/>
          <w:color w:val="auto"/>
        </w:rPr>
      </w:pPr>
      <w:r>
        <w:rPr>
          <w:rFonts w:ascii="Arial" w:cs="Arial" w:eastAsia="Arial" w:hAnsi="Arial"/>
          <w:sz w:val="22"/>
          <w:szCs w:val="22"/>
          <w:color w:val="auto"/>
        </w:rPr>
        <w:t>During the Employment Period, and excluding any periods of paid time off to which Executive is entitled, Executive shall devote substantially all of his or her business time, attention and effort to the business and affairs of the Company and its affiliates and, to the extent necessary to discharge the responsibilities assigned to Executive under this Agreement, use Executive’s reasonable best efforts to carry out such responsibilities faithfully and efficiently. It shall not be considered a violation of the foregoing for Executive to serve on corporate, industry, civic or charitable boards or committees, so long as such activities do not significantly interfere with the performance of Executive’s responsibilities as an employee of the Company and its affiliates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0" w:name="page201"/>
    <w:bookmarkEnd w:id="200"/>
    <w:p>
      <w:pPr>
        <w:jc w:val="both"/>
        <w:spacing w:after="0" w:line="263" w:lineRule="auto"/>
        <w:rPr>
          <w:sz w:val="20"/>
          <w:szCs w:val="20"/>
          <w:color w:val="auto"/>
        </w:rPr>
      </w:pPr>
      <w:r>
        <w:rPr>
          <w:rFonts w:ascii="Arial" w:cs="Arial" w:eastAsia="Arial" w:hAnsi="Arial"/>
          <w:sz w:val="21"/>
          <w:szCs w:val="21"/>
          <w:color w:val="auto"/>
        </w:rPr>
        <w:t>in accordance with this Agreement. It is expressly understood and agreed that to the extent that any such activities have been conducted by Executive prior to the Effective Date, the continued conduct of such activities (or the conduct of activities similar in nature and scope thereto) subsequent to the Effective Date shall not thereafter be deemed to interfere with the performance of Executive’s responsibilities to the Company. As used in this Agreement, the term “affiliate” or “affiliated companies” shall include any company controlled by, controlling or under common control with the Company.</w:t>
      </w:r>
    </w:p>
    <w:p>
      <w:pPr>
        <w:spacing w:after="0" w:line="216" w:lineRule="exact"/>
        <w:rPr>
          <w:sz w:val="20"/>
          <w:szCs w:val="20"/>
          <w:color w:val="auto"/>
        </w:rPr>
      </w:pPr>
    </w:p>
    <w:p>
      <w:pPr>
        <w:ind w:left="1780" w:hanging="475"/>
        <w:spacing w:after="0"/>
        <w:tabs>
          <w:tab w:leader="none" w:pos="178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w:t>
      </w:r>
    </w:p>
    <w:p>
      <w:pPr>
        <w:spacing w:after="0" w:line="260" w:lineRule="exact"/>
        <w:rPr>
          <w:rFonts w:ascii="Arial" w:cs="Arial" w:eastAsia="Arial" w:hAnsi="Arial"/>
          <w:sz w:val="22"/>
          <w:szCs w:val="22"/>
          <w:color w:val="auto"/>
        </w:rPr>
      </w:pPr>
    </w:p>
    <w:p>
      <w:pPr>
        <w:jc w:val="both"/>
        <w:ind w:firstLine="1953"/>
        <w:spacing w:after="0" w:line="289" w:lineRule="auto"/>
        <w:tabs>
          <w:tab w:leader="none" w:pos="2432"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Executive shall receive an annual base salary (“Annual Base Salary”) at a rate at least equal to the rate of base salary in effect on the date of this Agreement or, if greater, on the Effective Date, paid or payable (including any base salary which has been earned but deferred) to Executive by the Company and its affiliated companies. The Annual Base Salary shall be payable in accordance with the Company’s regular payroll practice for its senior executives, as in effect from time to time. During the Employment Period, the Annual Base Salary shall be reviewed for possible increase no more than 12 months after the last salary increase awarded to Executive prior to the Effective Date and thereafter at least annually. Any increase in the Annual Base Salary shall not limit or reduce any other obligation of the Company under this Agreement. The Annual Base Salary shall not be reduced after any such increase, and the term “Annual Base Salary” shall thereafter refer to the Annual Base Salary as so increased.</w:t>
      </w:r>
    </w:p>
    <w:p>
      <w:pPr>
        <w:spacing w:after="0" w:line="198" w:lineRule="exact"/>
        <w:rPr>
          <w:rFonts w:ascii="Arial" w:cs="Arial" w:eastAsia="Arial" w:hAnsi="Arial"/>
          <w:sz w:val="19"/>
          <w:szCs w:val="19"/>
          <w:color w:val="auto"/>
        </w:rPr>
      </w:pPr>
    </w:p>
    <w:p>
      <w:pPr>
        <w:jc w:val="both"/>
        <w:ind w:firstLine="1953"/>
        <w:spacing w:after="0" w:line="250" w:lineRule="auto"/>
        <w:tabs>
          <w:tab w:leader="none" w:pos="2506"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In addition to Annual Base Salary, Executive shall be provided, for each fiscal year ending during the Employment Period, an annual bonus opportunity at least equal to Executive’s target bonus opportunity for the last full fiscal year prior to the Effective Date (annualized in the event that Executive was not employed by the Company or an affiliate for the whole of such fiscal year).</w:t>
      </w:r>
    </w:p>
    <w:p>
      <w:pPr>
        <w:spacing w:after="0" w:line="228" w:lineRule="exact"/>
        <w:rPr>
          <w:rFonts w:ascii="Arial" w:cs="Arial" w:eastAsia="Arial" w:hAnsi="Arial"/>
          <w:sz w:val="22"/>
          <w:szCs w:val="22"/>
          <w:color w:val="auto"/>
        </w:rPr>
      </w:pPr>
    </w:p>
    <w:p>
      <w:pPr>
        <w:jc w:val="both"/>
        <w:ind w:firstLine="1953"/>
        <w:spacing w:after="0" w:line="289" w:lineRule="auto"/>
        <w:tabs>
          <w:tab w:leader="none" w:pos="2620" w:val="left"/>
        </w:tabs>
        <w:numPr>
          <w:ilvl w:val="1"/>
          <w:numId w:val="133"/>
        </w:numPr>
        <w:rPr>
          <w:rFonts w:ascii="Arial" w:cs="Arial" w:eastAsia="Arial" w:hAnsi="Arial"/>
          <w:sz w:val="19"/>
          <w:szCs w:val="19"/>
          <w:color w:val="auto"/>
        </w:rPr>
      </w:pPr>
      <w:r>
        <w:rPr>
          <w:rFonts w:ascii="Arial" w:cs="Arial" w:eastAsia="Arial" w:hAnsi="Arial"/>
          <w:sz w:val="19"/>
          <w:szCs w:val="19"/>
          <w:u w:val="single" w:color="auto"/>
          <w:color w:val="auto"/>
        </w:rPr>
        <w:t>Incentive, Savings and Retirement Plans</w:t>
      </w:r>
      <w:r>
        <w:rPr>
          <w:rFonts w:ascii="Arial" w:cs="Arial" w:eastAsia="Arial" w:hAnsi="Arial"/>
          <w:sz w:val="19"/>
          <w:szCs w:val="19"/>
          <w:color w:val="auto"/>
        </w:rPr>
        <w:t>. Without limiting the foregoing, during the Employment Period, Executive shall be entitled to participate in all applicable short-term and long-term incentive plans and programs, and savings and retirement plans, practices, policies and programs applicable generally to other senior executives of the Company and its affiliated companies (“Peer Executives”), but in no event shall such plans, practices, policies and programs provide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Executive under such plans, practices, policies and programs as in effect at any time during the 120-day period immediately preceding the Effective Date or if more favorable to Executive, those provided generally at any time after the Effective Date to Peer Executives.</w:t>
      </w:r>
    </w:p>
    <w:p>
      <w:pPr>
        <w:spacing w:after="0" w:line="198" w:lineRule="exact"/>
        <w:rPr>
          <w:rFonts w:ascii="Arial" w:cs="Arial" w:eastAsia="Arial" w:hAnsi="Arial"/>
          <w:sz w:val="19"/>
          <w:szCs w:val="19"/>
          <w:color w:val="auto"/>
        </w:rPr>
      </w:pPr>
    </w:p>
    <w:p>
      <w:pPr>
        <w:jc w:val="both"/>
        <w:ind w:firstLine="1953"/>
        <w:spacing w:after="0" w:line="253" w:lineRule="auto"/>
        <w:tabs>
          <w:tab w:leader="none" w:pos="2716"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Welfare Benefit Plans</w:t>
      </w:r>
      <w:r>
        <w:rPr>
          <w:rFonts w:ascii="Arial" w:cs="Arial" w:eastAsia="Arial" w:hAnsi="Arial"/>
          <w:sz w:val="22"/>
          <w:szCs w:val="22"/>
          <w:color w:val="auto"/>
        </w:rPr>
        <w:t>. During the Employment Period, Executive and/or Executive’s eligible dependents, as the case may be, shall be eligible for participation in and shall receive all benefits under welfare benefit plans, practices, policies and programs provided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1" w:name="page202"/>
    <w:bookmarkEnd w:id="201"/>
    <w:p>
      <w:pPr>
        <w:jc w:val="both"/>
        <w:spacing w:after="0" w:line="247" w:lineRule="auto"/>
        <w:rPr>
          <w:sz w:val="20"/>
          <w:szCs w:val="20"/>
          <w:color w:val="auto"/>
        </w:rPr>
      </w:pPr>
      <w:r>
        <w:rPr>
          <w:rFonts w:ascii="Arial" w:cs="Arial" w:eastAsia="Arial" w:hAnsi="Arial"/>
          <w:sz w:val="22"/>
          <w:szCs w:val="22"/>
          <w:color w:val="auto"/>
        </w:rPr>
        <w:t>the Company and its affiliated companies (including, without limitation, medical, prescription, dental, disability, employee life, group life, accidental death and travel accident insurance plans and programs) to the extent applicable generally to Peer Executives, but in no event shall such plans, practices, policies and programs provide Executive with benefits which are less favorable, in the aggregate, than the most favorable of such plans, practices, policies and programs in effect for Executive at any time during the 120-day period immediately preceding the Effective Date or, if more favorable to Executive, those provided generally at any time after the Effective Date to Peer Executives.</w:t>
      </w:r>
    </w:p>
    <w:p>
      <w:pPr>
        <w:spacing w:after="0" w:line="234" w:lineRule="exact"/>
        <w:rPr>
          <w:sz w:val="20"/>
          <w:szCs w:val="20"/>
          <w:color w:val="auto"/>
        </w:rPr>
      </w:pPr>
    </w:p>
    <w:p>
      <w:pPr>
        <w:jc w:val="both"/>
        <w:ind w:firstLine="1953"/>
        <w:spacing w:after="0" w:line="302" w:lineRule="auto"/>
        <w:tabs>
          <w:tab w:leader="none" w:pos="2413" w:val="left"/>
        </w:tabs>
        <w:numPr>
          <w:ilvl w:val="2"/>
          <w:numId w:val="134"/>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During the Employment Period, Executive shall be entitled to receive prompt reimbursement for all reasonable expenses incurred by Executive in accordance with the most favorable policies, practices and procedures of the Company and its affiliated companies in effect for Executive at any time during the 120-day period immediately preceding the Effective Date or, if more favorable to Executive, as in effect generally at any time thereafter with respect to Peer Executives.</w:t>
      </w:r>
    </w:p>
    <w:p>
      <w:pPr>
        <w:spacing w:after="0" w:line="183" w:lineRule="exact"/>
        <w:rPr>
          <w:rFonts w:ascii="Arial" w:cs="Arial" w:eastAsia="Arial" w:hAnsi="Arial"/>
          <w:sz w:val="19"/>
          <w:szCs w:val="19"/>
          <w:color w:val="auto"/>
        </w:rPr>
      </w:pPr>
    </w:p>
    <w:p>
      <w:pPr>
        <w:jc w:val="both"/>
        <w:ind w:firstLine="1953"/>
        <w:spacing w:after="0" w:line="302" w:lineRule="auto"/>
        <w:tabs>
          <w:tab w:leader="none" w:pos="2513" w:val="left"/>
        </w:tabs>
        <w:numPr>
          <w:ilvl w:val="2"/>
          <w:numId w:val="134"/>
        </w:numPr>
        <w:rPr>
          <w:rFonts w:ascii="Arial" w:cs="Arial" w:eastAsia="Arial" w:hAnsi="Arial"/>
          <w:sz w:val="19"/>
          <w:szCs w:val="19"/>
          <w:color w:val="auto"/>
        </w:rPr>
      </w:pPr>
      <w:r>
        <w:rPr>
          <w:rFonts w:ascii="Arial" w:cs="Arial" w:eastAsia="Arial" w:hAnsi="Arial"/>
          <w:sz w:val="19"/>
          <w:szCs w:val="19"/>
          <w:u w:val="single" w:color="auto"/>
          <w:color w:val="auto"/>
        </w:rPr>
        <w:t>Fringe Benefits and Perquisites</w:t>
      </w:r>
      <w:r>
        <w:rPr>
          <w:rFonts w:ascii="Arial" w:cs="Arial" w:eastAsia="Arial" w:hAnsi="Arial"/>
          <w:sz w:val="19"/>
          <w:szCs w:val="19"/>
          <w:color w:val="auto"/>
        </w:rPr>
        <w:t>. During the Employment Period, Executive shall be entitled to fringe benefits and perquisites in accordance with the most favorable plans, practices, programs and policies of the Company and its affiliated companies in effect for Executive at any time during the 120-day period immediately preceding the Effective Date or, if more favorable to Executive, as in effect generally at any time thereafter with respect to Peer Executives.</w:t>
      </w:r>
    </w:p>
    <w:p>
      <w:pPr>
        <w:spacing w:after="0" w:line="183" w:lineRule="exact"/>
        <w:rPr>
          <w:rFonts w:ascii="Arial" w:cs="Arial" w:eastAsia="Arial" w:hAnsi="Arial"/>
          <w:sz w:val="19"/>
          <w:szCs w:val="19"/>
          <w:color w:val="auto"/>
        </w:rPr>
      </w:pPr>
    </w:p>
    <w:p>
      <w:pPr>
        <w:jc w:val="both"/>
        <w:ind w:firstLine="1953"/>
        <w:spacing w:after="0" w:line="250" w:lineRule="auto"/>
        <w:tabs>
          <w:tab w:leader="none" w:pos="2695" w:val="left"/>
        </w:tabs>
        <w:numPr>
          <w:ilvl w:val="2"/>
          <w:numId w:val="134"/>
        </w:numPr>
        <w:rPr>
          <w:rFonts w:ascii="Arial" w:cs="Arial" w:eastAsia="Arial" w:hAnsi="Arial"/>
          <w:sz w:val="22"/>
          <w:szCs w:val="22"/>
          <w:color w:val="auto"/>
        </w:rPr>
      </w:pPr>
      <w:r>
        <w:rPr>
          <w:rFonts w:ascii="Arial" w:cs="Arial" w:eastAsia="Arial" w:hAnsi="Arial"/>
          <w:sz w:val="22"/>
          <w:szCs w:val="22"/>
          <w:u w:val="single" w:color="auto"/>
          <w:color w:val="auto"/>
        </w:rPr>
        <w:t>Paid Time Off</w:t>
      </w:r>
      <w:r>
        <w:rPr>
          <w:rFonts w:ascii="Arial" w:cs="Arial" w:eastAsia="Arial" w:hAnsi="Arial"/>
          <w:sz w:val="22"/>
          <w:szCs w:val="22"/>
          <w:color w:val="auto"/>
        </w:rPr>
        <w:t>. During the Employment Period, Executive shall be entitled to paid time off in accordance with the most favorable plans, policies, programs and practices of the Company and its affiliated companies as in effect for Executive at any time during the 120-day period immediately preceding the Effective Date or, if more favorable to Executive, as in effect generally at any time thereafter with respect to Peer Executives.</w:t>
      </w:r>
    </w:p>
    <w:p>
      <w:pPr>
        <w:spacing w:after="0" w:line="228" w:lineRule="exact"/>
        <w:rPr>
          <w:rFonts w:ascii="Arial" w:cs="Arial" w:eastAsia="Arial" w:hAnsi="Arial"/>
          <w:sz w:val="22"/>
          <w:szCs w:val="22"/>
          <w:color w:val="auto"/>
        </w:rPr>
      </w:pPr>
    </w:p>
    <w:p>
      <w:pPr>
        <w:ind w:left="1040" w:hanging="384"/>
        <w:spacing w:after="0"/>
        <w:tabs>
          <w:tab w:leader="none" w:pos="104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8" w:lineRule="auto"/>
        <w:tabs>
          <w:tab w:leader="none" w:pos="1793"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Executive’s employment shall terminate automatically upon Executive’s death during the Employment Period. If the Company determines in good faith that the Disability of Executive has occurred during the Employment Period (pursuant to the definition of Disability set forth below), it may give to Executive written notice of its intention to terminate Executive’s employment. In such event, Executive’s employment with the Company or an affiliate shall terminate effective on the 30th day after receipt of such written notice by Executive (the “Disability Effective Date”), provided that, within the 30 days after such receipt, Executive shall not have returned to full-time performance of Executive’s duties. For purposes of this Agreement, “Disability” shall mean the inability of Executive, as determined by the Board, to perform the essential functions of his or her regular duties and responsibilities, with or without reasonable accommodation, due to a medically determinable physical or mental illness which has lasted (or can reasonably be expected to last) for a period of six consecutive months. At the request of Executive or his or her personal representative, the Board’s determination that the Disability of Executive has occurred shall be certified by two physicians mutually agreed upon by Executive,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2" w:name="page203"/>
    <w:bookmarkEnd w:id="202"/>
    <w:p>
      <w:pPr>
        <w:jc w:val="both"/>
        <w:spacing w:after="0" w:line="250" w:lineRule="auto"/>
        <w:rPr>
          <w:sz w:val="20"/>
          <w:szCs w:val="20"/>
          <w:color w:val="auto"/>
        </w:rPr>
      </w:pPr>
      <w:r>
        <w:rPr>
          <w:rFonts w:ascii="Arial" w:cs="Arial" w:eastAsia="Arial" w:hAnsi="Arial"/>
          <w:sz w:val="22"/>
          <w:szCs w:val="22"/>
          <w:color w:val="auto"/>
        </w:rPr>
        <w:t>his or her personal representative, and the Company. If Executive requests such independent certification of the Board’s determination and either (i) the Company does not seek such independent certification, or (ii) the two physicians do not certify the Board’s determination of Executive’s Disability, then, Executive’s termination shall be deemed a termination by the Company without Cause and not a termination by reason of his or her Disability.</w:t>
      </w:r>
    </w:p>
    <w:p>
      <w:pPr>
        <w:spacing w:after="0" w:line="229" w:lineRule="exact"/>
        <w:rPr>
          <w:sz w:val="20"/>
          <w:szCs w:val="20"/>
          <w:color w:val="auto"/>
        </w:rPr>
      </w:pPr>
    </w:p>
    <w:p>
      <w:pPr>
        <w:jc w:val="both"/>
        <w:ind w:firstLine="1305"/>
        <w:spacing w:after="0" w:line="265" w:lineRule="auto"/>
        <w:tabs>
          <w:tab w:leader="none" w:pos="1859"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xml:space="preserve">. The Company may terminate Executive’s employment during the Employment Period for Cause or without Cause. For purposes of this Agreement, a termination shall be considered to be for “Cause” if it occurs in conjunction with a good faith determination by the Board, after following the substantive and procedural provisions and applying the standard of review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that any of the following has occurred:</w:t>
      </w:r>
    </w:p>
    <w:p>
      <w:pPr>
        <w:spacing w:after="0" w:line="216" w:lineRule="exact"/>
        <w:rPr>
          <w:rFonts w:ascii="Arial" w:cs="Arial" w:eastAsia="Arial" w:hAnsi="Arial"/>
          <w:sz w:val="21"/>
          <w:szCs w:val="21"/>
          <w:color w:val="auto"/>
        </w:rPr>
      </w:pPr>
    </w:p>
    <w:p>
      <w:pPr>
        <w:ind w:firstLine="1953"/>
        <w:spacing w:after="0" w:line="263" w:lineRule="auto"/>
        <w:tabs>
          <w:tab w:leader="none" w:pos="2264" w:val="left"/>
        </w:tabs>
        <w:numPr>
          <w:ilvl w:val="1"/>
          <w:numId w:val="136"/>
        </w:numPr>
        <w:rPr>
          <w:rFonts w:ascii="Arial" w:cs="Arial" w:eastAsia="Arial" w:hAnsi="Arial"/>
          <w:sz w:val="22"/>
          <w:szCs w:val="22"/>
          <w:color w:val="auto"/>
        </w:rPr>
      </w:pPr>
      <w:r>
        <w:rPr>
          <w:rFonts w:ascii="Arial" w:cs="Arial" w:eastAsia="Arial" w:hAnsi="Arial"/>
          <w:sz w:val="22"/>
          <w:szCs w:val="22"/>
          <w:color w:val="auto"/>
        </w:rPr>
        <w:t>Executive’s conviction of or plea of nolo contendere to a felony or other crime involving fraud, dishonesty or moral turpitude;</w:t>
      </w:r>
    </w:p>
    <w:p>
      <w:pPr>
        <w:spacing w:after="0" w:line="215" w:lineRule="exact"/>
        <w:rPr>
          <w:rFonts w:ascii="Arial" w:cs="Arial" w:eastAsia="Arial" w:hAnsi="Arial"/>
          <w:sz w:val="22"/>
          <w:szCs w:val="22"/>
          <w:color w:val="auto"/>
        </w:rPr>
      </w:pPr>
    </w:p>
    <w:p>
      <w:pPr>
        <w:ind w:left="2280" w:hanging="327"/>
        <w:spacing w:after="0"/>
        <w:tabs>
          <w:tab w:leader="none" w:pos="228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Executive’s misconduct in the performance of his or her duties which results in a material adverse effect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Company;</w:t>
      </w:r>
    </w:p>
    <w:p>
      <w:pPr>
        <w:spacing w:after="0" w:line="242" w:lineRule="exact"/>
        <w:rPr>
          <w:rFonts w:ascii="Arial" w:cs="Arial" w:eastAsia="Arial" w:hAnsi="Arial"/>
          <w:sz w:val="19"/>
          <w:szCs w:val="19"/>
          <w:color w:val="auto"/>
        </w:rPr>
      </w:pPr>
    </w:p>
    <w:p>
      <w:pPr>
        <w:ind w:left="2360" w:hanging="407"/>
        <w:spacing w:after="0"/>
        <w:tabs>
          <w:tab w:leader="none" w:pos="236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Executive’s violation or disregard of the code of business conduct which results in a material adverse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 to the Company;</w:t>
      </w:r>
    </w:p>
    <w:p>
      <w:pPr>
        <w:spacing w:after="0" w:line="242" w:lineRule="exact"/>
        <w:rPr>
          <w:rFonts w:ascii="Arial" w:cs="Arial" w:eastAsia="Arial" w:hAnsi="Arial"/>
          <w:sz w:val="19"/>
          <w:szCs w:val="19"/>
          <w:color w:val="auto"/>
        </w:rPr>
      </w:pPr>
    </w:p>
    <w:p>
      <w:pPr>
        <w:ind w:firstLine="1953"/>
        <w:spacing w:after="0" w:line="263" w:lineRule="auto"/>
        <w:tabs>
          <w:tab w:leader="none" w:pos="2323" w:val="left"/>
        </w:tabs>
        <w:numPr>
          <w:ilvl w:val="1"/>
          <w:numId w:val="136"/>
        </w:numPr>
        <w:rPr>
          <w:rFonts w:ascii="Arial" w:cs="Arial" w:eastAsia="Arial" w:hAnsi="Arial"/>
          <w:sz w:val="22"/>
          <w:szCs w:val="22"/>
          <w:color w:val="auto"/>
        </w:rPr>
      </w:pPr>
      <w:r>
        <w:rPr>
          <w:rFonts w:ascii="Arial" w:cs="Arial" w:eastAsia="Arial" w:hAnsi="Arial"/>
          <w:sz w:val="22"/>
          <w:szCs w:val="22"/>
          <w:color w:val="auto"/>
        </w:rPr>
        <w:t>Executive’s violation or disregard of a Company policy, standard or process which results in a material adverse effect to the Company; or</w:t>
      </w:r>
    </w:p>
    <w:p>
      <w:pPr>
        <w:spacing w:after="0" w:line="215" w:lineRule="exact"/>
        <w:rPr>
          <w:rFonts w:ascii="Arial" w:cs="Arial" w:eastAsia="Arial" w:hAnsi="Arial"/>
          <w:sz w:val="22"/>
          <w:szCs w:val="22"/>
          <w:color w:val="auto"/>
        </w:rPr>
      </w:pPr>
    </w:p>
    <w:p>
      <w:pPr>
        <w:ind w:left="2260" w:hanging="307"/>
        <w:spacing w:after="0"/>
        <w:tabs>
          <w:tab w:leader="none" w:pos="226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Executive’s habitual or gross neglect of duties;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for purposes of clauses (ii) and (v), Cause shall not include any one or more of the following:</w:t>
      </w:r>
    </w:p>
    <w:p>
      <w:pPr>
        <w:spacing w:after="0" w:line="22" w:lineRule="exact"/>
        <w:rPr>
          <w:sz w:val="20"/>
          <w:szCs w:val="20"/>
          <w:color w:val="auto"/>
        </w:rPr>
      </w:pPr>
    </w:p>
    <w:p>
      <w:pPr>
        <w:ind w:left="2800" w:hanging="361"/>
        <w:spacing w:after="0"/>
        <w:tabs>
          <w:tab w:leader="none" w:pos="28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bad judgment or negligence, other than Executive’s habitual neglect of duties or gross negligence;</w:t>
      </w:r>
    </w:p>
    <w:p>
      <w:pPr>
        <w:spacing w:after="0" w:line="276" w:lineRule="exact"/>
        <w:rPr>
          <w:rFonts w:ascii="Arial" w:cs="Arial" w:eastAsia="Arial" w:hAnsi="Arial"/>
          <w:sz w:val="19"/>
          <w:szCs w:val="19"/>
          <w:color w:val="auto"/>
        </w:rPr>
      </w:pPr>
    </w:p>
    <w:p>
      <w:pPr>
        <w:jc w:val="both"/>
        <w:ind w:firstLine="2439"/>
        <w:spacing w:after="0" w:line="253" w:lineRule="auto"/>
        <w:tabs>
          <w:tab w:leader="none" w:pos="2801"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act or omission believed by Executive in good faith, after reasonable investigation, to have been in or not opposed to the interest of the Company (without intent of Executive to gain, directly or indirectly, a profit to which Executive was not legally entitled);</w:t>
      </w:r>
    </w:p>
    <w:p>
      <w:pPr>
        <w:spacing w:after="0" w:line="226" w:lineRule="exact"/>
        <w:rPr>
          <w:rFonts w:ascii="Arial" w:cs="Arial" w:eastAsia="Arial" w:hAnsi="Arial"/>
          <w:sz w:val="22"/>
          <w:szCs w:val="22"/>
          <w:color w:val="auto"/>
        </w:rPr>
      </w:pPr>
    </w:p>
    <w:p>
      <w:pPr>
        <w:jc w:val="both"/>
        <w:ind w:firstLine="2439"/>
        <w:spacing w:after="0" w:line="250" w:lineRule="auto"/>
        <w:tabs>
          <w:tab w:leader="none" w:pos="279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act or omission with respect to which a determination could properly have been made by the Board that Executive had satisfied the applicable standard of conduct for indemnification or reimbursement under the Company’s by-laws, any applicable indemnification agreement, or applicable law, in each case as in effect at the time of such act or omission; or</w:t>
      </w:r>
    </w:p>
    <w:p>
      <w:pPr>
        <w:spacing w:after="0" w:line="228" w:lineRule="exact"/>
        <w:rPr>
          <w:rFonts w:ascii="Arial" w:cs="Arial" w:eastAsia="Arial" w:hAnsi="Arial"/>
          <w:sz w:val="22"/>
          <w:szCs w:val="22"/>
          <w:color w:val="auto"/>
        </w:rPr>
      </w:pPr>
    </w:p>
    <w:p>
      <w:pPr>
        <w:jc w:val="both"/>
        <w:ind w:firstLine="2439"/>
        <w:spacing w:after="0" w:line="265" w:lineRule="auto"/>
        <w:tabs>
          <w:tab w:leader="none" w:pos="279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after the Effective Date, failure to meet performance goals, objectives or measures following good faith efforts to meet such goals, objectives or measures; and further provided that, for purposes of clauses (ii) through (v) if an act, or a failure to act, which was done, or omitted to be done, by Executive in good faith and with a reasonable belief, after reasonable investigation, that Executive’s act, or failure to act, was in the best interests of the Company or was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- 8 -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3" w:name="page204"/>
    <w:bookmarkEnd w:id="203"/>
    <w:p>
      <w:pPr>
        <w:jc w:val="both"/>
        <w:spacing w:after="0" w:line="297" w:lineRule="auto"/>
        <w:rPr>
          <w:sz w:val="20"/>
          <w:szCs w:val="20"/>
          <w:color w:val="auto"/>
        </w:rPr>
      </w:pPr>
      <w:r>
        <w:rPr>
          <w:rFonts w:ascii="Arial" w:cs="Arial" w:eastAsia="Arial" w:hAnsi="Arial"/>
          <w:sz w:val="19"/>
          <w:szCs w:val="19"/>
          <w:color w:val="auto"/>
        </w:rPr>
        <w:t>required by applicable law or administrative regulation, such breach shall not constitute Cause if, within 10 business days after Executive is given written notice of such breach that specifically refers to this Section 5(b), Executive cures such breach to the fullest extent that it is curable. With respect to the above definition of “Cause,” no act or conduct by Executive will constitute “Cause” if Executive acted: (i) in accordance with the instructions or advice of counsel representing the Company or there was a conflict such that Executive could not consult with counsel representing the Company, or (ii) as required by legal process.</w:t>
      </w:r>
    </w:p>
    <w:p>
      <w:pPr>
        <w:spacing w:after="0" w:line="188" w:lineRule="exact"/>
        <w:rPr>
          <w:sz w:val="20"/>
          <w:szCs w:val="20"/>
          <w:color w:val="auto"/>
        </w:rPr>
      </w:pPr>
    </w:p>
    <w:p>
      <w:pPr>
        <w:ind w:firstLine="1305"/>
        <w:spacing w:after="0" w:line="263" w:lineRule="auto"/>
        <w:tabs>
          <w:tab w:leader="none" w:pos="1833"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Executive’s employment may be terminated by Executive during the Employment Period for Good Reason or without Good Reason. For purposes of this Agreement, “Good Reason” shall mean:</w:t>
      </w:r>
    </w:p>
    <w:p>
      <w:pPr>
        <w:spacing w:after="0" w:line="215" w:lineRule="exact"/>
        <w:rPr>
          <w:rFonts w:ascii="Arial" w:cs="Arial" w:eastAsia="Arial" w:hAnsi="Arial"/>
          <w:sz w:val="22"/>
          <w:szCs w:val="22"/>
          <w:color w:val="auto"/>
        </w:rPr>
      </w:pPr>
    </w:p>
    <w:p>
      <w:pPr>
        <w:jc w:val="both"/>
        <w:ind w:firstLine="1953"/>
        <w:spacing w:after="0" w:line="263" w:lineRule="auto"/>
        <w:tabs>
          <w:tab w:leader="none" w:pos="2383"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the assignment to Executive of any duties inconsistent in any material respect with Executive’s position (including status, offices, titles and direct reporting relationships), authority, duties or responsibilities as contemplated by Section 4(a) of this Agreement, or any other action by the Company that results in a material diminution in Executive’s position, authority, duties or responsibilities, other than an isolated, insubstantial and inadvertent action that is not taken in bad faith and is remedied by the Company promptly after receipt of notice thereof from Executive;</w:t>
      </w:r>
    </w:p>
    <w:p>
      <w:pPr>
        <w:spacing w:after="0" w:line="216" w:lineRule="exact"/>
        <w:rPr>
          <w:rFonts w:ascii="Arial" w:cs="Arial" w:eastAsia="Arial" w:hAnsi="Arial"/>
          <w:sz w:val="21"/>
          <w:szCs w:val="21"/>
          <w:color w:val="auto"/>
        </w:rPr>
      </w:pPr>
    </w:p>
    <w:p>
      <w:pPr>
        <w:jc w:val="both"/>
        <w:ind w:firstLine="1953"/>
        <w:spacing w:after="0" w:line="253" w:lineRule="auto"/>
        <w:tabs>
          <w:tab w:leader="none" w:pos="259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any breach by the Company of Section 4(b)(i) or (ii) of this Agreement, other than an isolated, insubstantial and inadvertent failure that is not taken in bad faith and is remedied by the Company promptly after receipt of notice thereof from Executive;</w:t>
      </w:r>
    </w:p>
    <w:p>
      <w:pPr>
        <w:spacing w:after="0" w:line="226" w:lineRule="exact"/>
        <w:rPr>
          <w:rFonts w:ascii="Arial" w:cs="Arial" w:eastAsia="Arial" w:hAnsi="Arial"/>
          <w:sz w:val="22"/>
          <w:szCs w:val="22"/>
          <w:color w:val="auto"/>
        </w:rPr>
      </w:pPr>
    </w:p>
    <w:p>
      <w:pPr>
        <w:ind w:right="20" w:firstLine="1953"/>
        <w:spacing w:after="0" w:line="263" w:lineRule="auto"/>
        <w:tabs>
          <w:tab w:leader="none" w:pos="2555"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any requirement that Executive’s employment be based at an office or location that is more than 50 miles from the location where Executive was employed immediately preceding the Effective Date;</w:t>
      </w:r>
    </w:p>
    <w:p>
      <w:pPr>
        <w:spacing w:after="0" w:line="215" w:lineRule="exact"/>
        <w:rPr>
          <w:rFonts w:ascii="Arial" w:cs="Arial" w:eastAsia="Arial" w:hAnsi="Arial"/>
          <w:sz w:val="22"/>
          <w:szCs w:val="22"/>
          <w:color w:val="auto"/>
        </w:rPr>
      </w:pPr>
    </w:p>
    <w:p>
      <w:pPr>
        <w:ind w:left="2480" w:hanging="527"/>
        <w:spacing w:after="0"/>
        <w:tabs>
          <w:tab w:leader="none" w:pos="248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any failure by the Company to comply with and satisfy Section 13(c) of this Agreement; or</w:t>
      </w:r>
    </w:p>
    <w:p>
      <w:pPr>
        <w:spacing w:after="0" w:line="260" w:lineRule="exact"/>
        <w:rPr>
          <w:rFonts w:ascii="Arial" w:cs="Arial" w:eastAsia="Arial" w:hAnsi="Arial"/>
          <w:sz w:val="22"/>
          <w:szCs w:val="22"/>
          <w:color w:val="auto"/>
        </w:rPr>
      </w:pPr>
    </w:p>
    <w:p>
      <w:pPr>
        <w:ind w:firstLine="1953"/>
        <w:spacing w:after="0" w:line="263" w:lineRule="auto"/>
        <w:tabs>
          <w:tab w:leader="none" w:pos="2436"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any other material breach of this Agreement by the Company that either is not taken in good faith or is not remedied by the Company promptly after receipt of notice thereof from Executive.</w:t>
      </w:r>
    </w:p>
    <w:p>
      <w:pPr>
        <w:spacing w:after="0" w:line="215" w:lineRule="exact"/>
        <w:rPr>
          <w:sz w:val="20"/>
          <w:szCs w:val="20"/>
          <w:color w:val="auto"/>
        </w:rPr>
      </w:pPr>
    </w:p>
    <w:p>
      <w:pPr>
        <w:jc w:val="both"/>
        <w:ind w:left="80" w:firstLine="1216"/>
        <w:spacing w:after="0" w:line="259" w:lineRule="auto"/>
        <w:rPr>
          <w:sz w:val="20"/>
          <w:szCs w:val="20"/>
          <w:color w:val="auto"/>
        </w:rPr>
      </w:pPr>
      <w:r>
        <w:rPr>
          <w:rFonts w:ascii="Arial" w:cs="Arial" w:eastAsia="Arial" w:hAnsi="Arial"/>
          <w:sz w:val="21"/>
          <w:szCs w:val="21"/>
          <w:color w:val="auto"/>
        </w:rPr>
        <w:t>A termination of employment by Executive for Good Reason shall be effectuated by giving the Company written notice (“Notice of Termination for Good Reason”) of the termination within 90 days after the event constituting Good Reason, setting forth in reasonable detail the specific conduct of the Company that constitutes Good Reason and the specific provisions of this Agreement on which Executive relies. The Company shall have 30 days from the receipt of such notice within which to correct, rescind or otherwise substantially reverse the occurrence supporting termination for Good Reason as identified by Executive. If such event has not been cured within such 30-day period, the termination of employment by Executive for Good Reason shall be effective as of the expiration of such 30-day period. If the event Good Reason is cured within such 30-day period, the Notice of Termination for Good Reason shall have no effect. Any dispute as to whether a claimed event of Good Reason has been cured within the 30-day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- 9 -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4" w:name="page205"/>
    <w:bookmarkEnd w:id="204"/>
    <w:p>
      <w:pPr>
        <w:jc w:val="both"/>
        <w:ind w:left="80"/>
        <w:spacing w:after="0" w:line="247" w:lineRule="auto"/>
        <w:rPr>
          <w:sz w:val="20"/>
          <w:szCs w:val="20"/>
          <w:color w:val="auto"/>
        </w:rPr>
      </w:pPr>
      <w:r>
        <w:rPr>
          <w:rFonts w:ascii="Arial" w:cs="Arial" w:eastAsia="Arial" w:hAnsi="Arial"/>
          <w:sz w:val="22"/>
          <w:szCs w:val="22"/>
          <w:color w:val="auto"/>
        </w:rPr>
        <w:t>shall be submitted to mediation by a third party selected by Executive and the Board. If no mediated resolution is reached within 30-days after the end of the original 30-day cure period, the Notice of Termination for Good Reason shall have no effect, and Executive’s remedies thereafter shall be governed by Section 12 herein. The parties intend, believe and take the position that a resignation by the Executive for Good Reason as defined above effectively constitutes an involuntary separation from service within the meaning of Section 409A of the Internal Revenue Code of 1986, as amended (the “Code”), and Treas. Reg. §1.409A-1(n)(2).</w:t>
      </w:r>
    </w:p>
    <w:p>
      <w:pPr>
        <w:spacing w:after="0" w:line="234" w:lineRule="exact"/>
        <w:rPr>
          <w:sz w:val="20"/>
          <w:szCs w:val="20"/>
          <w:color w:val="auto"/>
        </w:rPr>
      </w:pPr>
    </w:p>
    <w:p>
      <w:pPr>
        <w:ind w:left="1040" w:hanging="384"/>
        <w:spacing w:after="0"/>
        <w:tabs>
          <w:tab w:leader="none" w:pos="104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upon Termination</w:t>
      </w: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Termination by Executive for Good Reason; Termination by the Company Other Than for Cause or Disability</w:t>
      </w:r>
      <w:r>
        <w:rPr>
          <w:rFonts w:ascii="Arial" w:cs="Arial" w:eastAsia="Arial" w:hAnsi="Arial"/>
          <w:sz w:val="21"/>
          <w:szCs w:val="21"/>
          <w:color w:val="auto"/>
        </w:rPr>
        <w:t xml:space="preserve"> . If, during the Employment Period, the Company or an affiliate shall terminate Executive’s employment other than for Cause or Disability, or Executive shall terminate employment for Good Reason, the Company shall timely pay to Executive his or her accrued Annual Base Salary and accrued paid time off through the date of termination to the extent not theretofore paid (the “Accrued Obligations”) and any other amounts or benefits required to be paid or provided or which Executive is eligible to receive under any plan, program, policy or practice or contract or agreement of the Company and its affiliated companies to the extent not theretofore paid or provided (“Other Benefits”). In addition, provided that Executive timely executes and does not revoke a full release of claims in a form acceptable to the Company (the “</w:t>
      </w:r>
      <w:r>
        <w:rPr>
          <w:rFonts w:ascii="Arial" w:cs="Arial" w:eastAsia="Arial" w:hAnsi="Arial"/>
          <w:sz w:val="21"/>
          <w:szCs w:val="21"/>
          <w:u w:val="single" w:color="auto"/>
          <w:color w:val="auto"/>
        </w:rPr>
        <w:t>Release</w:t>
      </w:r>
      <w:r>
        <w:rPr>
          <w:rFonts w:ascii="Arial" w:cs="Arial" w:eastAsia="Arial" w:hAnsi="Arial"/>
          <w:sz w:val="21"/>
          <w:szCs w:val="21"/>
          <w:color w:val="auto"/>
        </w:rPr>
        <w:t>”):</w:t>
      </w:r>
    </w:p>
    <w:p>
      <w:pPr>
        <w:spacing w:after="0" w:line="225" w:lineRule="exact"/>
        <w:rPr>
          <w:sz w:val="20"/>
          <w:szCs w:val="20"/>
          <w:color w:val="auto"/>
        </w:rPr>
      </w:pPr>
    </w:p>
    <w:p>
      <w:pPr>
        <w:jc w:val="both"/>
        <w:ind w:firstLine="1953"/>
        <w:spacing w:after="0" w:line="312" w:lineRule="auto"/>
        <w:tabs>
          <w:tab w:leader="none" w:pos="220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Company shall pay to Executive in a lump sum in cash within 60 days after the date of termination (or any later date required by Section 15) a severance payment equal to two times the sum of (i) Executive’s Annual Base Salary as then in effect, plus (ii) Executive’s target annual incentive bonus for the year in which the date of termination occurs;</w:t>
      </w:r>
    </w:p>
    <w:p>
      <w:pPr>
        <w:spacing w:after="0" w:line="174" w:lineRule="exact"/>
        <w:rPr>
          <w:rFonts w:ascii="Arial" w:cs="Arial" w:eastAsia="Arial" w:hAnsi="Arial"/>
          <w:sz w:val="19"/>
          <w:szCs w:val="19"/>
          <w:color w:val="auto"/>
        </w:rPr>
      </w:pPr>
    </w:p>
    <w:p>
      <w:pPr>
        <w:jc w:val="both"/>
        <w:ind w:firstLine="1953"/>
        <w:spacing w:after="0" w:line="247" w:lineRule="auto"/>
        <w:tabs>
          <w:tab w:leader="none" w:pos="227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Company shall pay to Executive a pro-rata bonus for the annual incentive plan performance period (“Plan Year”) in which the date of termination occurs (the “Prorata Final Year Bonus”) in an amount equal to the product of (x) Executive’s target annual bonus for the year of termination, and (y) a fraction, the numerator of which is the number of days in the Plan Year through the date of termination, and the denominator of which is 365; and such Prorata Final Year Bonus shall be paid in a single lump sum cash payment within 60 days after the date of termination (or any later date that may be required pursuant to Section 15 hereof);</w:t>
      </w:r>
    </w:p>
    <w:p>
      <w:pPr>
        <w:spacing w:after="0" w:line="234" w:lineRule="exact"/>
        <w:rPr>
          <w:rFonts w:ascii="Arial" w:cs="Arial" w:eastAsia="Arial" w:hAnsi="Arial"/>
          <w:sz w:val="22"/>
          <w:szCs w:val="22"/>
          <w:color w:val="auto"/>
        </w:rPr>
      </w:pPr>
    </w:p>
    <w:p>
      <w:pPr>
        <w:jc w:val="both"/>
        <w:ind w:firstLine="1953"/>
        <w:spacing w:after="0" w:line="297" w:lineRule="auto"/>
        <w:tabs>
          <w:tab w:leader="none" w:pos="232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Company shall pay to Executive an amount equal to the full monthly cost to provide group medical, dental, and/or prescription drug plan benefits sponsored by the Company and maintained by the Executive as of the date of termination, multiplied by twenty-four (24) (for purposes of this Section 6(a)(iii), the cost of such benefits will be calculated based on the “applicable premium” determined in accordance with Code Section 4980B(f)(4) and the regulations issued thereunder (including the 2% administrative fee) for the year in which the Separation from Service occurs);</w:t>
      </w:r>
    </w:p>
    <w:p>
      <w:pPr>
        <w:spacing w:after="0" w:line="147" w:lineRule="exact"/>
        <w:rPr>
          <w:rFonts w:ascii="Arial" w:cs="Arial" w:eastAsia="Arial" w:hAnsi="Arial"/>
          <w:sz w:val="19"/>
          <w:szCs w:val="19"/>
          <w:color w:val="auto"/>
        </w:rPr>
      </w:pPr>
    </w:p>
    <w:p>
      <w:pPr>
        <w:ind w:firstLine="1953"/>
        <w:spacing w:after="0" w:line="263" w:lineRule="auto"/>
        <w:tabs>
          <w:tab w:leader="none" w:pos="232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all of Executive’s equity or incentive awards outstanding on the date of termination shall be treated in accordance with the applicable plan documents and award agreements evidencing such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5" w:name="page206"/>
    <w:bookmarkEnd w:id="205"/>
    <w:p>
      <w:pPr>
        <w:jc w:val="both"/>
        <w:ind w:firstLine="1953"/>
        <w:spacing w:after="0" w:line="297" w:lineRule="auto"/>
        <w:tabs>
          <w:tab w:leader="none" w:pos="2291" w:val="left"/>
        </w:tabs>
        <w:numPr>
          <w:ilvl w:val="2"/>
          <w:numId w:val="141"/>
        </w:numPr>
        <w:rPr>
          <w:rFonts w:ascii="Arial" w:cs="Arial" w:eastAsia="Arial" w:hAnsi="Arial"/>
          <w:sz w:val="19"/>
          <w:szCs w:val="19"/>
          <w:color w:val="auto"/>
        </w:rPr>
      </w:pPr>
      <w:r>
        <w:rPr>
          <w:rFonts w:ascii="Arial" w:cs="Arial" w:eastAsia="Arial" w:hAnsi="Arial"/>
          <w:sz w:val="19"/>
          <w:szCs w:val="19"/>
          <w:color w:val="auto"/>
        </w:rPr>
        <w:t>Executive shall be reimbursed for reasonable fees and costs for outplacement services incurred by Executive within six (6) months after the date of termination, promptly upon presentation of reasonable documentation of such fees and costs, subject to a maximum of $10,000. All requests of Executive for reimbursement must be submitted to the Company within one (1) year of the date of termination and the Company shall make the reimbursement of reasonable requests no later than thirty (30) days after such request, but in all events within fifteen (15) months of the date of termination;</w:t>
      </w:r>
    </w:p>
    <w:p>
      <w:pPr>
        <w:spacing w:after="0" w:line="187" w:lineRule="exact"/>
        <w:rPr>
          <w:rFonts w:ascii="Arial" w:cs="Arial" w:eastAsia="Arial" w:hAnsi="Arial"/>
          <w:sz w:val="19"/>
          <w:szCs w:val="19"/>
          <w:color w:val="auto"/>
        </w:rPr>
      </w:pPr>
    </w:p>
    <w:p>
      <w:pPr>
        <w:jc w:val="both"/>
        <w:ind w:firstLine="1953"/>
        <w:spacing w:after="0" w:line="284" w:lineRule="auto"/>
        <w:tabs>
          <w:tab w:leader="none" w:pos="2324" w:val="left"/>
        </w:tabs>
        <w:numPr>
          <w:ilvl w:val="2"/>
          <w:numId w:val="141"/>
        </w:numPr>
        <w:rPr>
          <w:rFonts w:ascii="Arial" w:cs="Arial" w:eastAsia="Arial" w:hAnsi="Arial"/>
          <w:sz w:val="19"/>
          <w:szCs w:val="19"/>
          <w:color w:val="auto"/>
        </w:rPr>
      </w:pPr>
      <w:r>
        <w:rPr>
          <w:rFonts w:ascii="Arial" w:cs="Arial" w:eastAsia="Arial" w:hAnsi="Arial"/>
          <w:sz w:val="19"/>
          <w:szCs w:val="19"/>
          <w:color w:val="auto"/>
        </w:rPr>
        <w:t>Executive (i) shall be indemnified and held harmless by the Company on the same terms as other Peer Executives and to the greatest extent permitted under applicable law as the same now exists or may hereafter be amended and the Company’s by-laws as such exist on the Effective Date, or such greater rights that may be provided by amendment to such by-laws from time to time, if Executive was, is, or is threatened to be, made a party to any pending, completed or threatened action, suit, arbitration, alternate dispute resolution mechanism, investigation, administrative hearing or any other proceeding whether civil, criminal, administrative or investigative, and whether formal or informal, by reason of the fact that Executive is or was, or had agreed to become, a director, officer, employee, agent or fiduciary of the Company or any other entity which Executive is or was serving at the request of the Company (“Proceeding”), against all expenses (including reasonable attorneys’ fees) and all claims, damages, liabilities and losses incurred or suffered by Executive or to which Executive may become subject for any reason, and</w:t>
      </w:r>
    </w:p>
    <w:p>
      <w:pPr>
        <w:jc w:val="both"/>
        <w:ind w:firstLine="8"/>
        <w:spacing w:after="0" w:line="244" w:lineRule="auto"/>
        <w:tabs>
          <w:tab w:leader="none" w:pos="331" w:val="left"/>
        </w:tabs>
        <w:numPr>
          <w:ilvl w:val="0"/>
          <w:numId w:val="142"/>
        </w:numPr>
        <w:rPr>
          <w:rFonts w:ascii="Arial" w:cs="Arial" w:eastAsia="Arial" w:hAnsi="Arial"/>
          <w:sz w:val="22"/>
          <w:szCs w:val="22"/>
          <w:color w:val="auto"/>
        </w:rPr>
      </w:pPr>
      <w:r>
        <w:rPr>
          <w:rFonts w:ascii="Arial" w:cs="Arial" w:eastAsia="Arial" w:hAnsi="Arial"/>
          <w:sz w:val="22"/>
          <w:szCs w:val="22"/>
          <w:color w:val="auto"/>
        </w:rPr>
        <w:t>shall be entitled to advancement of any such indemnifiable expenses in accordance with the Company’s by-laws as such exist on the Effective Date, or such greater rights that may be provided by amendment to such by-laws from time to time. A Proceeding shall not include any proceeding to the extent it concerns or relates to a matter described in Section 9 (concerning reimbursement of certain costs and expenses); and.</w:t>
      </w:r>
    </w:p>
    <w:p>
      <w:pPr>
        <w:spacing w:after="0" w:line="236" w:lineRule="exact"/>
        <w:rPr>
          <w:rFonts w:ascii="Arial" w:cs="Arial" w:eastAsia="Arial" w:hAnsi="Arial"/>
          <w:sz w:val="22"/>
          <w:szCs w:val="22"/>
          <w:color w:val="auto"/>
        </w:rPr>
      </w:pPr>
    </w:p>
    <w:p>
      <w:pPr>
        <w:jc w:val="both"/>
        <w:ind w:firstLine="1953"/>
        <w:spacing w:after="0" w:line="253" w:lineRule="auto"/>
        <w:tabs>
          <w:tab w:leader="none" w:pos="2384" w:val="left"/>
        </w:tabs>
        <w:numPr>
          <w:ilvl w:val="2"/>
          <w:numId w:val="142"/>
        </w:numPr>
        <w:rPr>
          <w:rFonts w:ascii="Arial" w:cs="Arial" w:eastAsia="Arial" w:hAnsi="Arial"/>
          <w:sz w:val="22"/>
          <w:szCs w:val="22"/>
          <w:color w:val="auto"/>
        </w:rPr>
      </w:pPr>
      <w:r>
        <w:rPr>
          <w:rFonts w:ascii="Arial" w:cs="Arial" w:eastAsia="Arial" w:hAnsi="Arial"/>
          <w:sz w:val="22"/>
          <w:szCs w:val="22"/>
          <w:color w:val="auto"/>
        </w:rPr>
        <w:t>For a period of six years after the date of termination (or for any known longer applicable statute of limitations period), the Executive shall be entitled to coverage under a directors’ and officers’ liability insurance policy in an amount no less than, and on the same terms as those provided to Peer Executives.</w:t>
      </w:r>
    </w:p>
    <w:p>
      <w:pPr>
        <w:spacing w:after="0" w:line="226" w:lineRule="exact"/>
        <w:rPr>
          <w:rFonts w:ascii="Arial" w:cs="Arial" w:eastAsia="Arial" w:hAnsi="Arial"/>
          <w:sz w:val="22"/>
          <w:szCs w:val="22"/>
          <w:color w:val="auto"/>
        </w:rPr>
      </w:pPr>
    </w:p>
    <w:p>
      <w:pPr>
        <w:jc w:val="both"/>
        <w:ind w:firstLine="1305"/>
        <w:spacing w:after="0" w:line="289" w:lineRule="auto"/>
        <w:tabs>
          <w:tab w:leader="none" w:pos="1873"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If Executive’s employment is terminated by reason of Executive’s death or Disability during the Employment Period, this Agreement shall terminate without further obligations to Executive or Executive’s legal representatives under this Agreement, other than for payment of Accrued Obligations and the Prorata Final Year Bonus (calculated as described in Section 6(a)(ii), regardless of when the date of termination occurs) and the timely payment or provision of Other Benefits. Accrued Obligations and the Prorata Final Year Bonus shall be paid to Executive or Executive’s estate or beneficiary, as applicable, in a lump sum in cash within 30 days of the date of termination (or any later date required by Section 15). With respect to the provision of Other Benefits, the term Other Benefits as used in this Section 6(b) shall include without limitation, and Executive or Executive’s estate and/or beneficiaries shall be entitled to receive, benefits under such plans, programs, practices and policies relating to death or disability benefits, if any, as are applicable to Executive on the date of termination.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604" w:right="239" w:bottom="1440" w:gutter="0" w:footer="0" w:header="0"/>
        </w:sectPr>
      </w:pPr>
    </w:p>
    <w:bookmarkStart w:id="206" w:name="page207"/>
    <w:bookmarkEnd w:id="206"/>
    <w:p>
      <w:pPr>
        <w:jc w:val="both"/>
        <w:ind w:firstLine="1305"/>
        <w:spacing w:after="0" w:line="250" w:lineRule="auto"/>
        <w:tabs>
          <w:tab w:leader="none" w:pos="1779"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Cause; Other than for Good Reason</w:t>
      </w:r>
      <w:r>
        <w:rPr>
          <w:rFonts w:ascii="Arial" w:cs="Arial" w:eastAsia="Arial" w:hAnsi="Arial"/>
          <w:sz w:val="22"/>
          <w:szCs w:val="22"/>
          <w:color w:val="auto"/>
        </w:rPr>
        <w:t>. If Executive’s employment shall be terminated for Cause, or if Executive voluntarily terminates employment other than for Good Reason, during the Employment Period, this Agreement shall terminate without further obligations to Executive other than for payment of Accrued Obligations and the timely payment or provision of Other Benefits.</w:t>
      </w:r>
    </w:p>
    <w:p>
      <w:pPr>
        <w:spacing w:after="0" w:line="228" w:lineRule="exact"/>
        <w:rPr>
          <w:rFonts w:ascii="Arial" w:cs="Arial" w:eastAsia="Arial" w:hAnsi="Arial"/>
          <w:sz w:val="22"/>
          <w:szCs w:val="22"/>
          <w:color w:val="auto"/>
        </w:rPr>
      </w:pPr>
    </w:p>
    <w:p>
      <w:pPr>
        <w:jc w:val="both"/>
        <w:ind w:firstLine="1305"/>
        <w:spacing w:after="0" w:line="253" w:lineRule="auto"/>
        <w:tabs>
          <w:tab w:leader="none" w:pos="1778" w:val="left"/>
        </w:tabs>
        <w:numPr>
          <w:ilvl w:val="1"/>
          <w:numId w:val="143"/>
        </w:numPr>
        <w:rPr>
          <w:rFonts w:ascii="Arial" w:cs="Arial" w:eastAsia="Arial" w:hAnsi="Arial"/>
          <w:sz w:val="22"/>
          <w:szCs w:val="22"/>
          <w:color w:val="auto"/>
        </w:rPr>
      </w:pPr>
      <w:r>
        <w:rPr>
          <w:rFonts w:ascii="Arial" w:cs="Arial" w:eastAsia="Arial" w:hAnsi="Arial"/>
          <w:sz w:val="22"/>
          <w:szCs w:val="22"/>
          <w:u w:val="single" w:color="auto"/>
          <w:color w:val="auto"/>
        </w:rPr>
        <w:t>Expiration of Employment Period</w:t>
      </w:r>
      <w:r>
        <w:rPr>
          <w:rFonts w:ascii="Arial" w:cs="Arial" w:eastAsia="Arial" w:hAnsi="Arial"/>
          <w:sz w:val="22"/>
          <w:szCs w:val="22"/>
          <w:color w:val="auto"/>
        </w:rPr>
        <w:t>. If Executive’s employment shall be terminated due to the normal expiration of the Employment Period, this Agreement shall terminate without further obligations to Executive, other than for payment of Accrued Obligations and the timely payment or provision of Other Benefits.</w:t>
      </w:r>
    </w:p>
    <w:p>
      <w:pPr>
        <w:spacing w:after="0" w:line="226" w:lineRule="exact"/>
        <w:rPr>
          <w:rFonts w:ascii="Arial" w:cs="Arial" w:eastAsia="Arial" w:hAnsi="Arial"/>
          <w:sz w:val="22"/>
          <w:szCs w:val="22"/>
          <w:color w:val="auto"/>
        </w:rPr>
      </w:pPr>
    </w:p>
    <w:p>
      <w:pPr>
        <w:jc w:val="both"/>
        <w:ind w:firstLine="656"/>
        <w:spacing w:after="0" w:line="247" w:lineRule="auto"/>
        <w:tabs>
          <w:tab w:leader="none" w:pos="1243"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Non-exclusivity of Rights</w:t>
      </w:r>
      <w:r>
        <w:rPr>
          <w:rFonts w:ascii="Arial" w:cs="Arial" w:eastAsia="Arial" w:hAnsi="Arial"/>
          <w:sz w:val="22"/>
          <w:szCs w:val="22"/>
          <w:color w:val="auto"/>
        </w:rPr>
        <w:t>. Nothing in this Agreement shall prevent or limit Executive’s continuing or future participation in any employee benefit plan, program, policy or practice provided by the Company or its affiliated companies and for which Executive may qualify, except as specifically provided herein. Amounts that are vested benefits or which Executive is otherwise entitled to receive under any plan, policy, practice or program of the Company or any of its affiliated companies at or subsequent to the date of termination shall be payable in accordance with such plan, policy, practice or program except as explicitly modified by this Agreement.</w:t>
      </w:r>
    </w:p>
    <w:p>
      <w:pPr>
        <w:spacing w:after="0" w:line="234" w:lineRule="exact"/>
        <w:rPr>
          <w:rFonts w:ascii="Arial" w:cs="Arial" w:eastAsia="Arial" w:hAnsi="Arial"/>
          <w:sz w:val="22"/>
          <w:szCs w:val="22"/>
          <w:color w:val="auto"/>
        </w:rPr>
      </w:pPr>
    </w:p>
    <w:p>
      <w:pPr>
        <w:jc w:val="both"/>
        <w:ind w:firstLine="656"/>
        <w:spacing w:after="0" w:line="253" w:lineRule="auto"/>
        <w:tabs>
          <w:tab w:leader="none" w:pos="1067"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In no event shall Executive be obligated to seek other employment or take any other action by way of mitigation of the amounts payable to Executive under any of the provisions of this Agreement and such amounts shall not be reduced whether or not Executive obtains other employment.</w:t>
      </w:r>
    </w:p>
    <w:p>
      <w:pPr>
        <w:spacing w:after="0" w:line="226" w:lineRule="exact"/>
        <w:rPr>
          <w:rFonts w:ascii="Arial" w:cs="Arial" w:eastAsia="Arial" w:hAnsi="Arial"/>
          <w:sz w:val="22"/>
          <w:szCs w:val="22"/>
          <w:color w:val="auto"/>
        </w:rPr>
      </w:pPr>
    </w:p>
    <w:p>
      <w:pPr>
        <w:jc w:val="both"/>
        <w:ind w:firstLine="656"/>
        <w:spacing w:after="0" w:line="258" w:lineRule="auto"/>
        <w:tabs>
          <w:tab w:leader="none" w:pos="1148"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Costs of Enforcement and Interest</w:t>
      </w:r>
      <w:r>
        <w:rPr>
          <w:rFonts w:ascii="Arial" w:cs="Arial" w:eastAsia="Arial" w:hAnsi="Arial"/>
          <w:sz w:val="21"/>
          <w:szCs w:val="21"/>
          <w:color w:val="auto"/>
        </w:rPr>
        <w:t>. The Company shall reimburse Executive for reasonable legal fees and related expenses incurred by Executive (i) in connection with any tax audit or proceeding to the extent attributable to the application of Code Section 4999 to any payment or benefit hereunder, or (ii) in seeking to enforce his or her right to payments under Section 6 of this Agreement if Executive is ultimately successful in respect of one or more material issues relating to such claim. The amount reimbursable by the Company under this Section 9 in any one calendar year shall not affect the amount reimbursable in any other calendar year, and the reimbursement of an eligible expense shall be made within 30 days after delivery of Executive’s respective written requests for payment accompanied with such evidence of fees and expenses incurred as the Company reasonably may require, but in any event no later than December 31 of the year after the year in which the expense was incurred. Executive’s rights pursuant to this Section 9 shall expire at the end of five years after the date of termination and shall not be subject to liquidation or exchange for another benefit.</w:t>
      </w:r>
    </w:p>
    <w:p>
      <w:pPr>
        <w:spacing w:after="0" w:line="22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Notwithstanding the foregoing, reimbursement of costs and attorneys’ fees incurred in connection with any legal action regarding the enforcement of any of the provisions of Section 11 shall be governed by Section 11(j).</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 amount due is not paid to Executive under this Agreement within 30 days after such amount first became due and owing, interest shall accrue on such amount from the date it became due and owing until the date of payment at an annual rate equal to 200 basis points above the base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color w:val="auto"/>
        </w:rPr>
        <w:t xml:space="preserve">commercial lending rate published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in effect from time to time during the period of such nonpayment.</w:t>
      </w:r>
    </w:p>
    <w:p>
      <w:pPr>
        <w:spacing w:after="0" w:line="295" w:lineRule="exact"/>
        <w:rPr>
          <w:sz w:val="20"/>
          <w:szCs w:val="20"/>
          <w:color w:val="auto"/>
        </w:rPr>
      </w:pPr>
    </w:p>
    <w:p>
      <w:pPr>
        <w:ind w:left="1140" w:hanging="484"/>
        <w:spacing w:after="0"/>
        <w:tabs>
          <w:tab w:leader="none" w:pos="114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Code Section 280G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9" w:lineRule="auto"/>
        <w:tabs>
          <w:tab w:leader="none" w:pos="1794" w:val="left"/>
        </w:tabs>
        <w:numPr>
          <w:ilvl w:val="2"/>
          <w:numId w:val="145"/>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in the event it is determined that any payment or distribution by the Company to or for the benefit of the Executive (whether paid or payable or distributed or distributable pursuant to the terms of this Agreement or otherwise) (such benefits, payments or distributions are hereinafter referred to as “Payments”) would, if paid, be subject to the excise tax (the “Excise Tax”) imposed by Code Section 4999, then, prior to the making of any Payments to the Executive, a calculation shall be made comparing (i) the net after-tax benefit to the Executive of the Payments after payment by the Executive of the Excise Tax, to (ii) the net after-tax benefit to the Executive if the Payments had been limited to the extent necessary to avoid being subject to the Excise Tax. If the amount calculated under (i) above is less than the amount calculated under (ii) above, then the Payments shall be limited to the extent necessary to avoid being subject to the Excise Tax (the “Reduced Amount”). Any reduction of the Payments, if applicable, shall be applied first to cash Payments due hereunder.</w:t>
      </w:r>
    </w:p>
    <w:p>
      <w:pPr>
        <w:spacing w:after="0" w:line="157" w:lineRule="exact"/>
        <w:rPr>
          <w:rFonts w:ascii="Arial" w:cs="Arial" w:eastAsia="Arial" w:hAnsi="Arial"/>
          <w:sz w:val="19"/>
          <w:szCs w:val="19"/>
          <w:color w:val="auto"/>
        </w:rPr>
      </w:pPr>
    </w:p>
    <w:p>
      <w:pPr>
        <w:jc w:val="both"/>
        <w:ind w:firstLine="1305"/>
        <w:spacing w:after="0" w:line="248" w:lineRule="auto"/>
        <w:tabs>
          <w:tab w:leader="none" w:pos="1847" w:val="left"/>
        </w:tabs>
        <w:numPr>
          <w:ilvl w:val="2"/>
          <w:numId w:val="145"/>
        </w:numPr>
        <w:rPr>
          <w:rFonts w:ascii="Arial" w:cs="Arial" w:eastAsia="Arial" w:hAnsi="Arial"/>
          <w:sz w:val="22"/>
          <w:szCs w:val="22"/>
          <w:color w:val="auto"/>
        </w:rPr>
      </w:pPr>
      <w:r>
        <w:rPr>
          <w:rFonts w:ascii="Arial" w:cs="Arial" w:eastAsia="Arial" w:hAnsi="Arial"/>
          <w:sz w:val="22"/>
          <w:szCs w:val="22"/>
          <w:color w:val="auto"/>
        </w:rPr>
        <w:t>All determinations required to be made under this Section 10, shall be made by an independent, nationally recognized accounting firm or compensation consulting firm (the “Determination Firm”) which shall provide detailed supporting calculations both to the Company and the Executive. All fees and expenses of the Determination Firm shall be borne solely by the Company. Absent manifest error, any determination by the Determination Firm shall be binding upon the Company and the Executive.</w:t>
      </w:r>
    </w:p>
    <w:p>
      <w:pPr>
        <w:spacing w:after="0" w:line="192" w:lineRule="exact"/>
        <w:rPr>
          <w:rFonts w:ascii="Arial" w:cs="Arial" w:eastAsia="Arial" w:hAnsi="Arial"/>
          <w:sz w:val="22"/>
          <w:szCs w:val="22"/>
          <w:color w:val="auto"/>
        </w:rPr>
      </w:pPr>
    </w:p>
    <w:p>
      <w:pPr>
        <w:ind w:firstLine="1305"/>
        <w:spacing w:after="0" w:line="263" w:lineRule="auto"/>
        <w:tabs>
          <w:tab w:leader="none" w:pos="1868" w:val="left"/>
        </w:tabs>
        <w:numPr>
          <w:ilvl w:val="2"/>
          <w:numId w:val="145"/>
        </w:numPr>
        <w:rPr>
          <w:rFonts w:ascii="Arial" w:cs="Arial" w:eastAsia="Arial" w:hAnsi="Arial"/>
          <w:sz w:val="22"/>
          <w:szCs w:val="22"/>
          <w:color w:val="auto"/>
        </w:rPr>
      </w:pPr>
      <w:r>
        <w:rPr>
          <w:rFonts w:ascii="Arial" w:cs="Arial" w:eastAsia="Arial" w:hAnsi="Arial"/>
          <w:sz w:val="22"/>
          <w:szCs w:val="22"/>
          <w:color w:val="auto"/>
        </w:rPr>
        <w:t>In the event that the provisions of Code Section 280G and 4999 or any successor provisions are repealed without succession, this Section 10 shall be of no further force or effect.</w:t>
      </w:r>
    </w:p>
    <w:p>
      <w:pPr>
        <w:spacing w:after="0" w:line="174" w:lineRule="exact"/>
        <w:rPr>
          <w:rFonts w:ascii="Arial" w:cs="Arial" w:eastAsia="Arial" w:hAnsi="Arial"/>
          <w:sz w:val="22"/>
          <w:szCs w:val="22"/>
          <w:color w:val="auto"/>
        </w:rPr>
      </w:pPr>
    </w:p>
    <w:p>
      <w:pPr>
        <w:ind w:left="1140" w:hanging="484"/>
        <w:spacing w:after="0"/>
        <w:tabs>
          <w:tab w:leader="none" w:pos="114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Restrictions on Conduct of Executive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680" w:hanging="456"/>
        <w:spacing w:after="0"/>
        <w:tabs>
          <w:tab w:leader="none" w:pos="168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For purposes of this Section 11, the following definitions apply:</w:t>
      </w:r>
    </w:p>
    <w:p>
      <w:pPr>
        <w:spacing w:after="0" w:line="260" w:lineRule="exact"/>
        <w:rPr>
          <w:rFonts w:ascii="Arial" w:cs="Arial" w:eastAsia="Arial" w:hAnsi="Arial"/>
          <w:sz w:val="22"/>
          <w:szCs w:val="22"/>
          <w:color w:val="auto"/>
        </w:rPr>
      </w:pPr>
    </w:p>
    <w:p>
      <w:pPr>
        <w:jc w:val="both"/>
        <w:ind w:firstLine="1953"/>
        <w:spacing w:after="0" w:line="259" w:lineRule="auto"/>
        <w:tabs>
          <w:tab w:leader="none" w:pos="2432" w:val="left"/>
        </w:tabs>
        <w:numPr>
          <w:ilvl w:val="3"/>
          <w:numId w:val="1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Business</w:t>
      </w:r>
      <w:r>
        <w:rPr>
          <w:rFonts w:ascii="Arial" w:cs="Arial" w:eastAsia="Arial" w:hAnsi="Arial"/>
          <w:sz w:val="21"/>
          <w:szCs w:val="21"/>
          <w:color w:val="auto"/>
        </w:rPr>
        <w:t>” means any individual or entity (and any branch, office, or operation thereof) which engages in, or proposes to engage in, with Executive’s assistance, any of the following in which the Executive has been engaged in the twelve (12) months preceding the date of termination: (i) the handling, marketing, gathering, processing, treating or transmission of natural gas, natural gas liquids or crude oil, or the transmission or distribution thereof through pipelines or similar medium, or (ii) any other business actively engaged in by the Company which represents for any calendar year or is projected by the Company (as reflected in a business plan adopted by the Company before Executive’s date of termination) to yield during any year during the first three-fiscal year period commencing on or after Executive’s date of termination, more than 5% of the gross revenue of the Company.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8" w:name="page209"/>
    <w:bookmarkEnd w:id="208"/>
    <w:p>
      <w:pPr>
        <w:jc w:val="both"/>
        <w:ind w:firstLine="1953"/>
        <w:spacing w:after="0" w:line="286" w:lineRule="auto"/>
        <w:tabs>
          <w:tab w:leader="none" w:pos="246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non-public information of any kind or nature in the possession of the Company or any of its affiliates, including without limitation, ideas, processes, methods, designs, innovations, devices, inventions, discoveries, know-how, data, techniques, models, customer lists, marketing, business or strategic plans, financial information, research and development information, trade secrets or other subject matter relating to the Company or any of its affiliates’ products, services, businesses, operations, employees, customers or suppliers, whether in tangible or intangible form, including (i) any information that gives the Company or any of its affiliates a competitive advantage in the harnessing, production, transmission, distribution, marketing or sale of oil, gas or other energy or the transmission or distribution thereof through pipelines, wire or cable or similar medium or in the energy services or energy trading industry and other businesses in which the Company or an affiliate is engaged, or (ii) any information obtained by the Company or any of its affiliates from third parties to which the Company or an affiliate owes a duty of confidentiality, or (iii) any information that was learned, discovered, developed, conceived, originated or prepared during or as a result of Executive’s performance of any services on behalf of the Company or an affiliate. Notwithstanding the foregoing, “Confidential Information” shall not include: (i) information that is or becomes generally known to the public through no fault of Executive; (ii) information obtained on a non-confidential basis from a third party other than the Company or any affiliate, which third party disclosed such information without breaching any legal, contractual or fiduciary obligation; or (iii) information approved for release by written authorization of the Company.</w:t>
      </w:r>
    </w:p>
    <w:p>
      <w:pPr>
        <w:spacing w:after="0" w:line="200" w:lineRule="exact"/>
        <w:rPr>
          <w:rFonts w:ascii="Arial" w:cs="Arial" w:eastAsia="Arial" w:hAnsi="Arial"/>
          <w:sz w:val="19"/>
          <w:szCs w:val="19"/>
          <w:color w:val="auto"/>
        </w:rPr>
      </w:pPr>
    </w:p>
    <w:p>
      <w:pPr>
        <w:spacing w:after="0" w:line="260" w:lineRule="exact"/>
        <w:rPr>
          <w:rFonts w:ascii="Arial" w:cs="Arial" w:eastAsia="Arial" w:hAnsi="Arial"/>
          <w:sz w:val="19"/>
          <w:szCs w:val="19"/>
          <w:color w:val="auto"/>
        </w:rPr>
      </w:pPr>
    </w:p>
    <w:p>
      <w:pPr>
        <w:jc w:val="both"/>
        <w:ind w:firstLine="1953"/>
        <w:spacing w:after="0" w:line="248" w:lineRule="auto"/>
        <w:tabs>
          <w:tab w:leader="none" w:pos="2647" w:val="left"/>
        </w:tabs>
        <w:numPr>
          <w:ilvl w:val="1"/>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Established Customer</w:t>
      </w:r>
      <w:r>
        <w:rPr>
          <w:rFonts w:ascii="Arial" w:cs="Arial" w:eastAsia="Arial" w:hAnsi="Arial"/>
          <w:sz w:val="22"/>
          <w:szCs w:val="22"/>
          <w:color w:val="auto"/>
        </w:rPr>
        <w:t>” means any person or entity to whom or which the Company and/or its affiliates provided products or services to within the twelve (12) months prior to the time of the conduct or issue in question (if the Executive is still employed by the Company or an affiliate) or the date of termination (if the Executive is no longer employed by the Company or an affiliate), and with whom or which the Company and/or its affiliates has had an ongoing relationship that is anticipated by the Company and/or its affiliates to continue.</w:t>
      </w:r>
    </w:p>
    <w:p>
      <w:pPr>
        <w:spacing w:after="0" w:line="232" w:lineRule="exact"/>
        <w:rPr>
          <w:rFonts w:ascii="Arial" w:cs="Arial" w:eastAsia="Arial" w:hAnsi="Arial"/>
          <w:sz w:val="22"/>
          <w:szCs w:val="22"/>
          <w:color w:val="auto"/>
        </w:rPr>
      </w:pPr>
    </w:p>
    <w:p>
      <w:pPr>
        <w:jc w:val="both"/>
        <w:ind w:firstLine="1953"/>
        <w:spacing w:after="0" w:line="261" w:lineRule="auto"/>
        <w:tabs>
          <w:tab w:leader="none" w:pos="2567" w:val="left"/>
        </w:tabs>
        <w:numPr>
          <w:ilvl w:val="1"/>
          <w:numId w:val="1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Territory</w:t>
      </w:r>
      <w:r>
        <w:rPr>
          <w:rFonts w:ascii="Arial" w:cs="Arial" w:eastAsia="Arial" w:hAnsi="Arial"/>
          <w:sz w:val="21"/>
          <w:szCs w:val="21"/>
          <w:color w:val="auto"/>
        </w:rPr>
        <w:t>” means (i) within each of the following discrete, severable, geographic areas: Alabama, Colorado, Florida, Georgia, Idaho, Indiana, Kansas, Louisiana, Maryland, Michigan, Mississippi, Missouri, New Jersey, New Mexico, New York, North Carolina, Ohio, Oklahoma, Oregon, Pennsylvania, South Carolina, Texas, Utah, Virginia, Washington, West Virginia, and Wyoming, and (ii) any other geographic area in which the Executive, on behalf of the Company, has been engaged or is actively preparing to be engaged in any of the activities described in the definition of “Competitive Business” set forth above during the twelve (12) months preceding the date of termination.</w:t>
      </w:r>
    </w:p>
    <w:p>
      <w:pPr>
        <w:spacing w:after="0" w:line="220" w:lineRule="exact"/>
        <w:rPr>
          <w:rFonts w:ascii="Arial" w:cs="Arial" w:eastAsia="Arial" w:hAnsi="Arial"/>
          <w:sz w:val="21"/>
          <w:szCs w:val="21"/>
          <w:color w:val="auto"/>
        </w:rPr>
      </w:pPr>
    </w:p>
    <w:p>
      <w:pPr>
        <w:jc w:val="both"/>
        <w:ind w:firstLine="1305"/>
        <w:spacing w:after="0" w:line="246" w:lineRule="auto"/>
        <w:tabs>
          <w:tab w:leader="none" w:pos="1913"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The Executive acknowledges that in the course of performing services for the Company and its affiliates, Executive may create (alone or with others), learn of, have access to, and/or receive Confidential Information, and the Company hereby agrees to provide the Executive with Confidential Information in the course of the Executive’s performance of services for the Company and its affiliates. The Executive recognizes that all such Confidential Information is the sole and exclusive property of the Company and its affiliates or of third parties to which the Company or an affiliate owes a duty of confidentiality, that it is the Company’s policy to safeguard and keep confidential all such Confidential Information, and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09" w:name="page210"/>
    <w:bookmarkEnd w:id="209"/>
    <w:p>
      <w:pPr>
        <w:jc w:val="both"/>
        <w:spacing w:after="0" w:line="285" w:lineRule="auto"/>
        <w:rPr>
          <w:sz w:val="20"/>
          <w:szCs w:val="20"/>
          <w:color w:val="auto"/>
        </w:rPr>
      </w:pPr>
      <w:r>
        <w:rPr>
          <w:rFonts w:ascii="Arial" w:cs="Arial" w:eastAsia="Arial" w:hAnsi="Arial"/>
          <w:sz w:val="19"/>
          <w:szCs w:val="19"/>
          <w:color w:val="auto"/>
        </w:rPr>
        <w:t xml:space="preserve">disclosure of Confidential Information to an unauthorized third party would cause irreparable damage to the Company and its affiliates. Executive agrees that, during employment with the Company or an affiliate (including prior to the Effective Date), except as required by the duties of Executive’s employment with the Company or any of its affiliates, Executive will not, without the written consent of the Company, willfully disseminate or otherwise disclose, directly or indirectly, any Confidential Information disclosed to Executive or otherwise obtained by Executive during his or her employment with the Company or its affiliates, and will take all necessary precautions to prevent disclosure, to any unauthorized individual or entity (whether or not such individual or entity is employed or engaged by, or is otherwise affiliated with, the Company or any affiliate), and will use the Confidential Information solely for the benefit of the Company and its affiliates and will not use the Confidential Information for the benefit of any other person nor permit its use for the benefit of Executive. These obligations shall continue during and after the termination of Executive’s employment for any reason and for so long as the Confidential Information remains Confidential Information. Anything herein to the contrary notwithstanding, Executive shall not be restricted from: (i) disclosing information that is required to be disclosed by law, court order or other valid and appropriate legal process;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such disclosure is required by law, Executive shall provide the Company with prompt notice of such requirement so that the Company may seek an appropriate protective order prior to any such required disclosure by Executive; (ii) reporting possible violations of federal, state, or local law or regulation to any governmental agency or entity, or from making other disclosures that are protected under the whistleblower provisions of federal, state, or local law or regulation, and Executive shall not need the prior authorization of the Company to make any such reports or disclosures and shall not be required to notify the Company that he or she has made such reports or disclosures; (iii) disclosing a trade secret (as defined by 18 U.S.C. § 1839) in confidence to a federal, state, or local government official, either directly or indirectly, or to an attorney, in either event solely for the purpose of reporting or investigating a suspected violation of law; or (iv) disclosing a trade secret (as defined by 18 U.S.C. § 1839) in a complaint or other document filed in a lawsuit or other proceeding, if such filing is made under seal.</w:t>
      </w:r>
    </w:p>
    <w:p>
      <w:pPr>
        <w:spacing w:after="0" w:line="200" w:lineRule="exact"/>
        <w:rPr>
          <w:sz w:val="20"/>
          <w:szCs w:val="20"/>
          <w:color w:val="auto"/>
        </w:rPr>
      </w:pPr>
    </w:p>
    <w:p>
      <w:pPr>
        <w:spacing w:after="0" w:line="256" w:lineRule="exact"/>
        <w:rPr>
          <w:sz w:val="20"/>
          <w:szCs w:val="20"/>
          <w:color w:val="auto"/>
        </w:rPr>
      </w:pPr>
    </w:p>
    <w:p>
      <w:pPr>
        <w:jc w:val="both"/>
        <w:ind w:firstLine="1305"/>
        <w:spacing w:after="0" w:line="297" w:lineRule="auto"/>
        <w:tabs>
          <w:tab w:leader="none" w:pos="1766"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If during the Employment Period the Executive’s employment is terminated at a time and in a manner which would entitle the Executive to receive the payment set forth under Section 6(a)(i) of this Agreement and Executive accepts and receives such payment under Section 6(a)(i), then for a period ending on the first anniversary of the date of receipt of such payment, but in no event a period that exceeds fourteen months from the date of termination, Executive agrees that without the written consent of the Company, Executive shall not, directly or indirectly, within the Restricted Territory:</w:t>
      </w:r>
    </w:p>
    <w:p>
      <w:pPr>
        <w:spacing w:after="0" w:line="187" w:lineRule="exact"/>
        <w:rPr>
          <w:rFonts w:ascii="Arial" w:cs="Arial" w:eastAsia="Arial" w:hAnsi="Arial"/>
          <w:sz w:val="19"/>
          <w:szCs w:val="19"/>
          <w:color w:val="auto"/>
        </w:rPr>
      </w:pPr>
    </w:p>
    <w:p>
      <w:pPr>
        <w:jc w:val="both"/>
        <w:ind w:firstLine="1953"/>
        <w:spacing w:after="0" w:line="288" w:lineRule="auto"/>
        <w:tabs>
          <w:tab w:leader="none" w:pos="2373" w:val="left"/>
        </w:tabs>
        <w:numPr>
          <w:ilvl w:val="2"/>
          <w:numId w:val="148"/>
        </w:numPr>
        <w:rPr>
          <w:rFonts w:ascii="Arial" w:cs="Arial" w:eastAsia="Arial" w:hAnsi="Arial"/>
          <w:sz w:val="19"/>
          <w:szCs w:val="19"/>
          <w:color w:val="auto"/>
        </w:rPr>
      </w:pPr>
      <w:r>
        <w:rPr>
          <w:rFonts w:ascii="Arial" w:cs="Arial" w:eastAsia="Arial" w:hAnsi="Arial"/>
          <w:sz w:val="19"/>
          <w:szCs w:val="19"/>
          <w:color w:val="auto"/>
        </w:rPr>
        <w:t>engage or participate in, become employed by, serve as a director of, or render advisory or consulting or other services in connection with, any Competitive Business; provided, however, that after Executive’s termination, this Section 11(c) shall not preclude Executive from (A) being an employee of, or consultant to, any business unit of a Competitive Business if</w:t>
      </w:r>
    </w:p>
    <w:p>
      <w:pPr>
        <w:spacing w:after="0" w:line="1" w:lineRule="exact"/>
        <w:rPr>
          <w:rFonts w:ascii="Arial" w:cs="Arial" w:eastAsia="Arial" w:hAnsi="Arial"/>
          <w:sz w:val="19"/>
          <w:szCs w:val="19"/>
          <w:color w:val="auto"/>
        </w:rPr>
      </w:pPr>
    </w:p>
    <w:p>
      <w:pPr>
        <w:jc w:val="both"/>
        <w:ind w:firstLine="8"/>
        <w:spacing w:after="0" w:line="245" w:lineRule="auto"/>
        <w:tabs>
          <w:tab w:leader="none" w:pos="32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such business unit does not qualify as a Competitive Business in its own right and (2) Executive does not have any direct or indirect involvement in, or responsibility for, any operations of such Competitive Business that cause it to qualify as a Competitive Business, or (B) with the approval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of the Company, being a consultant to, an advisor to, a director of, or an employee of a Competitive Business; or</w:t>
      </w:r>
    </w:p>
    <w:p>
      <w:pPr>
        <w:spacing w:after="0" w:line="260" w:lineRule="exact"/>
        <w:rPr>
          <w:sz w:val="20"/>
          <w:szCs w:val="20"/>
          <w:color w:val="auto"/>
        </w:rPr>
      </w:pPr>
    </w:p>
    <w:p>
      <w:pPr>
        <w:jc w:val="both"/>
        <w:ind w:firstLine="1953"/>
        <w:spacing w:after="0" w:line="246" w:lineRule="auto"/>
        <w:tabs>
          <w:tab w:leader="none" w:pos="246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make or retain any financial investment, whether in the form of equity or debt, or own any interest, in any Competitive Business; provided, however, that nothing in this subsection (ii) shall, however, restrict Executive from making an investment in any Competitive Business if such investment does not (A) represent more than 1% of the aggregate market value of the outstanding capital stock or debt (as applicable) of such Competitive Business, (B) give Executive any right or ability, directly or indirectly, to control or influence the policy decisions or management of such Competitive Business, or (C) create a conflict of interest between Executive’s duties to the Company and its affiliates or under this Agreement and his or her interest in such investment.</w:t>
      </w:r>
    </w:p>
    <w:p>
      <w:pPr>
        <w:spacing w:after="0" w:line="237" w:lineRule="exact"/>
        <w:rPr>
          <w:rFonts w:ascii="Arial" w:cs="Arial" w:eastAsia="Arial" w:hAnsi="Arial"/>
          <w:sz w:val="22"/>
          <w:szCs w:val="22"/>
          <w:color w:val="auto"/>
        </w:rPr>
      </w:pPr>
    </w:p>
    <w:p>
      <w:pPr>
        <w:jc w:val="both"/>
        <w:ind w:firstLine="1305"/>
        <w:spacing w:after="0" w:line="271" w:lineRule="auto"/>
        <w:tabs>
          <w:tab w:leader="none" w:pos="1778" w:val="left"/>
        </w:tabs>
        <w:numPr>
          <w:ilvl w:val="0"/>
          <w:numId w:val="151"/>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employment with the Company or an affiliate (including prior to the Effective Date), and for a period ending on the first anniversary of the date of the termination of Executive’s employment, regardless of the reason for Executive’s termination of employment, Executive shall not, within the Restricted Territory:</w:t>
      </w:r>
    </w:p>
    <w:p>
      <w:pPr>
        <w:spacing w:after="0" w:line="208" w:lineRule="exact"/>
        <w:rPr>
          <w:rFonts w:ascii="Arial" w:cs="Arial" w:eastAsia="Arial" w:hAnsi="Arial"/>
          <w:sz w:val="21"/>
          <w:szCs w:val="21"/>
          <w:color w:val="auto"/>
        </w:rPr>
      </w:pPr>
    </w:p>
    <w:p>
      <w:pPr>
        <w:jc w:val="both"/>
        <w:ind w:firstLine="1953"/>
        <w:spacing w:after="0" w:line="312" w:lineRule="auto"/>
        <w:tabs>
          <w:tab w:leader="none" w:pos="2455" w:val="left"/>
        </w:tabs>
        <w:numPr>
          <w:ilvl w:val="1"/>
          <w:numId w:val="151"/>
        </w:numPr>
        <w:rPr>
          <w:rFonts w:ascii="Arial" w:cs="Arial" w:eastAsia="Arial" w:hAnsi="Arial"/>
          <w:sz w:val="19"/>
          <w:szCs w:val="19"/>
          <w:color w:val="auto"/>
        </w:rPr>
      </w:pPr>
      <w:r>
        <w:rPr>
          <w:rFonts w:ascii="Arial" w:cs="Arial" w:eastAsia="Arial" w:hAnsi="Arial"/>
          <w:sz w:val="19"/>
          <w:szCs w:val="19"/>
          <w:color w:val="auto"/>
        </w:rPr>
        <w:t>other than in connection with the good-faith performance of his or her duties as an employee of the Company or its affiliates, directly or indirectly cause or attempt to cause any employee, director or independent contractor of the Company or an affiliate to terminate his or her relationship or engagement with the Company or an affiliate;</w:t>
      </w:r>
    </w:p>
    <w:p>
      <w:pPr>
        <w:spacing w:after="0" w:line="174" w:lineRule="exact"/>
        <w:rPr>
          <w:sz w:val="20"/>
          <w:szCs w:val="20"/>
          <w:color w:val="auto"/>
        </w:rPr>
      </w:pPr>
    </w:p>
    <w:p>
      <w:pPr>
        <w:jc w:val="both"/>
        <w:ind w:firstLine="1953"/>
        <w:spacing w:after="0" w:line="253" w:lineRule="auto"/>
        <w:tabs>
          <w:tab w:leader="none" w:pos="261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directly or indirectly solicit or recruit or attempt to solicit or recruit any employee, director or independent contractor of the Company or an affiliate to enter into employment or any other kind of business relationship with any person other than the Company or an affiliate;</w:t>
      </w:r>
    </w:p>
    <w:p>
      <w:pPr>
        <w:spacing w:after="0" w:line="226" w:lineRule="exact"/>
        <w:rPr>
          <w:rFonts w:ascii="Arial" w:cs="Arial" w:eastAsia="Arial" w:hAnsi="Arial"/>
          <w:sz w:val="22"/>
          <w:szCs w:val="22"/>
          <w:color w:val="auto"/>
        </w:rPr>
      </w:pPr>
    </w:p>
    <w:p>
      <w:pPr>
        <w:jc w:val="both"/>
        <w:ind w:firstLine="1953"/>
        <w:spacing w:after="0" w:line="250" w:lineRule="auto"/>
        <w:tabs>
          <w:tab w:leader="none" w:pos="249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directly solicit any of the Company’s or an affiliate’s Established Customers for the sale of products or services that the Company or such affiliate provides to such Established Customer or planned to market to such Established Customer as of the time of the conduct or issue in question (if the Executive is still employed by the Company) or on the date of termination (if the Executive is no longer employed by the Company); or</w:t>
      </w:r>
    </w:p>
    <w:p>
      <w:pPr>
        <w:spacing w:after="0" w:line="228" w:lineRule="exact"/>
        <w:rPr>
          <w:rFonts w:ascii="Arial" w:cs="Arial" w:eastAsia="Arial" w:hAnsi="Arial"/>
          <w:sz w:val="22"/>
          <w:szCs w:val="22"/>
          <w:color w:val="auto"/>
        </w:rPr>
      </w:pPr>
    </w:p>
    <w:p>
      <w:pPr>
        <w:jc w:val="both"/>
        <w:ind w:firstLine="1953"/>
        <w:spacing w:after="0" w:line="253" w:lineRule="auto"/>
        <w:tabs>
          <w:tab w:leader="none" w:pos="247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interfere with the relationship of the Company or an affiliate with any person who or which at any time during the period commencing one year prior to the date of termination was or is, to Executive’s knowledge, a material supplier or material vendor of the Company or an affiliate.</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50" w:lineRule="auto"/>
        <w:tabs>
          <w:tab w:leader="none" w:pos="2515" w:val="left"/>
        </w:tabs>
        <w:numPr>
          <w:ilvl w:val="1"/>
          <w:numId w:val="153"/>
        </w:numPr>
        <w:rPr>
          <w:rFonts w:ascii="Arial" w:cs="Arial" w:eastAsia="Arial" w:hAnsi="Arial"/>
          <w:sz w:val="22"/>
          <w:szCs w:val="22"/>
          <w:color w:val="auto"/>
        </w:rPr>
      </w:pPr>
      <w:r>
        <w:rPr>
          <w:rFonts w:ascii="Arial" w:cs="Arial" w:eastAsia="Arial" w:hAnsi="Arial"/>
          <w:sz w:val="22"/>
          <w:szCs w:val="22"/>
          <w:color w:val="auto"/>
        </w:rPr>
        <w:t>During employment with the Company or an affiliate (including prior to the Effective Date), and thereafter upon the Company’s request, regardless of the reason for Executive’s termination of employment, Executive shall disclose immediately to the Company all Work Product that: (A) relates to the business of the Company or an affiliate or any customer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1" w:name="page212"/>
    <w:bookmarkEnd w:id="211"/>
    <w:p>
      <w:pPr>
        <w:jc w:val="both"/>
        <w:spacing w:after="0" w:line="288" w:lineRule="auto"/>
        <w:rPr>
          <w:sz w:val="20"/>
          <w:szCs w:val="20"/>
          <w:color w:val="auto"/>
        </w:rPr>
      </w:pPr>
      <w:r>
        <w:rPr>
          <w:rFonts w:ascii="Arial" w:cs="Arial" w:eastAsia="Arial" w:hAnsi="Arial"/>
          <w:sz w:val="19"/>
          <w:szCs w:val="19"/>
          <w:color w:val="auto"/>
        </w:rPr>
        <w:t>supplier to the Company or an affiliate or any of the products or services being developed, manufactured, sold or otherwise provided by the Company or an affiliate or that may be used in relation therewith; or (B) results from tasks or projects assigned to Executive by the Company or an affiliate; or (C) results from the use of the premises or personal property (whether tangible or intangible) owned, leased or contracted for by the Company or an affiliate. Executive agrees that any Work Product shall be the property of the Company and, if subject to copyright, shall be considered a “work made for hire” within the meaning of the Copyright Act of 1976, as amended. If and to the extent that any such Work Product is not a “work made for hire” within the meaning of the Copyright Act of 1976, as amended, Executive hereby assigns, and agrees to assign, to the Company all right, title and interest in and to the Work Product and all copies thereof, and all copyrights, patent rights, trademark rights, trade secret rights and all other proprietary and intellectual property rights in the Work Product, without further consideration, free from any claim, lien for balance due, or rights of retention thereto on the part of Executive.</w:t>
      </w:r>
    </w:p>
    <w:p>
      <w:pPr>
        <w:spacing w:after="0" w:line="201" w:lineRule="exact"/>
        <w:rPr>
          <w:sz w:val="20"/>
          <w:szCs w:val="20"/>
          <w:color w:val="auto"/>
        </w:rPr>
      </w:pPr>
    </w:p>
    <w:p>
      <w:pPr>
        <w:jc w:val="both"/>
        <w:ind w:firstLine="1953"/>
        <w:spacing w:after="0" w:line="294" w:lineRule="auto"/>
        <w:tabs>
          <w:tab w:leader="none" w:pos="267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Notwithstanding the foregoing, the Company agrees and acknowledges that the provisions of Section 11(e) relating to ownership and disclosure of Work Product do not apply to any inventions or other subject matter for which no equipment, supplies, facility, or trade secret information of the Company or an affiliate was used and that are developed entirely on Executive’s own time, unless: (A) the invention or other subject matter relates (1) to the business of the Company or an affiliate, or (2) to the actual or demonstrably anticipated research or development of the Company or an affiliate, or (B) the invention or other subject matter results from any work performed by Executive for the Company or an affiliate.</w:t>
      </w:r>
    </w:p>
    <w:p>
      <w:pPr>
        <w:spacing w:after="0" w:line="190" w:lineRule="exact"/>
        <w:rPr>
          <w:rFonts w:ascii="Arial" w:cs="Arial" w:eastAsia="Arial" w:hAnsi="Arial"/>
          <w:sz w:val="19"/>
          <w:szCs w:val="19"/>
          <w:color w:val="auto"/>
        </w:rPr>
      </w:pPr>
    </w:p>
    <w:p>
      <w:pPr>
        <w:jc w:val="both"/>
        <w:ind w:firstLine="1953"/>
        <w:spacing w:after="0" w:line="259" w:lineRule="auto"/>
        <w:tabs>
          <w:tab w:leader="none" w:pos="251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Executive agrees that, upon disclosure of Work Product to the Company, Executive will, during his or her employment by the Company or an affiliate and at any time thereafter, at the request and cost of the Company, execute all such documents and perform all such acts as the Company or an affiliate (or their respective duly authorized agents) may reasonably require: (A) to apply for, obtain and vest in the name of the Company alone (unless the Company otherwise directs) letters patent, copyrights or other intellectual property protection in any country throughout the world, and when so obtained or vested to renew and restore the same; and (B) to prosecute or defend any opposition proceedings in respect of such applications and any opposition proceedings or petitions or applications for revocation of such letters patent, copyright or other intellectual property protection, or otherwise in respect of the Work Product.</w:t>
      </w:r>
    </w:p>
    <w:p>
      <w:pPr>
        <w:spacing w:after="0" w:line="224" w:lineRule="exact"/>
        <w:rPr>
          <w:rFonts w:ascii="Arial" w:cs="Arial" w:eastAsia="Arial" w:hAnsi="Arial"/>
          <w:sz w:val="21"/>
          <w:szCs w:val="21"/>
          <w:color w:val="auto"/>
        </w:rPr>
      </w:pPr>
    </w:p>
    <w:p>
      <w:pPr>
        <w:jc w:val="both"/>
        <w:ind w:firstLine="1953"/>
        <w:spacing w:after="0" w:line="294" w:lineRule="auto"/>
        <w:tabs>
          <w:tab w:leader="none" w:pos="2558"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the event that the Company is unable, after reasonable effort, to secure Executive’s execution of such documents as provided in Section 11(e), whether because of Executive’s physical or mental incapacity or for any other reason whatsoever, Executive hereby irrevocably designates and appoints the Company and its duly authorized officers and agents as his or her agent and attorney-in-fact, to act for and on his or her behalf to execute and file any such application or applications and to do all other lawfully permitted acts to further the prosecution, issuance and protection of letters patent, copyright and other intellectual property protection with the same legal force and effect as if personally executed by Executive.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- 17 -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2" w:name="page213"/>
    <w:bookmarkEnd w:id="212"/>
    <w:p>
      <w:pPr>
        <w:ind w:left="1740" w:hanging="435"/>
        <w:spacing w:after="0"/>
        <w:tabs>
          <w:tab w:leader="none" w:pos="174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59" w:lineRule="auto"/>
        <w:tabs>
          <w:tab w:leader="none" w:pos="2578" w:val="left"/>
        </w:tabs>
        <w:numPr>
          <w:ilvl w:val="1"/>
          <w:numId w:val="155"/>
        </w:numPr>
        <w:rPr>
          <w:rFonts w:ascii="Arial" w:cs="Arial" w:eastAsia="Arial" w:hAnsi="Arial"/>
          <w:sz w:val="21"/>
          <w:szCs w:val="21"/>
          <w:color w:val="auto"/>
        </w:rPr>
      </w:pPr>
      <w:r>
        <w:rPr>
          <w:rFonts w:ascii="Arial" w:cs="Arial" w:eastAsia="Arial" w:hAnsi="Arial"/>
          <w:sz w:val="21"/>
          <w:szCs w:val="21"/>
          <w:color w:val="auto"/>
        </w:rPr>
        <w:t>Executive agrees not to make, or cause to be made, any statement, observation or opinion, or communicate any information (whether oral or written, directly or indirectly) that (A) accuses or implies that the Company and/or any of its affiliates, together with their respective present or former officers, directors, partners, stockholders, employees and agents, and each of their predecessors, successors and assigns, engaged in any wrongful, unlawful or improper conduct, whether relating to Executive’s employment (or the termination thereof), the business or operations of the Company and/or any of its affiliates, or otherwise; or (B) disparages, impugns or in any way reflects adversely upon the business or reputation of the Company and/or any of its affiliates, together with their respective present or former officers, directors, partners, stockholders, employees and agents, and each of their predecessors, successors and assigns.</w:t>
      </w:r>
    </w:p>
    <w:p>
      <w:pPr>
        <w:spacing w:after="0" w:line="224" w:lineRule="exact"/>
        <w:rPr>
          <w:rFonts w:ascii="Arial" w:cs="Arial" w:eastAsia="Arial" w:hAnsi="Arial"/>
          <w:sz w:val="21"/>
          <w:szCs w:val="21"/>
          <w:color w:val="auto"/>
        </w:rPr>
      </w:pPr>
    </w:p>
    <w:p>
      <w:pPr>
        <w:jc w:val="both"/>
        <w:ind w:firstLine="1953"/>
        <w:spacing w:after="0" w:line="294" w:lineRule="auto"/>
        <w:tabs>
          <w:tab w:leader="none" w:pos="244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The Company agrees that, after the Effective Date, the Company and its employees holding the title of Senior Vice President or above and the members of the Board as of the date of this Agreement (during their employment with the Company or an affiliate or service as a director of the Company or an affiliate) will not make any statement, observation or opinion, or communicate any information (whether oral or written, direct or indirect) that (A) accuses or implies that Executive engaged in any wrongful, unlawful or improper conduct relating to Executive’s employment or termination thereof with the Company or an affiliate, or otherwise; or (B) disparages, impugns or in any way reflects adversely upon the reputation of Executive.</w:t>
      </w:r>
    </w:p>
    <w:p>
      <w:pPr>
        <w:spacing w:after="0" w:line="190" w:lineRule="exact"/>
        <w:rPr>
          <w:rFonts w:ascii="Arial" w:cs="Arial" w:eastAsia="Arial" w:hAnsi="Arial"/>
          <w:sz w:val="19"/>
          <w:szCs w:val="19"/>
          <w:color w:val="auto"/>
        </w:rPr>
      </w:pPr>
    </w:p>
    <w:p>
      <w:pPr>
        <w:jc w:val="both"/>
        <w:ind w:firstLine="1953"/>
        <w:spacing w:after="0" w:line="250" w:lineRule="auto"/>
        <w:tabs>
          <w:tab w:leader="none" w:pos="249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Notwithstanding anything contained herein to the contrary, nothing herein shall be deemed to preclude Executive, the Company, or the Company’s affiliates, employees or directors from providing truthful testimony or information pursuant to subpoena, court order, valid request by a government agency, other similar legal or regulatory process, or as otherwise required by law.</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Restrictive Covenants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65" w:lineRule="auto"/>
        <w:tabs>
          <w:tab w:leader="none" w:pos="2404" w:val="left"/>
        </w:tabs>
        <w:numPr>
          <w:ilvl w:val="1"/>
          <w:numId w:val="155"/>
        </w:numPr>
        <w:rPr>
          <w:rFonts w:ascii="Arial" w:cs="Arial" w:eastAsia="Arial" w:hAnsi="Arial"/>
          <w:sz w:val="21"/>
          <w:szCs w:val="21"/>
          <w:color w:val="auto"/>
        </w:rPr>
      </w:pPr>
      <w:r>
        <w:rPr>
          <w:rFonts w:ascii="Arial" w:cs="Arial" w:eastAsia="Arial" w:hAnsi="Arial"/>
          <w:sz w:val="21"/>
          <w:szCs w:val="21"/>
          <w:color w:val="auto"/>
        </w:rPr>
        <w:t>Executive acknowledges that the covenants contained in this Agreement are reasonable in the scope of the activities restricted, the geographic area covered by the restrictions, and the duration of the restrictions, and that such covenants are reasonably necessary to protect the Company’s legitimate interests in its Confidential Information, its proprietary work, and in its relationships with its employees, customers, suppliers and agents.</w:t>
      </w:r>
    </w:p>
    <w:p>
      <w:pPr>
        <w:spacing w:after="0" w:line="216" w:lineRule="exact"/>
        <w:rPr>
          <w:rFonts w:ascii="Arial" w:cs="Arial" w:eastAsia="Arial" w:hAnsi="Arial"/>
          <w:sz w:val="21"/>
          <w:szCs w:val="21"/>
          <w:color w:val="auto"/>
        </w:rPr>
      </w:pPr>
    </w:p>
    <w:p>
      <w:pPr>
        <w:jc w:val="both"/>
        <w:ind w:firstLine="1953"/>
        <w:spacing w:after="0" w:line="250" w:lineRule="auto"/>
        <w:tabs>
          <w:tab w:leader="none" w:pos="2438" w:val="left"/>
        </w:tabs>
        <w:numPr>
          <w:ilvl w:val="1"/>
          <w:numId w:val="155"/>
        </w:numPr>
        <w:rPr>
          <w:rFonts w:ascii="Arial" w:cs="Arial" w:eastAsia="Arial" w:hAnsi="Arial"/>
          <w:sz w:val="22"/>
          <w:szCs w:val="22"/>
          <w:color w:val="auto"/>
        </w:rPr>
      </w:pPr>
      <w:r>
        <w:rPr>
          <w:rFonts w:ascii="Arial" w:cs="Arial" w:eastAsia="Arial" w:hAnsi="Arial"/>
          <w:sz w:val="22"/>
          <w:szCs w:val="22"/>
          <w:color w:val="auto"/>
        </w:rPr>
        <w:t>The Company has, and Executive has had an opportunity to, consult with their respective legal counsel and to be advised concerning the reasonableness and propriety of such covenants. Executive acknowledges that his or her observance of the covenants contained herein will not deprive Executive of the ability to earn a livelihood or to support his or her dependents.</w:t>
      </w:r>
    </w:p>
    <w:p>
      <w:pPr>
        <w:spacing w:after="0" w:line="228" w:lineRule="exact"/>
        <w:rPr>
          <w:rFonts w:ascii="Arial" w:cs="Arial" w:eastAsia="Arial" w:hAnsi="Arial"/>
          <w:sz w:val="22"/>
          <w:szCs w:val="22"/>
          <w:color w:val="auto"/>
        </w:rPr>
      </w:pPr>
    </w:p>
    <w:p>
      <w:pPr>
        <w:ind w:left="1780" w:hanging="475"/>
        <w:spacing w:after="0"/>
        <w:tabs>
          <w:tab w:leader="none" w:pos="1780"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Right to Injunction; Survival of Undertakings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right="20" w:firstLine="1953"/>
        <w:spacing w:after="0" w:line="263" w:lineRule="auto"/>
        <w:tabs>
          <w:tab w:leader="none" w:pos="2494" w:val="left"/>
        </w:tabs>
        <w:numPr>
          <w:ilvl w:val="1"/>
          <w:numId w:val="155"/>
        </w:numPr>
        <w:rPr>
          <w:rFonts w:ascii="Arial" w:cs="Arial" w:eastAsia="Arial" w:hAnsi="Arial"/>
          <w:sz w:val="22"/>
          <w:szCs w:val="22"/>
          <w:color w:val="auto"/>
        </w:rPr>
      </w:pPr>
      <w:r>
        <w:rPr>
          <w:rFonts w:ascii="Arial" w:cs="Arial" w:eastAsia="Arial" w:hAnsi="Arial"/>
          <w:sz w:val="22"/>
          <w:szCs w:val="22"/>
          <w:color w:val="auto"/>
        </w:rPr>
        <w:t>In recognition of the confidential nature of the Confidential Information, and in recognition of the necessity of the limited restrictions imposed by this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- 18 -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3" w:name="page214"/>
    <w:bookmarkEnd w:id="213"/>
    <w:p>
      <w:pPr>
        <w:jc w:val="both"/>
        <w:spacing w:after="0" w:line="259" w:lineRule="auto"/>
        <w:rPr>
          <w:sz w:val="20"/>
          <w:szCs w:val="20"/>
          <w:color w:val="auto"/>
        </w:rPr>
      </w:pPr>
      <w:r>
        <w:rPr>
          <w:rFonts w:ascii="Arial" w:cs="Arial" w:eastAsia="Arial" w:hAnsi="Arial"/>
          <w:sz w:val="21"/>
          <w:szCs w:val="21"/>
          <w:color w:val="auto"/>
        </w:rPr>
        <w:t>Agreement, Executive and the Company agree that it would be impossible to measure solely in money the damages which the Company would suffer if Executive were to breach any of his or her obligations hereunder. Executive acknowledges that any breach of any provision of this Agreement would irreparably injure the Company. Accordingly, Executive agrees that if he or she breaches any of the provisions of this Agreement, the Company shall be entitled, in addition to any other remedies to which the Company may be entitled under this Agreement or otherwise, to an injunction to be issued by a court of competent jurisdiction or arbitrator, to restrain any breach, or threatened breach, of any provision of this Agreement without the necessity of posting a bond or other security therefor, and Executive hereby waives any right to assert any claim or defense that the Company has an adequate remedy at law for any such breach.</w:t>
      </w:r>
    </w:p>
    <w:p>
      <w:pPr>
        <w:spacing w:after="0" w:line="225" w:lineRule="exact"/>
        <w:rPr>
          <w:sz w:val="20"/>
          <w:szCs w:val="20"/>
          <w:color w:val="auto"/>
        </w:rPr>
      </w:pPr>
    </w:p>
    <w:p>
      <w:pPr>
        <w:jc w:val="both"/>
        <w:ind w:firstLine="1953"/>
        <w:spacing w:after="0" w:line="250" w:lineRule="auto"/>
        <w:tabs>
          <w:tab w:leader="none" w:pos="2468" w:val="left"/>
        </w:tabs>
        <w:numPr>
          <w:ilvl w:val="1"/>
          <w:numId w:val="156"/>
        </w:numPr>
        <w:rPr>
          <w:rFonts w:ascii="Arial" w:cs="Arial" w:eastAsia="Arial" w:hAnsi="Arial"/>
          <w:sz w:val="22"/>
          <w:szCs w:val="22"/>
          <w:color w:val="auto"/>
        </w:rPr>
      </w:pPr>
      <w:r>
        <w:rPr>
          <w:rFonts w:ascii="Arial" w:cs="Arial" w:eastAsia="Arial" w:hAnsi="Arial"/>
          <w:sz w:val="22"/>
          <w:szCs w:val="22"/>
          <w:color w:val="auto"/>
        </w:rPr>
        <w:t>If a court of competent jurisdiction or arbitrator determines that any covenant included in this Section 11 is unenforceable in whole or in part because of such covenant’s duration or geographical or other scope, such court or arbitrator shall have the power to modify the duration or scope of such provision, as the case may be, so as to cause such covenant as so modified to be enforceable.</w:t>
      </w:r>
    </w:p>
    <w:p>
      <w:pPr>
        <w:spacing w:after="0" w:line="228" w:lineRule="exact"/>
        <w:rPr>
          <w:rFonts w:ascii="Arial" w:cs="Arial" w:eastAsia="Arial" w:hAnsi="Arial"/>
          <w:sz w:val="22"/>
          <w:szCs w:val="22"/>
          <w:color w:val="auto"/>
        </w:rPr>
      </w:pPr>
    </w:p>
    <w:p>
      <w:pPr>
        <w:jc w:val="both"/>
        <w:ind w:firstLine="1953"/>
        <w:spacing w:after="0" w:line="250" w:lineRule="auto"/>
        <w:tabs>
          <w:tab w:leader="none" w:pos="2515" w:val="left"/>
        </w:tabs>
        <w:numPr>
          <w:ilvl w:val="1"/>
          <w:numId w:val="156"/>
        </w:numPr>
        <w:rPr>
          <w:rFonts w:ascii="Arial" w:cs="Arial" w:eastAsia="Arial" w:hAnsi="Arial"/>
          <w:sz w:val="22"/>
          <w:szCs w:val="22"/>
          <w:color w:val="auto"/>
        </w:rPr>
      </w:pPr>
      <w:r>
        <w:rPr>
          <w:rFonts w:ascii="Arial" w:cs="Arial" w:eastAsia="Arial" w:hAnsi="Arial"/>
          <w:sz w:val="22"/>
          <w:szCs w:val="22"/>
          <w:color w:val="auto"/>
        </w:rPr>
        <w:t>Executive’s obligations under this Section 11 and any provisions necessary to interpret or enforce this Section 11 shall be in effect regardless of whether the Employment Period ever begins, and shall survive the expiration of the Employment Period (if any) and any termination of the Agreement Term and/or Executive’s employment with the Company or an affiliate, without regard to the reasons for such termination.</w:t>
      </w:r>
    </w:p>
    <w:p>
      <w:pPr>
        <w:spacing w:after="0" w:line="228" w:lineRule="exact"/>
        <w:rPr>
          <w:rFonts w:ascii="Arial" w:cs="Arial" w:eastAsia="Arial" w:hAnsi="Arial"/>
          <w:sz w:val="22"/>
          <w:szCs w:val="22"/>
          <w:color w:val="auto"/>
        </w:rPr>
      </w:pPr>
    </w:p>
    <w:p>
      <w:pPr>
        <w:jc w:val="both"/>
        <w:ind w:firstLine="1305"/>
        <w:spacing w:after="0" w:line="285" w:lineRule="auto"/>
        <w:tabs>
          <w:tab w:leader="none" w:pos="1825"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Violation of Covenants</w:t>
      </w:r>
      <w:r>
        <w:rPr>
          <w:rFonts w:ascii="Arial" w:cs="Arial" w:eastAsia="Arial" w:hAnsi="Arial"/>
          <w:sz w:val="19"/>
          <w:szCs w:val="19"/>
          <w:color w:val="auto"/>
        </w:rPr>
        <w:t>. If a determination is made that Executive has breached any non-competition, non-solicitation, non-disparagement, confidential information or intellectual property covenant entered into at any time between Executive (on the one hand) and the Company or any affiliate (on the other hand), including any of the restrictive covenants in this Section 11, then: (A) the Company shall have no obligation to pay or provide any severance or benefits under Section 6, (B) all of Executive’s outstanding equity incentive awards (including any unexercised stock options or unvested restricted stock or restricted stock units) shall terminate and be forfeited as of the date of the breach, (C) Executive shall reimburse the Company for any amount already paid under Section 6, and (D) Executive shall repay to the Company an amount equal to the aggregate “spread” (as defined below) on all stock options exercised during the period beginning one year prior to the earlier of the date of termination or the first date on which Executive breached any such covenant (“Breach Date”) and ending on the later of the date of termination or the Breach Date (the “Recoupment Period”). For purposes of the preceding sentence, any determination that Executive has breached any restrictive covenants shall be made, prior to the Effective Date, by the Company in good faith, and following the Effective Date, by a court of competent jurisdiction or arbitrator. For purposes of this Section 11(i), “spread” in respect of any stock option shall mean the product of the number of shares as to which such stock option has been exercised during Recoupment Period, multiplied by the difference between the closing price of the common stock on the exercise date (or if the common stock did not trade on the New York Stock Exchange or other exchange, if any, on which common stock had a higher trading volume at the time, on the exercise date, the most recent date on which the common stock did so trade) and the exercise price of the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- 19 -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4" w:name="page215"/>
    <w:bookmarkEnd w:id="214"/>
    <w:p>
      <w:pPr>
        <w:jc w:val="both"/>
        <w:ind w:firstLine="1305"/>
        <w:spacing w:after="0" w:line="250" w:lineRule="auto"/>
        <w:tabs>
          <w:tab w:leader="none" w:pos="1757"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Attorneys’ Fees and Costs</w:t>
      </w:r>
      <w:r>
        <w:rPr>
          <w:rFonts w:ascii="Arial" w:cs="Arial" w:eastAsia="Arial" w:hAnsi="Arial"/>
          <w:sz w:val="22"/>
          <w:szCs w:val="22"/>
          <w:color w:val="auto"/>
        </w:rPr>
        <w:t>. If the parties become involved in legal action regarding the enforcement of any of the provisions of this Section 11, the prevailing party in such legal action will be entitled, in addition to any other remedy, to recover from the non-prevailing party its or his/her reasonable costs and attorneys’ fees incurred in connection with such legal action.</w:t>
      </w:r>
    </w:p>
    <w:p>
      <w:pPr>
        <w:spacing w:after="0" w:line="222" w:lineRule="exact"/>
        <w:rPr>
          <w:rFonts w:ascii="Arial" w:cs="Arial" w:eastAsia="Arial" w:hAnsi="Arial"/>
          <w:sz w:val="22"/>
          <w:szCs w:val="22"/>
          <w:color w:val="auto"/>
        </w:rPr>
      </w:pPr>
    </w:p>
    <w:p>
      <w:pPr>
        <w:ind w:left="1380" w:hanging="494"/>
        <w:spacing w:after="0"/>
        <w:tabs>
          <w:tab w:leader="none" w:pos="1380"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b w:val="1"/>
          <w:bCs w:val="1"/>
          <w:u w:val="single" w:color="auto"/>
          <w:color w:val="auto"/>
        </w:rPr>
        <w:t>.</w:t>
      </w:r>
    </w:p>
    <w:p>
      <w:pPr>
        <w:spacing w:after="0" w:line="266" w:lineRule="exact"/>
        <w:rPr>
          <w:rFonts w:ascii="Arial" w:cs="Arial" w:eastAsia="Arial" w:hAnsi="Arial"/>
          <w:sz w:val="22"/>
          <w:szCs w:val="22"/>
          <w:color w:val="auto"/>
        </w:rPr>
      </w:pPr>
    </w:p>
    <w:p>
      <w:pPr>
        <w:jc w:val="both"/>
        <w:ind w:firstLine="1305"/>
        <w:spacing w:after="0" w:line="287" w:lineRule="auto"/>
        <w:tabs>
          <w:tab w:leader="none" w:pos="176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Company and Executive agree that any claim, complaint, or dispute that arises out of or relates in any way to the Executive’s employment relationship with the Company or any of its affiliates, whether based in contract, tort, federal, state, or municipal statute, fraud, misrepresentation, or any other legal theory, shall be submitted to binding arbitration pursuant to the Federal Arbitration Act, to be held in Tulsa, Oklahoma and administered by the American Arbitration Association (the “AAA”) pursuant to the National Rules for the Resolution of Employment Disputes of the AAA (the “Rules”). Notwithstanding the foregoing, (i) the assessment of legal fees and related costs of such arbitration incurred by the Company and Executive shall be governed by applicable law, except as set forth in Section 9 or Section 11(j) of this Agreement, as applicable; (ii) the arbitration shall be determined by a single arbitrator, not a panel; (iii) both the Company and Executive shall be permitted to seek summary disposition prior to hearing; (iv) the decision rendered by the arbitrator shall be in writing and set forth findings of fact and conclusions of law; (v) except as otherwise set forth in this Agreement, t</w:t>
      </w:r>
      <w:r>
        <w:rPr>
          <w:rFonts w:ascii="Arial" w:cs="Arial" w:eastAsia="Arial" w:hAnsi="Arial"/>
          <w:sz w:val="19"/>
          <w:szCs w:val="19"/>
          <w:color w:val="212121"/>
        </w:rPr>
        <w:t>he arbitrator, and not any federal, state, or local court, or</w:t>
      </w:r>
      <w:r>
        <w:rPr>
          <w:rFonts w:ascii="Arial" w:cs="Arial" w:eastAsia="Arial" w:hAnsi="Arial"/>
          <w:sz w:val="19"/>
          <w:szCs w:val="19"/>
          <w:color w:val="auto"/>
        </w:rPr>
        <w:t xml:space="preserve"> </w:t>
      </w:r>
      <w:r>
        <w:rPr>
          <w:rFonts w:ascii="Arial" w:cs="Arial" w:eastAsia="Arial" w:hAnsi="Arial"/>
          <w:sz w:val="19"/>
          <w:szCs w:val="19"/>
          <w:color w:val="212121"/>
        </w:rPr>
        <w:t>agency, shall have exclusive authority to resolve any dispute relating to the arbitrability of any dispute between the parties. The arbitrator's decision shall be final and binding upon the Company and Executive. If the Rules are inconsistent with the terms of this Agreement, the terms of this Agreement shall govern</w:t>
      </w:r>
      <w:r>
        <w:rPr>
          <w:rFonts w:ascii="Arial" w:cs="Arial" w:eastAsia="Arial" w:hAnsi="Arial"/>
          <w:sz w:val="19"/>
          <w:szCs w:val="19"/>
          <w:color w:val="000000"/>
        </w:rPr>
        <w:t>.</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1305"/>
        <w:spacing w:after="0" w:line="286" w:lineRule="auto"/>
        <w:tabs>
          <w:tab w:leader="none" w:pos="1778" w:val="left"/>
        </w:tabs>
        <w:numPr>
          <w:ilvl w:val="1"/>
          <w:numId w:val="159"/>
        </w:numPr>
        <w:rPr>
          <w:rFonts w:ascii="Arial" w:cs="Arial" w:eastAsia="Arial" w:hAnsi="Arial"/>
          <w:sz w:val="19"/>
          <w:szCs w:val="19"/>
          <w:color w:val="auto"/>
        </w:rPr>
      </w:pPr>
      <w:r>
        <w:rPr>
          <w:rFonts w:ascii="Arial" w:cs="Arial" w:eastAsia="Arial" w:hAnsi="Arial"/>
          <w:sz w:val="19"/>
          <w:szCs w:val="19"/>
          <w:color w:val="212121"/>
        </w:rPr>
        <w:t xml:space="preserve">This Agreement to arbitrate covers all grievances, disputes, claims, or causes of action that otherwise could be brought in a federal, state, or local court or agency under applicable federal, state, or local laws, arising out of or relating to Executive’s employment with the Company or an </w:t>
      </w:r>
      <w:r>
        <w:rPr>
          <w:rFonts w:ascii="Arial" w:cs="Arial" w:eastAsia="Arial" w:hAnsi="Arial"/>
          <w:sz w:val="19"/>
          <w:szCs w:val="19"/>
          <w:color w:val="000000"/>
        </w:rPr>
        <w:t>affiliate</w:t>
      </w:r>
      <w:r>
        <w:rPr>
          <w:rFonts w:ascii="Arial" w:cs="Arial" w:eastAsia="Arial" w:hAnsi="Arial"/>
          <w:sz w:val="19"/>
          <w:szCs w:val="19"/>
          <w:color w:val="212121"/>
        </w:rPr>
        <w:t xml:space="preserve"> and the termination thereof, including claims the Executive may have against the Company or against its </w:t>
      </w:r>
      <w:r>
        <w:rPr>
          <w:rFonts w:ascii="Arial" w:cs="Arial" w:eastAsia="Arial" w:hAnsi="Arial"/>
          <w:sz w:val="19"/>
          <w:szCs w:val="19"/>
          <w:color w:val="000000"/>
        </w:rPr>
        <w:t>affiliates,</w:t>
      </w:r>
      <w:r>
        <w:rPr>
          <w:rFonts w:ascii="Arial" w:cs="Arial" w:eastAsia="Arial" w:hAnsi="Arial"/>
          <w:sz w:val="19"/>
          <w:szCs w:val="19"/>
          <w:color w:val="212121"/>
        </w:rPr>
        <w:t xml:space="preserve"> officers, directors, supervisors, managers, employees, or agents in their capacity as such or otherwise, or that the Company may have against the Executive. The claims covered by this Agreement include, but are not limited to, claims for breach of any contract or covenant (express or implied), including, but not limited to, any claim in connection with this Agreement, tort claims, claims for wages, or other compensation due, claims for wrongful termination (constructive or actual), claims for discrimination or harassment (including, but not limited to, harassment or discrimination based on race, age, color, sex, gender, national origin, alienage or citizenship status, creed, religion, marital status, partnership status, military status, predisposing genetic characteristics, medical condition, psychological condition, mental condition, criminal accusations and convictions, disability, sexual orientation, or any other trait or characteristic protected by federal, state, or local law), claims for violation of any federal, state, local, or other governmental law, statute, regulation, or ordinance, including, but not limited to, all claims arising under Title VII of the Civil Rights Act, as amended, the Americans with Disabilities Act, as amended, the Family and Medical Leave Act, as amended, the Fair Labor Standards Act, as amended, the Equal Pay Act, as amended, the Employee Retirement Income Security Act, as amended, the Civil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- 20 -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604" w:right="239" w:bottom="1440" w:gutter="0" w:footer="0" w:header="0"/>
        </w:sectPr>
      </w:pPr>
    </w:p>
    <w:bookmarkStart w:id="215" w:name="page216"/>
    <w:bookmarkEnd w:id="215"/>
    <w:p>
      <w:pPr>
        <w:jc w:val="both"/>
        <w:spacing w:after="0" w:line="302" w:lineRule="auto"/>
        <w:rPr>
          <w:sz w:val="20"/>
          <w:szCs w:val="20"/>
          <w:color w:val="auto"/>
        </w:rPr>
      </w:pPr>
      <w:r>
        <w:rPr>
          <w:rFonts w:ascii="Arial" w:cs="Arial" w:eastAsia="Arial" w:hAnsi="Arial"/>
          <w:sz w:val="19"/>
          <w:szCs w:val="19"/>
          <w:color w:val="212121"/>
        </w:rPr>
        <w:t>Rights Act of 1991, as amended, Section 1981 of U.S.C. Title 42, the Sarbanes-Oxley Act of 2002, as amended, the Worker Adjustment and Retraining Notification Act, as amended, the Age Discrimination in Employment Act, as amended, the Uniform Services Employment and Reemployment Rights Act, as amended, the Genetic Information Nondiscrimination Act, all of their respective implementing regulations and any other federal, state, local, or foreign law (statutory, regulatory, or otherwise)</w:t>
      </w:r>
      <w:r>
        <w:rPr>
          <w:rFonts w:ascii="Arial" w:cs="Arial" w:eastAsia="Arial" w:hAnsi="Arial"/>
          <w:sz w:val="19"/>
          <w:szCs w:val="19"/>
          <w:color w:val="000000"/>
        </w:rPr>
        <w:t>.</w:t>
      </w:r>
    </w:p>
    <w:p>
      <w:pPr>
        <w:spacing w:after="0" w:line="183" w:lineRule="exact"/>
        <w:rPr>
          <w:sz w:val="20"/>
          <w:szCs w:val="20"/>
          <w:color w:val="auto"/>
        </w:rPr>
      </w:pPr>
    </w:p>
    <w:p>
      <w:pPr>
        <w:jc w:val="both"/>
        <w:ind w:firstLine="1305"/>
        <w:spacing w:after="0" w:line="261" w:lineRule="auto"/>
        <w:tabs>
          <w:tab w:leader="none" w:pos="179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Company and Executive acknowledge and agree that the agreement to arbitrate contained in this Section 12 does not apply to the following: (i) claims under any state worker’s compensation law; (ii) claims under any state unemployment compensation law; (iii) claims for injunctive relief that may otherwise be available for the violation of any state trade secrets act or unfair competition law; (iv) any claim that by law cannot be required to be resolved by binding arbitration; or (v) any request to a court for a temporary restraining order or temporary or preliminary injunction to enforce this Agreement pending submission of the merits of the parties’ dispute to arbitration.</w:t>
      </w:r>
    </w:p>
    <w:p>
      <w:pPr>
        <w:spacing w:after="0" w:line="220" w:lineRule="exact"/>
        <w:rPr>
          <w:rFonts w:ascii="Arial" w:cs="Arial" w:eastAsia="Arial" w:hAnsi="Arial"/>
          <w:sz w:val="21"/>
          <w:szCs w:val="21"/>
          <w:color w:val="auto"/>
        </w:rPr>
      </w:pPr>
    </w:p>
    <w:p>
      <w:pPr>
        <w:ind w:right="20" w:firstLine="1305"/>
        <w:spacing w:after="0" w:line="263" w:lineRule="auto"/>
        <w:tabs>
          <w:tab w:leader="none" w:pos="1793"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Company and Executive acknowledge and agree that damages awarded, if any, in any arbitration shall be limited to those damages that are otherwise available at law.</w:t>
      </w:r>
    </w:p>
    <w:p>
      <w:pPr>
        <w:spacing w:after="0" w:line="215" w:lineRule="exact"/>
        <w:rPr>
          <w:rFonts w:ascii="Arial" w:cs="Arial" w:eastAsia="Arial" w:hAnsi="Arial"/>
          <w:sz w:val="22"/>
          <w:szCs w:val="22"/>
          <w:color w:val="auto"/>
        </w:rPr>
      </w:pPr>
    </w:p>
    <w:p>
      <w:pPr>
        <w:jc w:val="both"/>
        <w:ind w:firstLine="1305"/>
        <w:spacing w:after="0" w:line="290" w:lineRule="auto"/>
        <w:tabs>
          <w:tab w:leader="none" w:pos="1833" w:val="left"/>
        </w:tabs>
        <w:numPr>
          <w:ilvl w:val="0"/>
          <w:numId w:val="160"/>
        </w:numPr>
        <w:rPr>
          <w:rFonts w:ascii="Arial" w:cs="Arial" w:eastAsia="Arial" w:hAnsi="Arial"/>
          <w:sz w:val="19"/>
          <w:szCs w:val="19"/>
          <w:color w:val="auto"/>
        </w:rPr>
      </w:pPr>
      <w:r>
        <w:rPr>
          <w:rFonts w:ascii="Arial" w:cs="Arial" w:eastAsia="Arial" w:hAnsi="Arial"/>
          <w:sz w:val="19"/>
          <w:szCs w:val="19"/>
          <w:color w:val="212121"/>
        </w:rPr>
        <w:t xml:space="preserve">Except as otherwise required under applicable law,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expressly intend and agree that: (i) class action and representative action procedures shall not be asserted, nor will they apply, in any arbitration pursuant to this Agreement; (ii) each party will not assert class action or representative action claims against the other in arbitration or otherwise; and (iii)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shall only submit their own, individual claims in arbitration and will not seek to represent the interests of any other person. Further, </w:t>
      </w:r>
      <w:r>
        <w:rPr>
          <w:rFonts w:ascii="Arial" w:cs="Arial" w:eastAsia="Arial" w:hAnsi="Arial"/>
          <w:sz w:val="19"/>
          <w:szCs w:val="19"/>
          <w:color w:val="000000"/>
        </w:rPr>
        <w:t>the Company and Executive</w:t>
      </w:r>
      <w:r>
        <w:rPr>
          <w:rFonts w:ascii="Arial" w:cs="Arial" w:eastAsia="Arial" w:hAnsi="Arial"/>
          <w:sz w:val="19"/>
          <w:szCs w:val="19"/>
          <w:color w:val="212121"/>
        </w:rPr>
        <w:t xml:space="preserve"> expressly intend and agree that any claims by the Executive will not be joined, consolidated or heard together with claims of any other employee. Notwithstanding anything to the contrary in the Rules, the arbitrator shall have no jurisdiction or authority to compel any class or collective claim, to consolidate different arbitration proceedings or to join any other party to an arbitration between </w:t>
      </w:r>
      <w:r>
        <w:rPr>
          <w:rFonts w:ascii="Arial" w:cs="Arial" w:eastAsia="Arial" w:hAnsi="Arial"/>
          <w:sz w:val="19"/>
          <w:szCs w:val="19"/>
          <w:color w:val="000000"/>
        </w:rPr>
        <w:t>the Company and Executive</w:t>
      </w:r>
      <w:r>
        <w:rPr>
          <w:rFonts w:ascii="Arial" w:cs="Arial" w:eastAsia="Arial" w:hAnsi="Arial"/>
          <w:sz w:val="19"/>
          <w:szCs w:val="19"/>
          <w:color w:val="212121"/>
        </w:rPr>
        <w:t>.</w:t>
      </w:r>
    </w:p>
    <w:p>
      <w:pPr>
        <w:spacing w:after="0" w:line="197" w:lineRule="exact"/>
        <w:rPr>
          <w:rFonts w:ascii="Arial" w:cs="Arial" w:eastAsia="Arial" w:hAnsi="Arial"/>
          <w:sz w:val="19"/>
          <w:szCs w:val="19"/>
          <w:color w:val="auto"/>
        </w:rPr>
      </w:pPr>
    </w:p>
    <w:p>
      <w:pPr>
        <w:jc w:val="both"/>
        <w:ind w:firstLine="1305"/>
        <w:spacing w:after="0" w:line="259" w:lineRule="auto"/>
        <w:tabs>
          <w:tab w:leader="none" w:pos="178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Company and Executive acknowledge and agree that by signing this Agreement, they release and waive any right either may have to resolve their legal disputes (including employment disputes and claims of discrimination or unlawful discharge) by filing a lawsuit in court, and to have the potential opportunity of having their claim heard by a jury, and agree instead that the disputes will be resolved exclusively through binding arbitration, except as otherwise set forth in this Agreement. The Company and Executive acknowledge that although Executive agrees to resolve Executive’s legal dispute(s) exclusively through binding arbitration, nothing in this Agreement shall be interpreted as prohibiting Executive from filing a charge of discrimination with an appropriate administrative agency or participating in the investigation or prosecution of such a charge by an appropriate administrative agency; however, this Agreement does prohibit Executive from seeking and recovering an award on his or her own behalf through any administrative process.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- 21 -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6" w:name="page217"/>
    <w:bookmarkEnd w:id="216"/>
    <w:p>
      <w:pPr>
        <w:ind w:left="1140" w:hanging="484"/>
        <w:spacing w:after="0"/>
        <w:tabs>
          <w:tab w:leader="none" w:pos="114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1305"/>
        <w:spacing w:after="0" w:line="343" w:lineRule="auto"/>
        <w:tabs>
          <w:tab w:leader="none" w:pos="1823"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This Agreement is personal to Executive and without the prior written consent of the Company shall not be assignable by Executive. This Agreement shall inure to the benefit of and be enforceable by Executive’s legal representatives.</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This Agreement shall inure to the benefit of and be binding upon the Company and its successors and assigns.</w:t>
      </w:r>
    </w:p>
    <w:p>
      <w:pPr>
        <w:spacing w:after="0" w:line="294" w:lineRule="exact"/>
        <w:rPr>
          <w:rFonts w:ascii="Arial" w:cs="Arial" w:eastAsia="Arial" w:hAnsi="Arial"/>
          <w:sz w:val="19"/>
          <w:szCs w:val="19"/>
          <w:color w:val="auto"/>
        </w:rPr>
      </w:pPr>
    </w:p>
    <w:p>
      <w:pPr>
        <w:jc w:val="both"/>
        <w:ind w:firstLine="1305"/>
        <w:spacing w:after="0" w:line="263" w:lineRule="auto"/>
        <w:tabs>
          <w:tab w:leader="none" w:pos="1833" w:val="left"/>
        </w:tabs>
        <w:numPr>
          <w:ilvl w:val="1"/>
          <w:numId w:val="161"/>
        </w:numPr>
        <w:rPr>
          <w:rFonts w:ascii="Arial" w:cs="Arial" w:eastAsia="Arial" w:hAnsi="Arial"/>
          <w:sz w:val="21"/>
          <w:szCs w:val="21"/>
          <w:color w:val="auto"/>
        </w:rPr>
      </w:pPr>
      <w:r>
        <w:rPr>
          <w:rFonts w:ascii="Arial" w:cs="Arial" w:eastAsia="Arial" w:hAnsi="Arial"/>
          <w:sz w:val="21"/>
          <w:szCs w:val="21"/>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In the event of any such succession and assumption of this Agreement by the successor, the term “the Company” as used in this Agreement shall thereafter include such successor.</w:t>
      </w:r>
    </w:p>
    <w:p>
      <w:pPr>
        <w:spacing w:after="0" w:line="216" w:lineRule="exact"/>
        <w:rPr>
          <w:rFonts w:ascii="Arial" w:cs="Arial" w:eastAsia="Arial" w:hAnsi="Arial"/>
          <w:sz w:val="21"/>
          <w:szCs w:val="21"/>
          <w:color w:val="auto"/>
        </w:rPr>
      </w:pPr>
    </w:p>
    <w:p>
      <w:pPr>
        <w:ind w:left="1140" w:hanging="484"/>
        <w:spacing w:after="0"/>
        <w:tabs>
          <w:tab w:leader="none" w:pos="114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firstLine="1305"/>
        <w:spacing w:after="0" w:line="263" w:lineRule="auto"/>
        <w:tabs>
          <w:tab w:leader="none" w:pos="1779"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Oklahoma, without reference to principles of conflict of laws.</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Captions</w:t>
      </w:r>
      <w:r>
        <w:rPr>
          <w:rFonts w:ascii="Arial" w:cs="Arial" w:eastAsia="Arial" w:hAnsi="Arial"/>
          <w:sz w:val="19"/>
          <w:szCs w:val="19"/>
          <w:color w:val="auto"/>
        </w:rPr>
        <w:t>. The captions of this Agreement are not part of the provisions hereof and shall have no force or effect.</w:t>
      </w:r>
    </w:p>
    <w:p>
      <w:pPr>
        <w:spacing w:after="0" w:line="294" w:lineRule="exact"/>
        <w:rPr>
          <w:rFonts w:ascii="Arial" w:cs="Arial" w:eastAsia="Arial" w:hAnsi="Arial"/>
          <w:sz w:val="19"/>
          <w:szCs w:val="19"/>
          <w:color w:val="auto"/>
        </w:rPr>
      </w:pPr>
    </w:p>
    <w:p>
      <w:pPr>
        <w:ind w:firstLine="1305"/>
        <w:spacing w:after="0" w:line="263" w:lineRule="auto"/>
        <w:tabs>
          <w:tab w:leader="none" w:pos="1914"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or modified otherwise than-by a written agreement executed by the parties hereto or their respective successors and legal representatives.</w:t>
      </w:r>
    </w:p>
    <w:p>
      <w:pPr>
        <w:spacing w:after="0" w:line="215" w:lineRule="exact"/>
        <w:rPr>
          <w:rFonts w:ascii="Arial" w:cs="Arial" w:eastAsia="Arial" w:hAnsi="Arial"/>
          <w:sz w:val="22"/>
          <w:szCs w:val="22"/>
          <w:color w:val="auto"/>
        </w:rPr>
      </w:pPr>
    </w:p>
    <w:p>
      <w:pPr>
        <w:ind w:right="20" w:firstLine="1305"/>
        <w:spacing w:after="0" w:line="343" w:lineRule="auto"/>
        <w:tabs>
          <w:tab w:leader="none" w:pos="1900"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and shall be given by hand delivery to the other party or by registered or certified mail, return receipt requested, postage prepaid, addressed as follows: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If to Executive</w:t>
      </w:r>
      <w:r>
        <w:rPr>
          <w:rFonts w:ascii="Arial" w:cs="Arial" w:eastAsia="Arial" w:hAnsi="Arial"/>
          <w:sz w:val="22"/>
          <w:szCs w:val="22"/>
          <w:color w:val="auto"/>
        </w:rPr>
        <w:t>:To the last address on file with the records of the Company</w:t>
      </w:r>
    </w:p>
    <w:p>
      <w:pPr>
        <w:spacing w:after="0" w:line="200" w:lineRule="exact"/>
        <w:rPr>
          <w:sz w:val="20"/>
          <w:szCs w:val="20"/>
          <w:color w:val="auto"/>
        </w:rPr>
      </w:pPr>
    </w:p>
    <w:p>
      <w:pPr>
        <w:spacing w:after="0" w:line="317" w:lineRule="exact"/>
        <w:rPr>
          <w:sz w:val="20"/>
          <w:szCs w:val="20"/>
          <w:color w:val="auto"/>
        </w:rPr>
      </w:pPr>
    </w:p>
    <w:p>
      <w:pPr>
        <w:ind w:left="1300"/>
        <w:spacing w:after="0"/>
        <w:tabs>
          <w:tab w:leader="none" w:pos="3140" w:val="left"/>
        </w:tabs>
        <w:rPr>
          <w:sz w:val="20"/>
          <w:szCs w:val="20"/>
          <w:color w:val="auto"/>
        </w:rPr>
      </w:pPr>
      <w:r>
        <w:rPr>
          <w:rFonts w:ascii="Arial" w:cs="Arial" w:eastAsia="Arial" w:hAnsi="Arial"/>
          <w:sz w:val="22"/>
          <w:szCs w:val="22"/>
          <w:u w:val="single" w:color="auto"/>
          <w:color w:val="auto"/>
        </w:rPr>
        <w:t>If to the Company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Williams Companies,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One Williams Center</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Tulsa, Oklahoma 74172</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General Counsel</w:t>
      </w:r>
    </w:p>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or to such other address as either party shall have furnished to the other in writing in accordance herewith. Notice and communications shall be effective when actually received by the addressee.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- 22 -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7" w:name="page218"/>
    <w:bookmarkEnd w:id="217"/>
    <w:p>
      <w:pPr>
        <w:ind w:right="20" w:firstLine="1305"/>
        <w:spacing w:after="0" w:line="263" w:lineRule="auto"/>
        <w:tabs>
          <w:tab w:leader="none" w:pos="1779"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w:t>
      </w:r>
    </w:p>
    <w:p>
      <w:pPr>
        <w:spacing w:after="0" w:line="215" w:lineRule="exact"/>
        <w:rPr>
          <w:rFonts w:ascii="Arial" w:cs="Arial" w:eastAsia="Arial" w:hAnsi="Arial"/>
          <w:sz w:val="22"/>
          <w:szCs w:val="22"/>
          <w:color w:val="auto"/>
        </w:rPr>
      </w:pPr>
    </w:p>
    <w:p>
      <w:pPr>
        <w:ind w:right="20" w:firstLine="1305"/>
        <w:spacing w:after="0" w:line="263" w:lineRule="auto"/>
        <w:tabs>
          <w:tab w:leader="none" w:pos="1728"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withhold from any amounts payable under this Agreement such Federal, state, local or foreign taxes as shall be required to be withheld pursuant to any applicable law or regulation.</w:t>
      </w:r>
    </w:p>
    <w:p>
      <w:pPr>
        <w:spacing w:after="0" w:line="215" w:lineRule="exact"/>
        <w:rPr>
          <w:rFonts w:ascii="Arial" w:cs="Arial" w:eastAsia="Arial" w:hAnsi="Arial"/>
          <w:sz w:val="22"/>
          <w:szCs w:val="22"/>
          <w:color w:val="auto"/>
        </w:rPr>
      </w:pPr>
    </w:p>
    <w:p>
      <w:pPr>
        <w:jc w:val="both"/>
        <w:ind w:right="20" w:firstLine="1305"/>
        <w:spacing w:after="0" w:line="253" w:lineRule="auto"/>
        <w:tabs>
          <w:tab w:leader="none" w:pos="1886"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Executive’s or the Company’s failure to insist upon strict compliance with any provision of this Agreement or the failure to assert any right Executive or the Company may have hereunder, shall not be deemed to be a waiver of such provision or right or any other provision or right of this Agreement.</w:t>
      </w:r>
    </w:p>
    <w:p>
      <w:pPr>
        <w:spacing w:after="0" w:line="226" w:lineRule="exact"/>
        <w:rPr>
          <w:rFonts w:ascii="Arial" w:cs="Arial" w:eastAsia="Arial" w:hAnsi="Arial"/>
          <w:sz w:val="22"/>
          <w:szCs w:val="22"/>
          <w:color w:val="auto"/>
        </w:rPr>
      </w:pPr>
    </w:p>
    <w:p>
      <w:pPr>
        <w:jc w:val="both"/>
        <w:ind w:firstLine="1305"/>
        <w:spacing w:after="0" w:line="259" w:lineRule="auto"/>
        <w:tabs>
          <w:tab w:leader="none" w:pos="1940" w:val="left"/>
        </w:tabs>
        <w:numPr>
          <w:ilvl w:val="1"/>
          <w:numId w:val="162"/>
        </w:numPr>
        <w:rPr>
          <w:rFonts w:ascii="Arial" w:cs="Arial" w:eastAsia="Arial" w:hAnsi="Arial"/>
          <w:sz w:val="21"/>
          <w:szCs w:val="21"/>
          <w:color w:val="auto"/>
        </w:rPr>
      </w:pPr>
      <w:r>
        <w:rPr>
          <w:rFonts w:ascii="Arial" w:cs="Arial" w:eastAsia="Arial" w:hAnsi="Arial"/>
          <w:sz w:val="21"/>
          <w:szCs w:val="21"/>
          <w:u w:val="single" w:color="auto"/>
          <w:color w:val="auto"/>
        </w:rPr>
        <w:t>Status Before and After Effective Date</w:t>
      </w:r>
      <w:r>
        <w:rPr>
          <w:rFonts w:ascii="Arial" w:cs="Arial" w:eastAsia="Arial" w:hAnsi="Arial"/>
          <w:sz w:val="21"/>
          <w:szCs w:val="21"/>
          <w:color w:val="auto"/>
        </w:rPr>
        <w:t>. Executive and the Company acknowledge that, except as may otherwise be provided under any other written agreement between Executive and the Company or an affiliate, the employment of Executive by the Company or an of its affiliates is “at will” and, subject to Section 1 hereof, Executive’s employment and/or this Agreement may be terminated by either Executive or the Company or an affiliate at any time prior to the Effective Date, in which case Executive shall have no further rights under this Agreement and no further obligations other than the applicable covenants in Section 11. From and after February 1, 2019, this Agreement shall supersede any other agreement between the parties with respect to the subject matter hereof, including, but not limited, any change in control agreements between Executive and the Company executed prior to the date of this Agreement.</w:t>
      </w:r>
    </w:p>
    <w:p>
      <w:pPr>
        <w:spacing w:after="0" w:line="224" w:lineRule="exact"/>
        <w:rPr>
          <w:rFonts w:ascii="Arial" w:cs="Arial" w:eastAsia="Arial" w:hAnsi="Arial"/>
          <w:sz w:val="21"/>
          <w:szCs w:val="21"/>
          <w:color w:val="auto"/>
        </w:rPr>
      </w:pPr>
    </w:p>
    <w:p>
      <w:pPr>
        <w:ind w:left="1140" w:hanging="484"/>
        <w:spacing w:after="0"/>
        <w:tabs>
          <w:tab w:leader="none" w:pos="114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97" w:lineRule="auto"/>
        <w:tabs>
          <w:tab w:leader="none" w:pos="1860"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This Agreement shall be interpreted and administered in a manner so that any amount or benefit payable hereunder shall be either exempt from or compliant with the requirements of Code Section 409A and applicable guidance and regulations issued thereunder. Nevertheless, the tax treatment of the benefits provided under the Agreement is not warranted or guaranteed. Neither the Company nor its directors, officers, employees or advisers shall be held liable for any taxes, interest, penalties or other monetary amounts owed by Executive as a result of the application of Code Section 409A.</w:t>
      </w:r>
    </w:p>
    <w:p>
      <w:pPr>
        <w:spacing w:after="0" w:line="187" w:lineRule="exact"/>
        <w:rPr>
          <w:rFonts w:ascii="Arial" w:cs="Arial" w:eastAsia="Arial" w:hAnsi="Arial"/>
          <w:sz w:val="19"/>
          <w:szCs w:val="19"/>
          <w:color w:val="auto"/>
        </w:rPr>
      </w:pPr>
    </w:p>
    <w:p>
      <w:pPr>
        <w:jc w:val="both"/>
        <w:ind w:firstLine="1305"/>
        <w:spacing w:after="0" w:line="237" w:lineRule="auto"/>
        <w:tabs>
          <w:tab w:leader="none" w:pos="1832" w:val="left"/>
        </w:tabs>
        <w:numPr>
          <w:ilvl w:val="1"/>
          <w:numId w:val="163"/>
        </w:numPr>
        <w:rPr>
          <w:rFonts w:ascii="Arial" w:cs="Arial" w:eastAsia="Arial" w:hAnsi="Arial"/>
          <w:sz w:val="22"/>
          <w:szCs w:val="22"/>
          <w:color w:val="auto"/>
        </w:rPr>
      </w:pPr>
      <w:r>
        <w:rPr>
          <w:rFonts w:ascii="Arial" w:cs="Arial" w:eastAsia="Arial" w:hAnsi="Arial"/>
          <w:sz w:val="22"/>
          <w:szCs w:val="22"/>
          <w:u w:val="single" w:color="auto"/>
          <w:color w:val="auto"/>
        </w:rPr>
        <w:t>Definitional Restrictions</w:t>
      </w:r>
      <w:r>
        <w:rPr>
          <w:rFonts w:ascii="Arial" w:cs="Arial" w:eastAsia="Arial" w:hAnsi="Arial"/>
          <w:sz w:val="22"/>
          <w:szCs w:val="22"/>
          <w:color w:val="auto"/>
        </w:rPr>
        <w:t>. Notwithstanding anything in this Agreement to the contrary, to the extent that any amount or benefit that is non-exempt “deferred compensation” subject to Code Section 409A would otherwise be payable or distributable hereunder by reason of Executive’s termination of employment, such amount or benefit will not be payable or distributable to Executive by reason of such circumstance unless the termination of employment satisfies the definition of “separation from service” in Code Section 409A and applicable regulations (without giving effect to any elective provisions that may be available under such definition) (a “Separation from Service”). If this provision prevents a payment or distribution, such payment or distribution shall be made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a Separation from Service,” if any, or such later date as may be required by Subsection 15(c) below.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- 23 -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8" w:name="page219"/>
    <w:bookmarkEnd w:id="218"/>
    <w:p>
      <w:pPr>
        <w:jc w:val="both"/>
        <w:ind w:firstLine="1305"/>
        <w:spacing w:after="0" w:line="260" w:lineRule="auto"/>
        <w:tabs>
          <w:tab w:leader="none" w:pos="1752"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Six-Month Delay in Certain Circumstances</w:t>
      </w:r>
      <w:r>
        <w:rPr>
          <w:rFonts w:ascii="Arial" w:cs="Arial" w:eastAsia="Arial" w:hAnsi="Arial"/>
          <w:sz w:val="21"/>
          <w:szCs w:val="21"/>
          <w:color w:val="auto"/>
        </w:rPr>
        <w:t>. Notwithstanding anything in this Agreement to the contrary, if any amount or benefit that would constitute non-exempt “deferred compensation” subject to Code Section 409A would otherwise be payable or distributable under this Agreement by reason of Executive’s Separation from Service during a period in which he or she is a Specified Employee (as defined below), then, subject to any permissible acceleration of payment by the Company under Treas. Reg. Section 1.409A-3(j)(4)(ii), (j)(4)(iii), or (j)(4)(vi), Executive’s right to receive payment or distribution of such non-exempt deferred compensation will be delayed until the earlier of Executive’s death or the first day of the seventh month following Executive’s Separation from Service.</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For purposes of this Agreement, the term “Specified Employee” has the meaning given such term in Code Section 409A and the final regulations thereunder (“409A Regulations”), </w:t>
      </w:r>
      <w:r>
        <w:rPr>
          <w:rFonts w:ascii="Arial" w:cs="Arial" w:eastAsia="Arial" w:hAnsi="Arial"/>
          <w:sz w:val="22"/>
          <w:szCs w:val="22"/>
          <w:i w:val="1"/>
          <w:iCs w:val="1"/>
          <w:color w:val="auto"/>
        </w:rPr>
        <w:t>provided, however</w:t>
      </w:r>
      <w:r>
        <w:rPr>
          <w:rFonts w:ascii="Arial" w:cs="Arial" w:eastAsia="Arial" w:hAnsi="Arial"/>
          <w:sz w:val="22"/>
          <w:szCs w:val="22"/>
          <w:color w:val="auto"/>
        </w:rPr>
        <w:t>, that, as permitted in the 409A Regulations, the Company’s Specified Employees shall be determined in accordance with rules adopted by the Board of Directors or a committee thereof, and applied consistently with respect to all nonqualified deferred compensation arrangements of the Company, including this Agreement.</w:t>
      </w:r>
    </w:p>
    <w:p>
      <w:pPr>
        <w:spacing w:after="0" w:line="23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Additionally to the extent that any payment or distribution can be made during a period that spans two calendar years, the payment or distribution will be made in the later calendar year.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- 24 -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348" w:right="239" w:bottom="1440" w:gutter="0" w:footer="0" w:header="0"/>
        </w:sectPr>
      </w:pPr>
    </w:p>
    <w:bookmarkStart w:id="219" w:name="page220"/>
    <w:bookmarkEnd w:id="219"/>
    <w:p>
      <w:pPr>
        <w:ind w:firstLine="648"/>
        <w:spacing w:after="0" w:line="263" w:lineRule="auto"/>
        <w:rPr>
          <w:sz w:val="20"/>
          <w:szCs w:val="20"/>
          <w:color w:val="auto"/>
        </w:rPr>
      </w:pPr>
      <w:r>
        <w:rPr>
          <w:rFonts w:ascii="Arial" w:cs="Arial" w:eastAsia="Arial" w:hAnsi="Arial"/>
          <w:sz w:val="22"/>
          <w:szCs w:val="22"/>
          <w:color w:val="auto"/>
        </w:rPr>
        <w:t>IN WITNESS WHEREOF, Executive has hereunto set Executive’s hand and, pursuant to the authorization from its Board of Directors, the Company has caused these presents to be executed in its name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441960</wp:posOffset>
            </wp:positionV>
            <wp:extent cx="8235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317"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THE WILLIAMS COMPANIES, INC.</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-17780</wp:posOffset>
            </wp:positionV>
            <wp:extent cx="8235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- 25 -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420"/>
          </w:cols>
          <w:pgMar w:left="240" w:top="604" w:right="239" w:bottom="1440" w:gutter="0" w:footer="0" w:header="0"/>
        </w:sectPr>
      </w:pPr>
    </w:p>
    <w:bookmarkStart w:id="220" w:name="page221"/>
    <w:bookmarkEnd w:id="220"/>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Termination for Cause</w:t>
      </w:r>
    </w:p>
    <w:p>
      <w:pPr>
        <w:spacing w:after="0" w:line="274" w:lineRule="exact"/>
        <w:rPr>
          <w:sz w:val="20"/>
          <w:szCs w:val="20"/>
          <w:color w:val="auto"/>
        </w:rPr>
      </w:pPr>
    </w:p>
    <w:p>
      <w:pPr>
        <w:ind w:right="280" w:firstLine="656"/>
        <w:spacing w:after="0" w:line="263" w:lineRule="auto"/>
        <w:tabs>
          <w:tab w:leader="none" w:pos="102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Substantive and Procedural Requirements</w:t>
      </w:r>
      <w:r>
        <w:rPr>
          <w:rFonts w:ascii="Arial" w:cs="Arial" w:eastAsia="Arial" w:hAnsi="Arial"/>
          <w:sz w:val="22"/>
          <w:szCs w:val="22"/>
          <w:color w:val="auto"/>
        </w:rPr>
        <w:t>. To determine that a termination of employment was for Cause, the Board shall strictly observe each of the following substantive and procedural provisions:</w:t>
      </w:r>
    </w:p>
    <w:p>
      <w:pPr>
        <w:spacing w:after="0" w:line="147" w:lineRule="exact"/>
        <w:rPr>
          <w:rFonts w:ascii="Arial" w:cs="Arial" w:eastAsia="Arial" w:hAnsi="Arial"/>
          <w:sz w:val="22"/>
          <w:szCs w:val="22"/>
          <w:color w:val="auto"/>
        </w:rPr>
      </w:pPr>
    </w:p>
    <w:p>
      <w:pPr>
        <w:ind w:left="2040" w:right="80" w:hanging="735"/>
        <w:spacing w:after="0" w:line="253" w:lineRule="auto"/>
        <w:tabs>
          <w:tab w:leader="none" w:pos="204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Board shall call a meeting for the stated purpose of determining whether Executive’s acts or omissions satisfy the requirements of the definition of “Cause” and, if so, whether to terminate Executive’s employment for Cause.</w:t>
      </w:r>
    </w:p>
    <w:p>
      <w:pPr>
        <w:spacing w:after="0" w:line="50" w:lineRule="exact"/>
        <w:rPr>
          <w:rFonts w:ascii="Arial" w:cs="Arial" w:eastAsia="Arial" w:hAnsi="Arial"/>
          <w:sz w:val="22"/>
          <w:szCs w:val="22"/>
          <w:color w:val="auto"/>
        </w:rPr>
      </w:pPr>
    </w:p>
    <w:p>
      <w:pPr>
        <w:ind w:left="2040" w:right="160" w:hanging="735"/>
        <w:spacing w:after="0" w:line="250" w:lineRule="auto"/>
        <w:tabs>
          <w:tab w:leader="none" w:pos="204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Not less than 15 days prior to the date of such meeting, the Board shall provide or cause to be provided Executive and each member of the Board written notice (a “</w:t>
      </w:r>
      <w:r>
        <w:rPr>
          <w:rFonts w:ascii="Arial" w:cs="Arial" w:eastAsia="Arial" w:hAnsi="Arial"/>
          <w:sz w:val="22"/>
          <w:szCs w:val="22"/>
          <w:u w:val="single" w:color="auto"/>
          <w:color w:val="auto"/>
        </w:rPr>
        <w:t>Notice of Consideration</w:t>
      </w:r>
      <w:r>
        <w:rPr>
          <w:rFonts w:ascii="Arial" w:cs="Arial" w:eastAsia="Arial" w:hAnsi="Arial"/>
          <w:sz w:val="22"/>
          <w:szCs w:val="22"/>
          <w:color w:val="auto"/>
          <w:highlight w:val="white"/>
        </w:rPr>
        <w:t>”) of (i) a detailed</w:t>
      </w:r>
      <w:r>
        <w:rPr>
          <w:rFonts w:ascii="Arial" w:cs="Arial" w:eastAsia="Arial" w:hAnsi="Arial"/>
          <w:sz w:val="22"/>
          <w:szCs w:val="22"/>
          <w:color w:val="auto"/>
        </w:rPr>
        <w:t xml:space="preserve"> description of the acts or omissions alleged to constitute Cause, (ii) the date of such meeting of the Board, and (iii) Executive’s rights under clauses (c) and (d) below.</w:t>
      </w:r>
    </w:p>
    <w:p>
      <w:pPr>
        <w:spacing w:after="0" w:line="53" w:lineRule="exact"/>
        <w:rPr>
          <w:rFonts w:ascii="Arial" w:cs="Arial" w:eastAsia="Arial" w:hAnsi="Arial"/>
          <w:sz w:val="22"/>
          <w:szCs w:val="22"/>
          <w:color w:val="auto"/>
        </w:rPr>
      </w:pPr>
    </w:p>
    <w:p>
      <w:pPr>
        <w:ind w:left="2040" w:right="1100" w:hanging="735"/>
        <w:spacing w:after="0" w:line="326" w:lineRule="auto"/>
        <w:tabs>
          <w:tab w:leader="none" w:pos="20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Executive shall have the opportunity to present to the Board a written response to the Notice of Consideration, but shall not have the right to appear in person or by counsel before the board.</w:t>
      </w:r>
    </w:p>
    <w:p>
      <w:pPr>
        <w:ind w:left="2040" w:hanging="735"/>
        <w:spacing w:after="0" w:line="292" w:lineRule="auto"/>
        <w:tabs>
          <w:tab w:leader="none" w:pos="20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Executive’s employment may be terminated for Cause only if (i) the acts or omissions specified in the Notice of Consideration did in fact occur and such actions or omissions do constitute Cause as defined in this Agreement, (ii) the Board, by affirmative vote of a simple majority of its members, makes a specific determination to such effect and to the effect that Executive’s employment should be terminated for Cause (“</w:t>
      </w:r>
      <w:r>
        <w:rPr>
          <w:rFonts w:ascii="Arial" w:cs="Arial" w:eastAsia="Arial" w:hAnsi="Arial"/>
          <w:sz w:val="19"/>
          <w:szCs w:val="19"/>
          <w:u w:val="single" w:color="auto"/>
          <w:color w:val="auto"/>
        </w:rPr>
        <w:t>Cause Determination</w:t>
      </w:r>
      <w:r>
        <w:rPr>
          <w:rFonts w:ascii="Arial" w:cs="Arial" w:eastAsia="Arial" w:hAnsi="Arial"/>
          <w:sz w:val="19"/>
          <w:szCs w:val="19"/>
          <w:color w:val="auto"/>
        </w:rPr>
        <w:t>”), and (iii) the Company thereafter provides Executive with a Notice of Termination that specifies in specific detail the basis of such termination of employment for Cause and which Notice shall be consistent with the reasons set forth in the Notice of Consideration.</w:t>
      </w:r>
    </w:p>
    <w:p>
      <w:pPr>
        <w:spacing w:after="0" w:line="16" w:lineRule="exact"/>
        <w:rPr>
          <w:rFonts w:ascii="Arial" w:cs="Arial" w:eastAsia="Arial" w:hAnsi="Arial"/>
          <w:sz w:val="19"/>
          <w:szCs w:val="19"/>
          <w:color w:val="auto"/>
        </w:rPr>
      </w:pPr>
    </w:p>
    <w:p>
      <w:pPr>
        <w:ind w:left="2040" w:right="820" w:hanging="735"/>
        <w:spacing w:after="0" w:line="311" w:lineRule="auto"/>
        <w:tabs>
          <w:tab w:leader="none" w:pos="20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In the event that the existence of Cause shall become an issue in any action or proceeding between Executive, on the on hand, and the Company or any of its affiliates, on the other hand, the Cause Determination shall be final and binding on all parties, except as provided in paragraph 2 below.</w:t>
      </w:r>
    </w:p>
    <w:p>
      <w:pPr>
        <w:spacing w:after="0" w:line="1" w:lineRule="exact"/>
        <w:rPr>
          <w:rFonts w:ascii="Arial" w:cs="Arial" w:eastAsia="Arial" w:hAnsi="Arial"/>
          <w:sz w:val="19"/>
          <w:szCs w:val="19"/>
          <w:color w:val="auto"/>
        </w:rPr>
      </w:pPr>
    </w:p>
    <w:p>
      <w:pPr>
        <w:ind w:left="2040" w:right="40"/>
        <w:spacing w:after="0" w:line="263" w:lineRule="auto"/>
        <w:rPr>
          <w:rFonts w:ascii="Arial" w:cs="Arial" w:eastAsia="Arial" w:hAnsi="Arial"/>
          <w:sz w:val="19"/>
          <w:szCs w:val="19"/>
          <w:color w:val="auto"/>
        </w:rPr>
      </w:pPr>
      <w:r>
        <w:rPr>
          <w:rFonts w:ascii="Arial" w:cs="Arial" w:eastAsia="Arial" w:hAnsi="Arial"/>
          <w:sz w:val="22"/>
          <w:szCs w:val="22"/>
          <w:color w:val="auto"/>
        </w:rPr>
        <w:t>Nothing shall preclude the Board, by majority vote, from suspending Executive from his or her duties, with pay, at any time.</w:t>
      </w:r>
    </w:p>
    <w:p>
      <w:pPr>
        <w:spacing w:after="0" w:line="39" w:lineRule="exact"/>
        <w:rPr>
          <w:rFonts w:ascii="Arial" w:cs="Arial" w:eastAsia="Arial" w:hAnsi="Arial"/>
          <w:sz w:val="19"/>
          <w:szCs w:val="19"/>
          <w:color w:val="auto"/>
        </w:rPr>
      </w:pPr>
    </w:p>
    <w:p>
      <w:pPr>
        <w:ind w:right="140" w:firstLine="656"/>
        <w:spacing w:after="0" w:line="248" w:lineRule="auto"/>
        <w:tabs>
          <w:tab w:leader="none" w:pos="1026"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Change in Control: Standard of Review</w:t>
      </w:r>
      <w:r>
        <w:rPr>
          <w:rFonts w:ascii="Arial" w:cs="Arial" w:eastAsia="Arial" w:hAnsi="Arial"/>
          <w:sz w:val="22"/>
          <w:szCs w:val="22"/>
          <w:color w:val="auto"/>
        </w:rPr>
        <w:t>. In the event that the existence of Cause during the Employment Period shall become an issue in any action or proceeding between the Executive and the Company, the Company shall, notwithstanding the Cause Determination, have the burden of establishing that the actions or omissions specified in the Notice of Consideration did in fact occur and do constitute Cause and that the Company has satisfied all applicable substantive and procedural requirements set forth herein.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- 26 -</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ADMIN/21794887v3</w:t>
      </w:r>
    </w:p>
    <w:p>
      <w:pPr>
        <w:sectPr>
          <w:pgSz w:w="11900" w:h="16838" w:orient="portrait"/>
          <w:cols w:equalWidth="0" w:num="1">
            <w:col w:w="11360"/>
          </w:cols>
          <w:pgMar w:left="240" w:top="342" w:right="29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Exhibit 21</w:t>
            </w:r>
          </w:p>
        </w:tc>
      </w:tr>
      <w:tr>
        <w:trPr>
          <w:trHeight w:val="567"/>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1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534"/>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Alliance Canada Marketing L.P.</w:t>
            </w:r>
          </w:p>
        </w:tc>
        <w:tc>
          <w:tcPr>
            <w:tcW w:w="2480" w:type="dxa"/>
            <w:vAlign w:val="bottom"/>
          </w:tcPr>
          <w:p>
            <w:pPr>
              <w:ind w:left="20"/>
              <w:spacing w:after="0"/>
              <w:rPr>
                <w:sz w:val="20"/>
                <w:szCs w:val="20"/>
                <w:color w:val="auto"/>
              </w:rPr>
            </w:pPr>
            <w:r>
              <w:rPr>
                <w:rFonts w:ascii="Arial" w:cs="Arial" w:eastAsia="Arial" w:hAnsi="Arial"/>
                <w:sz w:val="18"/>
                <w:szCs w:val="18"/>
                <w:color w:val="auto"/>
              </w:rPr>
              <w:t>Alberta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Alliance Canada Marketing LTD</w:t>
            </w:r>
          </w:p>
        </w:tc>
        <w:tc>
          <w:tcPr>
            <w:tcW w:w="2480" w:type="dxa"/>
            <w:vAlign w:val="bottom"/>
          </w:tcPr>
          <w:p>
            <w:pPr>
              <w:ind w:left="20"/>
              <w:spacing w:after="0"/>
              <w:rPr>
                <w:sz w:val="20"/>
                <w:szCs w:val="20"/>
                <w:color w:val="auto"/>
              </w:rPr>
            </w:pPr>
            <w:r>
              <w:rPr>
                <w:rFonts w:ascii="Arial" w:cs="Arial" w:eastAsia="Arial" w:hAnsi="Arial"/>
                <w:sz w:val="18"/>
                <w:szCs w:val="18"/>
                <w:color w:val="auto"/>
              </w:rPr>
              <w:t>Alberta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Appalachia Midstream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Aux Sable Liquid Products Inc.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Aux Sable Liquid Products LP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Aux Sable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Bargath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Baton Rouge Fractionators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Baton Rouge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Black Marlin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Bluebonnet Market Express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Blue Racer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Bluestem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Bluestem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Brazos Permian 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Caiman Energy II,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Caiman Ohio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Carbon County UCG, Inc.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Carbonate Trend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Cardinal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Cardinal Operating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Cardinal Pipeline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Constitution Pipeline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Discovery Gas Transmission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Discovery Producer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DMP New York, Inc.</w:t>
            </w:r>
          </w:p>
        </w:tc>
        <w:tc>
          <w:tcPr>
            <w:tcW w:w="248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Gulfstar One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Gulfstream Management &amp; Operating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Gulfstream Natural Gas System,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HB Construction Company Ltd.</w:t>
            </w:r>
          </w:p>
        </w:tc>
        <w:tc>
          <w:tcPr>
            <w:tcW w:w="2480" w:type="dxa"/>
            <w:vAlign w:val="bottom"/>
          </w:tcPr>
          <w:p>
            <w:pPr>
              <w:ind w:left="20"/>
              <w:spacing w:after="0"/>
              <w:rPr>
                <w:sz w:val="20"/>
                <w:szCs w:val="20"/>
                <w:color w:val="auto"/>
              </w:rPr>
            </w:pPr>
            <w:r>
              <w:rPr>
                <w:rFonts w:ascii="Arial" w:cs="Arial" w:eastAsia="Arial" w:hAnsi="Arial"/>
                <w:sz w:val="18"/>
                <w:szCs w:val="18"/>
                <w:color w:val="auto"/>
              </w:rPr>
              <w:t>Alberta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Inland Ports, Inc.</w:t>
            </w:r>
          </w:p>
        </w:tc>
        <w:tc>
          <w:tcPr>
            <w:tcW w:w="2480" w:type="dxa"/>
            <w:vAlign w:val="bottom"/>
          </w:tcPr>
          <w:p>
            <w:pPr>
              <w:ind w:left="20"/>
              <w:spacing w:after="0"/>
              <w:rPr>
                <w:sz w:val="20"/>
                <w:szCs w:val="20"/>
                <w:color w:val="auto"/>
              </w:rPr>
            </w:pPr>
            <w:r>
              <w:rPr>
                <w:rFonts w:ascii="Arial" w:cs="Arial" w:eastAsia="Arial" w:hAnsi="Arial"/>
                <w:sz w:val="18"/>
                <w:szCs w:val="18"/>
                <w:color w:val="auto"/>
              </w:rPr>
              <w:t>Tennessee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Kiowa Lateral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Laurel Mountain Midstream Operating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Laurel Mountain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Louisiana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Magnolia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Marsh Resources,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Mid-Continent Fractionation and Storage,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Mockingbird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Monarch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Nopal Gathering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Northwest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80"/>
          </w:cols>
          <w:pgMar w:left="320" w:top="499" w:right="299" w:bottom="1440" w:gutter="0" w:footer="0" w:header="0"/>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Exhibit 21</w:t>
            </w:r>
          </w:p>
        </w:tc>
      </w:tr>
      <w:tr>
        <w:trPr>
          <w:trHeight w:val="567"/>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1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Ohio Valley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Oklahoma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Overland Pass Pipeline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Pacific Connector Gas Pipeline, LP</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Parachute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Pecan Hill Water Solutions</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Pennant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Permian Connector,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Pine Needle LNG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North Carolina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Pine Needle Operating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Ponder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Reserveco Inc.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JV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Marketing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Rocky Mountain Midstream Water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Targa Train 7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Texas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The Williams Companies Foundation, Inc.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The Williams Companies, International Holdings B.V.</w:t>
            </w:r>
          </w:p>
        </w:tc>
        <w:tc>
          <w:tcPr>
            <w:tcW w:w="2480" w:type="dxa"/>
            <w:vAlign w:val="bottom"/>
          </w:tcPr>
          <w:p>
            <w:pPr>
              <w:ind w:left="20"/>
              <w:spacing w:after="0"/>
              <w:rPr>
                <w:sz w:val="20"/>
                <w:szCs w:val="20"/>
                <w:color w:val="auto"/>
              </w:rPr>
            </w:pPr>
            <w:r>
              <w:rPr>
                <w:rFonts w:ascii="Arial" w:cs="Arial" w:eastAsia="Arial" w:hAnsi="Arial"/>
                <w:sz w:val="18"/>
                <w:szCs w:val="18"/>
                <w:color w:val="auto"/>
              </w:rPr>
              <w:t>Dutch BV</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Three Rivers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TransCardinal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TransCarolina LNG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Transco Exploration Company</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Transcontinental Gas Pipe Line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TWC Holdings C.V.</w:t>
            </w:r>
          </w:p>
        </w:tc>
        <w:tc>
          <w:tcPr>
            <w:tcW w:w="248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UEOM NGL Pipelines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Utica East Ohio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Utica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Wamsutter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WFS - Liquids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WFS Gathering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ACM Holdings ULC</w:t>
            </w:r>
          </w:p>
        </w:tc>
        <w:tc>
          <w:tcPr>
            <w:tcW w:w="2480" w:type="dxa"/>
            <w:vAlign w:val="bottom"/>
          </w:tcPr>
          <w:p>
            <w:pPr>
              <w:ind w:left="20"/>
              <w:spacing w:after="0"/>
              <w:rPr>
                <w:sz w:val="20"/>
                <w:szCs w:val="20"/>
                <w:color w:val="auto"/>
              </w:rPr>
            </w:pPr>
            <w:r>
              <w:rPr>
                <w:rFonts w:ascii="Arial" w:cs="Arial" w:eastAsia="Arial" w:hAnsi="Arial"/>
                <w:sz w:val="18"/>
                <w:szCs w:val="18"/>
                <w:color w:val="auto"/>
              </w:rPr>
              <w:t>British Columbia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Acquisition Holding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Alaska Petroleum, Inc.</w:t>
            </w:r>
          </w:p>
        </w:tc>
        <w:tc>
          <w:tcPr>
            <w:tcW w:w="2480" w:type="dxa"/>
            <w:vAlign w:val="bottom"/>
          </w:tcPr>
          <w:p>
            <w:pPr>
              <w:ind w:left="20"/>
              <w:spacing w:after="0"/>
              <w:rPr>
                <w:sz w:val="20"/>
                <w:szCs w:val="20"/>
                <w:color w:val="auto"/>
              </w:rPr>
            </w:pPr>
            <w:r>
              <w:rPr>
                <w:rFonts w:ascii="Arial" w:cs="Arial" w:eastAsia="Arial" w:hAnsi="Arial"/>
                <w:sz w:val="18"/>
                <w:szCs w:val="18"/>
                <w:color w:val="auto"/>
              </w:rPr>
              <w:t>Alaska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Bayou Ethane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Blu Operating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Compression,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CV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Energy Resources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Energy Solutions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80"/>
          </w:cols>
          <w:pgMar w:left="320" w:top="500" w:right="29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Exhibit 21</w:t>
            </w:r>
          </w:p>
        </w:tc>
      </w:tr>
      <w:tr>
        <w:trPr>
          <w:trHeight w:val="567"/>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81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Express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Express, Inc.</w:t>
            </w:r>
          </w:p>
        </w:tc>
        <w:tc>
          <w:tcPr>
            <w:tcW w:w="2480" w:type="dxa"/>
            <w:vAlign w:val="bottom"/>
          </w:tcPr>
          <w:p>
            <w:pPr>
              <w:ind w:left="20"/>
              <w:spacing w:after="0"/>
              <w:rPr>
                <w:sz w:val="20"/>
                <w:szCs w:val="20"/>
                <w:color w:val="auto"/>
              </w:rPr>
            </w:pPr>
            <w:r>
              <w:rPr>
                <w:rFonts w:ascii="Arial" w:cs="Arial" w:eastAsia="Arial" w:hAnsi="Arial"/>
                <w:sz w:val="18"/>
                <w:szCs w:val="18"/>
                <w:color w:val="auto"/>
              </w:rPr>
              <w:t>Alaska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Field Services - Gulf Coast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Field Services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Field Services Group,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Flexible Generation,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Gas Processing - Gulf Coast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Global Energy (Cayman)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Global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Gulf Coast Transportation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Headquarters Building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Holdings and Manufacturing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Hutch Rail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Information Technology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International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International El Furrial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International Pigap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International Venezuela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Laurel Mountain,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Midstream Gas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Oklahoma</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MLP Operating,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Mobile Bay Producer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Ohio River Valley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Ohio River Valley Corporation</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Ohio Valley Midstream LLC</w:t>
            </w:r>
          </w:p>
        </w:tc>
        <w:tc>
          <w:tcPr>
            <w:tcW w:w="248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Ohio Valley Pipeline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Oil Gathering,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Olefins Feedstock Pipelines,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Olefins Pipeline Holdco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Pacific Connector Gas Operator,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Partners Operating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PERK,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Petroleum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Pipeline Services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Propylene Company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Resource Center,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Rocky Mountain Midstream Holdings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Rocky Mountain Midstream Operating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Strategic Sourcing Company</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Williams WPC - I, LLC</w:t>
            </w:r>
          </w:p>
        </w:tc>
        <w:tc>
          <w:tcPr>
            <w:tcW w:w="24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WilPro Energy Services (El Furrial)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WilPro Energy Services (Pigap II) Limited</w:t>
            </w:r>
          </w:p>
        </w:tc>
        <w:tc>
          <w:tcPr>
            <w:tcW w:w="2480" w:type="dxa"/>
            <w:vAlign w:val="bottom"/>
          </w:tcPr>
          <w:p>
            <w:pPr>
              <w:ind w:left="20"/>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1280"/>
          </w:cols>
          <w:pgMar w:left="320" w:top="500" w:right="2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00" w:lineRule="exact"/>
        <w:rPr>
          <w:sz w:val="20"/>
          <w:szCs w:val="20"/>
          <w:color w:val="auto"/>
        </w:rPr>
      </w:pPr>
    </w:p>
    <w:p>
      <w:pPr>
        <w:spacing w:after="0" w:line="241" w:lineRule="exact"/>
        <w:rPr>
          <w:sz w:val="20"/>
          <w:szCs w:val="20"/>
          <w:color w:val="auto"/>
        </w:rPr>
      </w:pPr>
    </w:p>
    <w:p>
      <w:pPr>
        <w:ind w:left="580" w:hanging="329"/>
        <w:spacing w:after="0"/>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S-3 Nos. 333-29185 and 333-223149) of The Williams Companies, Inc.,</w:t>
      </w:r>
    </w:p>
    <w:p>
      <w:pPr>
        <w:spacing w:after="0" w:line="225" w:lineRule="exact"/>
        <w:rPr>
          <w:rFonts w:ascii="Arial" w:cs="Arial" w:eastAsia="Arial" w:hAnsi="Arial"/>
          <w:sz w:val="18"/>
          <w:szCs w:val="18"/>
          <w:color w:val="auto"/>
        </w:rPr>
      </w:pPr>
    </w:p>
    <w:p>
      <w:pPr>
        <w:ind w:left="580" w:right="3160" w:hanging="329"/>
        <w:spacing w:after="0" w:line="277"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333-03957) pertaining to The Williams Companies, Inc. 1996 Stock Plan for Non-Employee Directors,</w:t>
      </w:r>
    </w:p>
    <w:p>
      <w:pPr>
        <w:spacing w:after="0" w:line="170" w:lineRule="exact"/>
        <w:rPr>
          <w:rFonts w:ascii="Arial" w:cs="Arial" w:eastAsia="Arial" w:hAnsi="Arial"/>
          <w:sz w:val="18"/>
          <w:szCs w:val="18"/>
          <w:color w:val="auto"/>
        </w:rPr>
      </w:pPr>
    </w:p>
    <w:p>
      <w:pPr>
        <w:ind w:left="580" w:hanging="329"/>
        <w:spacing w:after="0"/>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333-85542) pertaining to The Williams Investment Plus Plan,</w:t>
      </w:r>
    </w:p>
    <w:p>
      <w:pPr>
        <w:spacing w:after="0" w:line="225" w:lineRule="exact"/>
        <w:rPr>
          <w:rFonts w:ascii="Arial" w:cs="Arial" w:eastAsia="Arial" w:hAnsi="Arial"/>
          <w:sz w:val="18"/>
          <w:szCs w:val="18"/>
          <w:color w:val="auto"/>
        </w:rPr>
      </w:pPr>
    </w:p>
    <w:p>
      <w:pPr>
        <w:ind w:left="580" w:right="2900" w:hanging="329"/>
        <w:spacing w:after="0" w:line="277"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333-85546) pertaining to The Williams Companies, Inc. 2002 Incentive Plan,</w:t>
      </w:r>
    </w:p>
    <w:p>
      <w:pPr>
        <w:spacing w:after="0" w:line="170" w:lineRule="exact"/>
        <w:rPr>
          <w:rFonts w:ascii="Arial" w:cs="Arial" w:eastAsia="Arial" w:hAnsi="Arial"/>
          <w:sz w:val="18"/>
          <w:szCs w:val="18"/>
          <w:color w:val="auto"/>
        </w:rPr>
      </w:pPr>
    </w:p>
    <w:p>
      <w:pPr>
        <w:ind w:left="580" w:right="600" w:hanging="329"/>
        <w:spacing w:after="0" w:line="277"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333-142985) pertaining to The Williams Companies, Inc. 2007 Employee Stock Purchase Plan and The Williams Companies, Inc. 2007 Incentive Plan,</w:t>
      </w:r>
    </w:p>
    <w:p>
      <w:pPr>
        <w:spacing w:after="0" w:line="170" w:lineRule="exact"/>
        <w:rPr>
          <w:rFonts w:ascii="Arial" w:cs="Arial" w:eastAsia="Arial" w:hAnsi="Arial"/>
          <w:sz w:val="18"/>
          <w:szCs w:val="18"/>
          <w:color w:val="auto"/>
        </w:rPr>
      </w:pPr>
    </w:p>
    <w:p>
      <w:pPr>
        <w:ind w:left="580" w:hanging="329"/>
        <w:spacing w:after="0"/>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333-167123) pertaining to The Williams Companies, Inc. 2007 Incentive Plan, and</w:t>
      </w:r>
    </w:p>
    <w:p>
      <w:pPr>
        <w:spacing w:after="0" w:line="225" w:lineRule="exact"/>
        <w:rPr>
          <w:rFonts w:ascii="Arial" w:cs="Arial" w:eastAsia="Arial" w:hAnsi="Arial"/>
          <w:sz w:val="18"/>
          <w:szCs w:val="18"/>
          <w:color w:val="auto"/>
        </w:rPr>
      </w:pPr>
    </w:p>
    <w:p>
      <w:pPr>
        <w:ind w:left="580" w:right="2800" w:hanging="329"/>
        <w:spacing w:after="0" w:line="277" w:lineRule="auto"/>
        <w:tabs>
          <w:tab w:leader="none" w:pos="5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Registration Statement (Form S-8 No. 333-198050) pertaining to The Williams Companies, Inc. 2007 Incentive Plan and The Williams Companies, Inc. 2007 Employee Stock Purchase Plan;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24, 2020, with respect to the consolidated financial statements and schedule of The Williams Companies, Inc. and the effectiveness of internal control over financial reporting of The Williams Companies, Inc. included in this Annual Report (Form 10-K) of The Williams Companies, Inc.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Tulsa,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594"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333-29185 and 333-223149) and Form S-8 (Nos. 333-03957, 333-85542, 333-85546, 333-142985, 333-167123 and 333-198050) of The Williams Companies, Inc. of our report dated February 24, 2020 relating to the financial statements of Gulfstream Natural Gas System, L.L.C.,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2020</w:t>
      </w:r>
    </w:p>
    <w:p>
      <w:pPr>
        <w:sectPr>
          <w:pgSz w:w="11900" w:h="16838" w:orient="portrait"/>
          <w:cols w:equalWidth="0" w:num="1">
            <w:col w:w="11420"/>
          </w:cols>
          <w:pgMar w:left="240" w:top="567"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Alan S. Armstrong, certify that:</w:t>
      </w:r>
    </w:p>
    <w:p>
      <w:pPr>
        <w:spacing w:after="0" w:line="171" w:lineRule="exact"/>
        <w:rPr>
          <w:sz w:val="20"/>
          <w:szCs w:val="20"/>
          <w:color w:val="auto"/>
        </w:rPr>
      </w:pPr>
    </w:p>
    <w:p>
      <w:pPr>
        <w:ind w:left="420" w:hanging="398"/>
        <w:spacing w:after="0"/>
        <w:tabs>
          <w:tab w:leader="none" w:pos="4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Williams Companies, Inc.;</w:t>
      </w:r>
    </w:p>
    <w:p>
      <w:pPr>
        <w:spacing w:after="0" w:line="171" w:lineRule="exact"/>
        <w:rPr>
          <w:rFonts w:ascii="Arial" w:cs="Arial" w:eastAsia="Arial" w:hAnsi="Arial"/>
          <w:sz w:val="18"/>
          <w:szCs w:val="18"/>
          <w:color w:val="auto"/>
        </w:rPr>
      </w:pPr>
    </w:p>
    <w:p>
      <w:pPr>
        <w:jc w:val="both"/>
        <w:ind w:left="420" w:hanging="398"/>
        <w:spacing w:after="0" w:line="342" w:lineRule="auto"/>
        <w:tabs>
          <w:tab w:leader="none" w:pos="4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hanging="398"/>
        <w:spacing w:after="0" w:line="277" w:lineRule="auto"/>
        <w:tabs>
          <w:tab w:leader="none" w:pos="4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420" w:hanging="398"/>
        <w:spacing w:after="0" w:line="264" w:lineRule="auto"/>
        <w:tabs>
          <w:tab w:leader="none" w:pos="4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420"/>
        <w:spacing w:after="0" w:line="264" w:lineRule="auto"/>
        <w:tabs>
          <w:tab w:leader="none" w:pos="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420"/>
        <w:spacing w:after="0" w:line="264" w:lineRule="auto"/>
        <w:tabs>
          <w:tab w:leader="none" w:pos="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420"/>
        <w:spacing w:after="0" w:line="308" w:lineRule="auto"/>
        <w:tabs>
          <w:tab w:leader="none" w:pos="82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420"/>
        <w:spacing w:after="0" w:line="264" w:lineRule="auto"/>
        <w:tabs>
          <w:tab w:leader="none" w:pos="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98"/>
        <w:spacing w:after="0" w:line="308" w:lineRule="auto"/>
        <w:tabs>
          <w:tab w:leader="none" w:pos="4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420"/>
        <w:spacing w:after="0" w:line="277" w:lineRule="auto"/>
        <w:tabs>
          <w:tab w:leader="none" w:pos="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420"/>
        <w:spacing w:after="0" w:line="277" w:lineRule="auto"/>
        <w:tabs>
          <w:tab w:leader="none" w:pos="8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Alan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31750</wp:posOffset>
            </wp:positionV>
            <wp:extent cx="37217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45">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Alan S. Armstrong</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2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John D. Chandler, certify that:</w:t>
      </w:r>
    </w:p>
    <w:p>
      <w:pPr>
        <w:spacing w:after="0" w:line="171" w:lineRule="exact"/>
        <w:rPr>
          <w:sz w:val="20"/>
          <w:szCs w:val="20"/>
          <w:color w:val="auto"/>
        </w:rPr>
      </w:pPr>
    </w:p>
    <w:p>
      <w:pPr>
        <w:ind w:left="420" w:hanging="398"/>
        <w:spacing w:after="0"/>
        <w:tabs>
          <w:tab w:leader="none" w:pos="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Williams Companies, Inc.;</w:t>
      </w:r>
    </w:p>
    <w:p>
      <w:pPr>
        <w:spacing w:after="0" w:line="171" w:lineRule="exact"/>
        <w:rPr>
          <w:rFonts w:ascii="Arial" w:cs="Arial" w:eastAsia="Arial" w:hAnsi="Arial"/>
          <w:sz w:val="18"/>
          <w:szCs w:val="18"/>
          <w:color w:val="auto"/>
        </w:rPr>
      </w:pPr>
    </w:p>
    <w:p>
      <w:pPr>
        <w:jc w:val="both"/>
        <w:ind w:left="420" w:hanging="398"/>
        <w:spacing w:after="0" w:line="342" w:lineRule="auto"/>
        <w:tabs>
          <w:tab w:leader="none" w:pos="42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420" w:hanging="398"/>
        <w:spacing w:after="0" w:line="277" w:lineRule="auto"/>
        <w:tabs>
          <w:tab w:leader="none" w:pos="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420" w:hanging="398"/>
        <w:spacing w:after="0" w:line="264" w:lineRule="auto"/>
        <w:tabs>
          <w:tab w:leader="none" w:pos="4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420"/>
        <w:spacing w:after="0" w:line="264" w:lineRule="auto"/>
        <w:tabs>
          <w:tab w:leader="none" w:pos="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420"/>
        <w:spacing w:after="0" w:line="264" w:lineRule="auto"/>
        <w:tabs>
          <w:tab w:leader="none" w:pos="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420"/>
        <w:spacing w:after="0" w:line="308" w:lineRule="auto"/>
        <w:tabs>
          <w:tab w:leader="none" w:pos="8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420"/>
        <w:spacing w:after="0" w:line="264" w:lineRule="auto"/>
        <w:tabs>
          <w:tab w:leader="none" w:pos="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420" w:hanging="398"/>
        <w:spacing w:after="0" w:line="308" w:lineRule="auto"/>
        <w:tabs>
          <w:tab w:leader="none" w:pos="4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420"/>
        <w:spacing w:after="0" w:line="277" w:lineRule="auto"/>
        <w:tabs>
          <w:tab w:leader="none" w:pos="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420"/>
        <w:spacing w:after="0" w:line="277" w:lineRule="auto"/>
        <w:tabs>
          <w:tab w:leader="none" w:pos="8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2020</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31750</wp:posOffset>
            </wp:positionV>
            <wp:extent cx="37217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6">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D. Chandler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connection with the Annual Report of The Williams Companies, Inc. (the “Company”) on Form 10-K for the period ending December 31, 2019, as filed with the Securities and Exchange Commission on the date hereof (the “Report”), each of the undersigned hereby certifies, in his capacity as an officer of the Company, pursuant to 18 U.S.C. § 1350, as adopted pursuant to § 906 of the Sarbanes-Oxley Act of 2002, that to his knowledge:</w:t>
      </w:r>
    </w:p>
    <w:p>
      <w:pPr>
        <w:spacing w:after="0" w:line="111" w:lineRule="exact"/>
        <w:rPr>
          <w:sz w:val="20"/>
          <w:szCs w:val="20"/>
          <w:color w:val="auto"/>
        </w:rPr>
      </w:pPr>
    </w:p>
    <w:p>
      <w:pPr>
        <w:ind w:left="700" w:hanging="260"/>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00" w:hanging="260"/>
        <w:spacing w:after="0"/>
        <w:tabs>
          <w:tab w:leader="none" w:pos="7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Alan S. Armstrong</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Alan S. Armstrong</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24, 2020</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John D. Chandler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John D. Chandler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24, 2020</w:t>
      </w: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Report and shall not be considered filed as part of the Report.</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1)"/>
      <w:numFmt w:val="decimal"/>
      <w:start w:val="1"/>
    </w:lvl>
  </w:abstractNum>
  <w:abstractNum w:abstractNumId="7">
    <w:nsid w:val="14E17E33"/>
    <w:multiLevelType w:val="hybridMultilevel"/>
    <w:lvl w:ilvl="0">
      <w:lvlJc w:val="left"/>
      <w:lvlText w:val="(%1)"/>
      <w:numFmt w:val="decimal"/>
      <w:start w:val="1"/>
    </w:lvl>
  </w:abstractNum>
  <w:abstractNum w:abstractNumId="8">
    <w:nsid w:val="3222E7CD"/>
    <w:multiLevelType w:val="hybridMultilevel"/>
    <w:lvl w:ilvl="0">
      <w:lvlJc w:val="left"/>
      <w:lvlText w:val="(%1)"/>
      <w:numFmt w:val="decimal"/>
      <w:start w:val="1"/>
    </w:lvl>
  </w:abstractNum>
  <w:abstractNum w:abstractNumId="9">
    <w:nsid w:val="74DE0EE3"/>
    <w:multiLevelType w:val="hybridMultilevel"/>
    <w:lvl w:ilvl="0">
      <w:lvlJc w:val="left"/>
      <w:lvlText w:val="(%1)"/>
      <w:numFmt w:val="decimal"/>
      <w:start w:val="1"/>
    </w:lvl>
  </w:abstractNum>
  <w:abstractNum w:abstractNumId="10">
    <w:nsid w:val="68EBC550"/>
    <w:multiLevelType w:val="hybridMultilevel"/>
    <w:lvl w:ilvl="0">
      <w:lvlJc w:val="left"/>
      <w:lvlText w:val="(%1)"/>
      <w:numFmt w:val="decimal"/>
      <w:start w:val="1"/>
    </w:lvl>
  </w:abstractNum>
  <w:abstractNum w:abstractNumId="11">
    <w:nsid w:val="2DF6D648"/>
    <w:multiLevelType w:val="hybridMultilevel"/>
    <w:lvl w:ilvl="0">
      <w:lvlJc w:val="left"/>
      <w:lvlText w:val="(%1)"/>
      <w:numFmt w:val="decimal"/>
      <w:start w:val="1"/>
    </w:lvl>
  </w:abstractNum>
  <w:abstractNum w:abstractNumId="12">
    <w:nsid w:val="46B7D447"/>
    <w:multiLevelType w:val="hybridMultilevel"/>
    <w:lvl w:ilvl="0">
      <w:lvlJc w:val="left"/>
      <w:lvlText w:val="(%1)"/>
      <w:numFmt w:val="decimal"/>
      <w:start w:val="1"/>
    </w:lvl>
  </w:abstractNum>
  <w:abstractNum w:abstractNumId="13">
    <w:nsid w:val="4A2AC315"/>
    <w:multiLevelType w:val="hybridMultilevel"/>
    <w:lvl w:ilvl="0">
      <w:lvlJc w:val="left"/>
      <w:lvlText w:val="(%1)"/>
      <w:numFmt w:val="decimal"/>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1)"/>
      <w:numFmt w:val="decimal"/>
      <w:start w:val="1"/>
    </w:lvl>
    <w:lvl w:ilvl="1">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
      <w:numFmt w:val="bullet"/>
      <w:start w:val="1"/>
    </w:lvl>
  </w:abstractNum>
  <w:abstractNum w:abstractNumId="45">
    <w:nsid w:val="59ADEA3D"/>
    <w:multiLevelType w:val="hybridMultilevel"/>
    <w:lvl w:ilvl="0">
      <w:lvlJc w:val="left"/>
      <w:lvlText w:val="•"/>
      <w:numFmt w:val="bullet"/>
      <w:start w:val="1"/>
    </w:lvl>
  </w:abstractNum>
  <w:abstractNum w:abstractNumId="46">
    <w:nsid w:val="288F1A34"/>
    <w:multiLevelType w:val="hybridMultilevel"/>
    <w:lvl w:ilvl="0">
      <w:lvlJc w:val="left"/>
      <w:lvlText w:val="•"/>
      <w:numFmt w:val="bullet"/>
      <w:start w:val="1"/>
    </w:lvl>
  </w:abstractNum>
  <w:abstractNum w:abstractNumId="47">
    <w:nsid w:val="2A155DBC"/>
    <w:multiLevelType w:val="hybridMultilevel"/>
    <w:lvl w:ilvl="0">
      <w:lvlJc w:val="left"/>
      <w:lvlText w:val="•"/>
      <w:numFmt w:val="bullet"/>
      <w:start w:val="1"/>
    </w:lvl>
  </w:abstractNum>
  <w:abstractNum w:abstractNumId="48">
    <w:nsid w:val="1D9F6E5F"/>
    <w:multiLevelType w:val="hybridMultilevel"/>
    <w:lvl w:ilvl="0">
      <w:lvlJc w:val="left"/>
      <w:lvlText w:val="•"/>
      <w:numFmt w:val="bullet"/>
      <w:start w:val="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1)"/>
      <w:numFmt w:val="decimal"/>
      <w:start w:val="1"/>
    </w:lvl>
  </w:abstractNum>
  <w:abstractNum w:abstractNumId="52">
    <w:nsid w:val="53584BCB"/>
    <w:multiLevelType w:val="hybridMultilevel"/>
    <w:lvl w:ilvl="0">
      <w:lvlJc w:val="left"/>
      <w:lvlText w:val="(%1)"/>
      <w:numFmt w:val="decimal"/>
      <w:start w:val="1"/>
    </w:lvl>
    <w:lvl w:ilvl="1">
      <w:lvlJc w:val="left"/>
      <w:lvlText w:val="•"/>
      <w:numFmt w:val="bullet"/>
      <w:start w:val="1"/>
    </w:lvl>
  </w:abstractNum>
  <w:abstractNum w:abstractNumId="53">
    <w:nsid w:val="415E286C"/>
    <w:multiLevelType w:val="hybridMultilevel"/>
    <w:lvl w:ilvl="0">
      <w:lvlJc w:val="left"/>
      <w:lvlText w:val="(%1)"/>
      <w:numFmt w:val="decimal"/>
      <w:start w:val="3"/>
    </w:lvl>
  </w:abstractNum>
  <w:abstractNum w:abstractNumId="54">
    <w:nsid w:val="7C58FD05"/>
    <w:multiLevelType w:val="hybridMultilevel"/>
    <w:lvl w:ilvl="0">
      <w:lvlJc w:val="left"/>
      <w:lvlText w:val="\endash "/>
      <w:numFmt w:val="bullet"/>
      <w:start w:val="1"/>
    </w:lvl>
  </w:abstractNum>
  <w:abstractNum w:abstractNumId="55">
    <w:nsid w:val="23D86AAC"/>
    <w:multiLevelType w:val="hybridMultilevel"/>
    <w:lvl w:ilvl="0">
      <w:lvlJc w:val="left"/>
      <w:lvlText w:val="(%1)"/>
      <w:numFmt w:val="decimal"/>
      <w:start w:val="1"/>
    </w:lvl>
  </w:abstractNum>
  <w:abstractNum w:abstractNumId="56">
    <w:nsid w:val="45E6D486"/>
    <w:multiLevelType w:val="hybridMultilevel"/>
    <w:lvl w:ilvl="0">
      <w:lvlJc w:val="left"/>
      <w:lvlText w:val="(%1)"/>
      <w:numFmt w:val="decimal"/>
      <w:start w:val="2"/>
    </w:lvl>
  </w:abstractNum>
  <w:abstractNum w:abstractNumId="57">
    <w:nsid w:val="5C10FE21"/>
    <w:multiLevelType w:val="hybridMultilevel"/>
    <w:lvl w:ilvl="0">
      <w:lvlJc w:val="left"/>
      <w:lvlText w:val="•"/>
      <w:numFmt w:val="bullet"/>
      <w:start w:val="1"/>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
      <w:numFmt w:val="bullet"/>
      <w:start w:val="1"/>
    </w:lvl>
  </w:abstractNum>
  <w:abstractNum w:abstractNumId="61">
    <w:nsid w:val="78DF6A55"/>
    <w:multiLevelType w:val="hybridMultilevel"/>
    <w:lvl w:ilvl="0">
      <w:lvlJc w:val="left"/>
      <w:lvlText w:val="%1)"/>
      <w:numFmt w:val="decimal"/>
      <w:start w:val="980"/>
    </w:lvl>
  </w:abstractNum>
  <w:abstractNum w:abstractNumId="62">
    <w:nsid w:val="39B7AAA2"/>
    <w:multiLevelType w:val="hybridMultilevel"/>
    <w:lvl w:ilvl="0">
      <w:lvlJc w:val="left"/>
      <w:lvlText w:val="•"/>
      <w:numFmt w:val="bullet"/>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1"/>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1"/>
    </w:lvl>
  </w:abstractNum>
  <w:abstractNum w:abstractNumId="68">
    <w:nsid w:val="4C9B0904"/>
    <w:multiLevelType w:val="hybridMultilevel"/>
    <w:lvl w:ilvl="0">
      <w:lvlJc w:val="left"/>
      <w:lvlText w:val="(%1)"/>
      <w:numFmt w:val="decimal"/>
      <w:start w:val="1"/>
    </w:lvl>
  </w:abstractNum>
  <w:abstractNum w:abstractNumId="69">
    <w:nsid w:val="6AA7B75C"/>
    <w:multiLevelType w:val="hybridMultilevel"/>
    <w:lvl w:ilvl="0">
      <w:lvlJc w:val="left"/>
      <w:lvlText w:val="(%1)"/>
      <w:numFmt w:val="decimal"/>
      <w:start w:val="1"/>
    </w:lvl>
  </w:abstractNum>
  <w:abstractNum w:abstractNumId="70">
    <w:nsid w:val="1DF029D3"/>
    <w:multiLevelType w:val="hybridMultilevel"/>
    <w:lvl w:ilvl="0">
      <w:lvlJc w:val="left"/>
      <w:lvlText w:val="•"/>
      <w:numFmt w:val="bullet"/>
      <w:start w:val="1"/>
    </w:lvl>
  </w:abstractNum>
  <w:abstractNum w:abstractNumId="71">
    <w:nsid w:val="5675FF36"/>
    <w:multiLevelType w:val="hybridMultilevel"/>
    <w:lvl w:ilvl="0">
      <w:lvlJc w:val="left"/>
      <w:lvlText w:val="•"/>
      <w:numFmt w:val="bullet"/>
      <w:start w:val="1"/>
    </w:lvl>
  </w:abstractNum>
  <w:abstractNum w:abstractNumId="72">
    <w:nsid w:val="3DD15094"/>
    <w:multiLevelType w:val="hybridMultilevel"/>
    <w:lvl w:ilvl="0">
      <w:lvlJc w:val="left"/>
      <w:lvlText w:val="(%1)"/>
      <w:numFmt w:val="decimal"/>
      <w:start w:val="1"/>
    </w:lvl>
  </w:abstractNum>
  <w:abstractNum w:abstractNumId="73">
    <w:nsid w:val="3DB012B3"/>
    <w:multiLevelType w:val="hybridMultilevel"/>
    <w:lvl w:ilvl="0">
      <w:lvlJc w:val="left"/>
      <w:lvlText w:val="%1"/>
      <w:numFmt w:val="decimal"/>
      <w:start w:val="102"/>
    </w:lvl>
  </w:abstractNum>
  <w:abstractNum w:abstractNumId="74">
    <w:nsid w:val="2708C9AF"/>
    <w:multiLevelType w:val="hybridMultilevel"/>
    <w:lvl w:ilvl="0">
      <w:lvlJc w:val="left"/>
      <w:lvlText w:val="%1"/>
      <w:numFmt w:val="decimal"/>
      <w:start w:val="1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2"/>
    </w:lvl>
  </w:abstractNum>
  <w:abstractNum w:abstractNumId="77">
    <w:nsid w:val="4F97E3E4"/>
    <w:multiLevelType w:val="hybridMultilevel"/>
    <w:lvl w:ilvl="0">
      <w:lvlJc w:val="left"/>
      <w:lvlText w:val="(%1)"/>
      <w:numFmt w:val="decimal"/>
      <w:start w:val="10"/>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
      <w:numFmt w:val="bullet"/>
      <w:start w:val="1"/>
    </w:lvl>
    <w:lvl w:ilvl="1">
      <w:lvlJc w:val="left"/>
      <w:lvlText w:val="◦"/>
      <w:numFmt w:val="bullet"/>
      <w:start w:val="1"/>
    </w:lvl>
  </w:abstractNum>
  <w:abstractNum w:abstractNumId="80">
    <w:nsid w:val="5915FF32"/>
    <w:multiLevelType w:val="hybridMultilevel"/>
    <w:lvl w:ilvl="0">
      <w:lvlJc w:val="left"/>
      <w:lvlText w:val="•"/>
      <w:numFmt w:val="bullet"/>
      <w:start w:val="1"/>
    </w:lvl>
    <w:lvl w:ilvl="1">
      <w:lvlJc w:val="left"/>
      <w:lvlText w:val="◦"/>
      <w:numFmt w:val="bullet"/>
      <w:start w:val="1"/>
    </w:lvl>
  </w:abstractNum>
  <w:abstractNum w:abstractNumId="81">
    <w:nsid w:val="56438D15"/>
    <w:multiLevelType w:val="hybridMultilevel"/>
    <w:lvl w:ilvl="0">
      <w:lvlJc w:val="left"/>
      <w:lvlText w:val="(%1)"/>
      <w:numFmt w:val="decimal"/>
      <w:start w:val="1"/>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
      <w:numFmt w:val="bullet"/>
      <w:start w:val="1"/>
    </w:lvl>
  </w:abstractNum>
  <w:abstractNum w:abstractNumId="84">
    <w:nsid w:val="17A1B582"/>
    <w:multiLevelType w:val="hybridMultilevel"/>
    <w:lvl w:ilvl="0">
      <w:lvlJc w:val="left"/>
      <w:lvlText w:val="**"/>
      <w:numFmt w:val="bullet"/>
      <w:start w:val="1"/>
    </w:lvl>
    <w:lvl w:ilvl="1">
      <w:lvlJc w:val="left"/>
      <w:lvlText w:val="*"/>
      <w:numFmt w:val="bullet"/>
      <w:start w:val="1"/>
    </w:lvl>
  </w:abstractNum>
  <w:abstractNum w:abstractNumId="85">
    <w:nsid w:val="4DF72E4E"/>
    <w:multiLevelType w:val="hybridMultilevel"/>
    <w:lvl w:ilvl="0">
      <w:lvlJc w:val="left"/>
      <w:lvlText w:val="•"/>
      <w:numFmt w:val="bullet"/>
      <w:start w:val="1"/>
    </w:lvl>
  </w:abstractNum>
  <w:abstractNum w:abstractNumId="86">
    <w:nsid w:val="5046B5A9"/>
    <w:multiLevelType w:val="hybridMultilevel"/>
    <w:lvl w:ilvl="0">
      <w:lvlJc w:val="left"/>
      <w:lvlText w:val="•"/>
      <w:numFmt w:val="bullet"/>
      <w:start w:val="1"/>
    </w:lvl>
  </w:abstractNum>
  <w:abstractNum w:abstractNumId="87">
    <w:nsid w:val="5D888A08"/>
    <w:multiLevelType w:val="hybridMultilevel"/>
    <w:lvl w:ilvl="0">
      <w:lvlJc w:val="left"/>
      <w:lvlText w:val="%1."/>
      <w:numFmt w:val="decimal"/>
      <w:start w:val="1"/>
    </w:lvl>
    <w:lvl w:ilvl="1">
      <w:lvlJc w:val="left"/>
      <w:lvlText w:val="(%2)"/>
      <w:numFmt w:val="lowerLetter"/>
      <w:start w:val="1"/>
    </w:lvl>
  </w:abstractNum>
  <w:abstractNum w:abstractNumId="88">
    <w:nsid w:val="2A082C70"/>
    <w:multiLevelType w:val="hybridMultilevel"/>
    <w:lvl w:ilvl="0">
      <w:lvlJc w:val="left"/>
      <w:lvlText w:val="%1"/>
      <w:numFmt w:val="decimal"/>
      <w:start w:val="1"/>
    </w:lvl>
    <w:lvl w:ilvl="1">
      <w:lvlJc w:val="left"/>
      <w:lvlText w:val="(%2)"/>
      <w:numFmt w:val="lowerLetter"/>
      <w:start w:val="3"/>
    </w:lvl>
  </w:abstractNum>
  <w:abstractNum w:abstractNumId="89">
    <w:nsid w:val="5EC6AFD4"/>
    <w:multiLevelType w:val="hybridMultilevel"/>
    <w:lvl w:ilvl="0">
      <w:lvlJc w:val="left"/>
      <w:lvlText w:val="%1."/>
      <w:numFmt w:val="decimal"/>
      <w:start w:val="2"/>
    </w:lvl>
    <w:lvl w:ilvl="1">
      <w:lvlJc w:val="left"/>
      <w:lvlText w:val="(%2)"/>
      <w:numFmt w:val="lowerLetter"/>
      <w:start w:val="1"/>
    </w:lvl>
  </w:abstractNum>
  <w:abstractNum w:abstractNumId="90">
    <w:nsid w:val="19E21BB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1">
    <w:nsid w:val="75E0858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2">
    <w:nsid w:val="57A61A29"/>
    <w:multiLevelType w:val="hybridMultilevel"/>
    <w:lvl w:ilvl="0">
      <w:lvlJc w:val="left"/>
      <w:lvlText w:val="(%1)"/>
      <w:numFmt w:val="lowerLetter"/>
      <w:start w:val="2"/>
    </w:lvl>
    <w:lvl w:ilvl="1">
      <w:lvlJc w:val="left"/>
      <w:lvlText w:val="(%2)"/>
      <w:numFmt w:val="lowerRoman"/>
      <w:start w:val="1"/>
    </w:lvl>
  </w:abstractNum>
  <w:abstractNum w:abstractNumId="93">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94">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5">
    <w:nsid w:val="4427069A"/>
    <w:multiLevelType w:val="hybridMultilevel"/>
    <w:lvl w:ilvl="0">
      <w:lvlJc w:val="left"/>
      <w:lvlText w:val="(%1)"/>
      <w:numFmt w:val="lowerRoman"/>
      <w:start w:val="1"/>
    </w:lvl>
  </w:abstractNum>
  <w:abstractNum w:abstractNumId="96">
    <w:nsid w:val="B37E80A"/>
    <w:multiLevelType w:val="hybridMultilevel"/>
    <w:lvl w:ilvl="0">
      <w:lvlJc w:val="left"/>
      <w:lvlText w:val="(%1)"/>
      <w:numFmt w:val="upperLetter"/>
      <w:start w:val="1"/>
    </w:lvl>
  </w:abstractNum>
  <w:abstractNum w:abstractNumId="97">
    <w:nsid w:val="2157F6BC"/>
    <w:multiLevelType w:val="hybridMultilevel"/>
    <w:lvl w:ilvl="0">
      <w:lvlJc w:val="left"/>
      <w:lvlText w:val="(%1)"/>
      <w:numFmt w:val="lowerLetter"/>
      <w:start w:val="3"/>
    </w:lvl>
    <w:lvl w:ilvl="1">
      <w:lvlJc w:val="left"/>
      <w:lvlText w:val="(%2)"/>
      <w:numFmt w:val="lowerRoman"/>
      <w:start w:val="1"/>
    </w:lvl>
  </w:abstractNum>
  <w:abstractNum w:abstractNumId="98">
    <w:nsid w:val="704E1DD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9">
    <w:nsid w:val="57D2F10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00">
    <w:nsid w:val="BFFAE18"/>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7"/>
    </w:lvl>
  </w:abstractNum>
  <w:abstractNum w:abstractNumId="101">
    <w:nsid w:val="E3E47A8"/>
    <w:multiLevelType w:val="hybridMultilevel"/>
    <w:lvl w:ilvl="0">
      <w:lvlJc w:val="left"/>
      <w:lvlText w:val="%1"/>
      <w:numFmt w:val="decimal"/>
      <w:start w:val="1"/>
    </w:lvl>
    <w:lvl w:ilvl="1">
      <w:lvlJc w:val="left"/>
      <w:lvlText w:val="(%2)"/>
      <w:numFmt w:val="lowerLetter"/>
      <w:start w:val="3"/>
    </w:lvl>
  </w:abstractNum>
  <w:abstractNum w:abstractNumId="102">
    <w:nsid w:val="2E48F044"/>
    <w:multiLevelType w:val="hybridMultilevel"/>
    <w:lvl w:ilvl="0">
      <w:lvlJc w:val="left"/>
      <w:lvlText w:val="%1."/>
      <w:numFmt w:val="decimal"/>
      <w:start w:val="7"/>
    </w:lvl>
    <w:lvl w:ilvl="1">
      <w:lvlJc w:val="left"/>
      <w:lvlText w:val="%2"/>
      <w:numFmt w:val="lowerLetter"/>
      <w:start w:val="1"/>
    </w:lvl>
  </w:abstractNum>
  <w:abstractNum w:abstractNumId="103">
    <w:nsid w:val="49D0FEA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04">
    <w:nsid w:val="4BEE5A5B"/>
    <w:multiLevelType w:val="hybridMultilevel"/>
    <w:lvl w:ilvl="0">
      <w:lvlJc w:val="left"/>
      <w:lvlText w:val="(%1)"/>
      <w:numFmt w:val="lowerRoman"/>
      <w:start w:val="1"/>
    </w:lvl>
  </w:abstractNum>
  <w:abstractNum w:abstractNumId="105">
    <w:nsid w:val="5551B9F3"/>
    <w:multiLevelType w:val="hybridMultilevel"/>
    <w:lvl w:ilvl="0">
      <w:lvlJc w:val="left"/>
      <w:lvlText w:val="(%1)"/>
      <w:numFmt w:val="lowerLetter"/>
      <w:start w:val="2"/>
    </w:lvl>
  </w:abstractNum>
  <w:abstractNum w:abstractNumId="106">
    <w:nsid w:val="24F6AB8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7">
    <w:nsid w:val="634C574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5"/>
    </w:lvl>
  </w:abstractNum>
  <w:abstractNum w:abstractNumId="108">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09">
    <w:nsid w:val="2A31B62D"/>
    <w:multiLevelType w:val="hybridMultilevel"/>
    <w:lvl w:ilvl="0">
      <w:lvlJc w:val="left"/>
      <w:lvlText w:val="(%1)"/>
      <w:numFmt w:val="lowerRoman"/>
      <w:start w:val="2"/>
    </w:lvl>
  </w:abstractNum>
  <w:abstractNum w:abstractNumId="110">
    <w:nsid w:val="1849C29B"/>
    <w:multiLevelType w:val="hybridMultilevel"/>
    <w:lvl w:ilvl="0">
      <w:lvlJc w:val="left"/>
      <w:lvlText w:val="%1"/>
      <w:numFmt w:val="lowerLetter"/>
      <w:start w:val="1"/>
    </w:lvl>
    <w:lvl w:ilvl="1">
      <w:lvlJc w:val="left"/>
      <w:lvlText w:val="(%2)"/>
      <w:numFmt w:val="lowerRoman"/>
      <w:start w:val="4"/>
    </w:lvl>
  </w:abstractNum>
  <w:abstractNum w:abstractNumId="111">
    <w:nsid w:val="7DFF9D09"/>
    <w:multiLevelType w:val="hybridMultilevel"/>
    <w:lvl w:ilvl="0">
      <w:lvlJc w:val="left"/>
      <w:lvlText w:val="(%1)"/>
      <w:numFmt w:val="lowerLetter"/>
      <w:start w:val="5"/>
    </w:lvl>
    <w:lvl w:ilvl="1">
      <w:lvlJc w:val="left"/>
      <w:lvlText w:val="(%2)"/>
      <w:numFmt w:val="lowerRoman"/>
      <w:start w:val="1"/>
    </w:lvl>
  </w:abstractNum>
  <w:abstractNum w:abstractNumId="112">
    <w:nsid w:val="754342"/>
    <w:multiLevelType w:val="hybridMultilevel"/>
    <w:lvl w:ilvl="0">
      <w:lvlJc w:val="left"/>
      <w:lvlText w:val="%1"/>
      <w:numFmt w:val="lowerLetter"/>
      <w:start w:val="1"/>
    </w:lvl>
    <w:lvl w:ilvl="1">
      <w:lvlJc w:val="left"/>
      <w:lvlText w:val="(%2)"/>
      <w:numFmt w:val="lowerRoman"/>
      <w:start w:val="4"/>
    </w:lvl>
  </w:abstractNum>
  <w:abstractNum w:abstractNumId="113">
    <w:nsid w:val="69E7F3E5"/>
    <w:multiLevelType w:val="hybridMultilevel"/>
    <w:lvl w:ilvl="0">
      <w:lvlJc w:val="left"/>
      <w:lvlText w:val="(%1)"/>
      <w:numFmt w:val="lowerLetter"/>
      <w:start w:val="6"/>
    </w:lvl>
    <w:lvl w:ilvl="1">
      <w:lvlJc w:val="left"/>
      <w:lvlText w:val="(%2)"/>
      <w:numFmt w:val="lowerRoman"/>
      <w:start w:val="1"/>
    </w:lvl>
  </w:abstractNum>
  <w:abstractNum w:abstractNumId="114">
    <w:nsid w:val="2A6DE806"/>
    <w:multiLevelType w:val="hybridMultilevel"/>
    <w:lvl w:ilvl="0">
      <w:lvlJc w:val="left"/>
      <w:lvlText w:val="%1"/>
      <w:numFmt w:val="lowerLetter"/>
      <w:start w:val="1"/>
    </w:lvl>
    <w:lvl w:ilvl="1">
      <w:lvlJc w:val="left"/>
      <w:lvlText w:val="(%2)"/>
      <w:numFmt w:val="lowerLetter"/>
      <w:start w:val="35"/>
    </w:lvl>
  </w:abstractNum>
  <w:abstractNum w:abstractNumId="115">
    <w:nsid w:val="1816F8C4"/>
    <w:multiLevelType w:val="hybridMultilevel"/>
    <w:lvl w:ilvl="0">
      <w:lvlJc w:val="left"/>
      <w:lvlText w:val="(%1)"/>
      <w:numFmt w:val="lowerLetter"/>
      <w:start w:val="8"/>
    </w:lvl>
    <w:lvl w:ilvl="1">
      <w:lvlJc w:val="left"/>
      <w:lvlText w:val="(%2)"/>
      <w:numFmt w:val="lowerLetter"/>
      <w:start w:val="9"/>
    </w:lvl>
  </w:abstractNum>
  <w:abstractNum w:abstractNumId="116">
    <w:nsid w:val="37DF2233"/>
    <w:multiLevelType w:val="hybridMultilevel"/>
    <w:lvl w:ilvl="0">
      <w:lvlJc w:val="left"/>
      <w:lvlText w:val="%1"/>
      <w:numFmt w:val="lowerRoman"/>
      <w:start w:val="1"/>
    </w:lvl>
    <w:lvl w:ilvl="1">
      <w:lvlJc w:val="left"/>
      <w:lvlText w:val="(%2)"/>
      <w:numFmt w:val="lowerRoman"/>
      <w:start w:val="2"/>
    </w:lvl>
  </w:abstractNum>
  <w:abstractNum w:abstractNumId="117">
    <w:nsid w:val="7AB49DAF"/>
    <w:multiLevelType w:val="hybridMultilevel"/>
    <w:lvl w:ilvl="0">
      <w:lvlJc w:val="left"/>
      <w:lvlText w:val="(%1)"/>
      <w:numFmt w:val="lowerRoman"/>
      <w:start w:val="1"/>
    </w:lvl>
    <w:lvl w:ilvl="1">
      <w:lvlJc w:val="left"/>
      <w:lvlText w:val="%2"/>
      <w:numFmt w:val="lowerRoman"/>
      <w:start w:val="1"/>
    </w:lvl>
  </w:abstractNum>
  <w:abstractNum w:abstractNumId="118">
    <w:nsid w:val="759F82CD"/>
    <w:multiLevelType w:val="hybridMultilevel"/>
    <w:lvl w:ilvl="0">
      <w:lvlJc w:val="left"/>
      <w:lvlText w:val="%1"/>
      <w:numFmt w:val="decimal"/>
      <w:start w:val="1"/>
    </w:lvl>
    <w:lvl w:ilvl="1">
      <w:lvlJc w:val="left"/>
      <w:lvlText w:val="(%2)"/>
      <w:numFmt w:val="lowerLetter"/>
      <w:start w:val="10"/>
    </w:lvl>
  </w:abstractNum>
  <w:abstractNum w:abstractNumId="119">
    <w:nsid w:val="61E74EA3"/>
    <w:multiLevelType w:val="hybridMultilevel"/>
    <w:lvl w:ilvl="0">
      <w:lvlJc w:val="left"/>
      <w:lvlText w:val="%1."/>
      <w:numFmt w:val="decimal"/>
      <w:start w:val="12"/>
    </w:lvl>
    <w:lvl w:ilvl="1">
      <w:lvlJc w:val="left"/>
      <w:lvlText w:val="(%2)"/>
      <w:numFmt w:val="lowerLetter"/>
      <w:start w:val="1"/>
    </w:lvl>
  </w:abstractNum>
  <w:abstractNum w:abstractNumId="120">
    <w:nsid w:val="597B4D84"/>
    <w:multiLevelType w:val="hybridMultilevel"/>
    <w:lvl w:ilvl="0">
      <w:lvlJc w:val="left"/>
      <w:lvlText w:val="(%1)"/>
      <w:numFmt w:val="lowerLetter"/>
      <w:start w:val="3"/>
    </w:lvl>
  </w:abstractNum>
  <w:abstractNum w:abstractNumId="121">
    <w:nsid w:val="F819E7F"/>
    <w:multiLevelType w:val="hybridMultilevel"/>
    <w:lvl w:ilvl="0">
      <w:lvlJc w:val="left"/>
      <w:lvlText w:val="%1."/>
      <w:numFmt w:val="decimal"/>
      <w:start w:val="13"/>
    </w:lvl>
    <w:lvl w:ilvl="1">
      <w:lvlJc w:val="left"/>
      <w:lvlText w:val="(%2)"/>
      <w:numFmt w:val="lowerLetter"/>
      <w:start w:val="1"/>
    </w:lvl>
  </w:abstractNum>
  <w:abstractNum w:abstractNumId="122">
    <w:nsid w:val="57C7D42D"/>
    <w:multiLevelType w:val="hybridMultilevel"/>
    <w:lvl w:ilvl="0">
      <w:lvlJc w:val="left"/>
      <w:lvlText w:val="%1"/>
      <w:numFmt w:val="decimal"/>
      <w:start w:val="1"/>
    </w:lvl>
    <w:lvl w:ilvl="1">
      <w:lvlJc w:val="left"/>
      <w:lvlText w:val="(%2)"/>
      <w:numFmt w:val="lowerLetter"/>
      <w:start w:val="5"/>
    </w:lvl>
  </w:abstractNum>
  <w:abstractNum w:abstractNumId="123">
    <w:nsid w:val="312167AD"/>
    <w:multiLevelType w:val="hybridMultilevel"/>
    <w:lvl w:ilvl="0">
      <w:lvlJc w:val="left"/>
      <w:lvlText w:val="%1."/>
      <w:numFmt w:val="decimal"/>
      <w:start w:val="15"/>
    </w:lvl>
    <w:lvl w:ilvl="1">
      <w:lvlJc w:val="left"/>
      <w:lvlText w:val="(%2)"/>
      <w:numFmt w:val="lowerLetter"/>
      <w:start w:val="1"/>
    </w:lvl>
  </w:abstractNum>
  <w:abstractNum w:abstractNumId="124">
    <w:nsid w:val="631B64D4"/>
    <w:multiLevelType w:val="hybridMultilevel"/>
    <w:lvl w:ilvl="0">
      <w:lvlJc w:val="left"/>
      <w:lvlText w:val="(%1)"/>
      <w:numFmt w:val="lowerLetter"/>
      <w:start w:val="3"/>
    </w:lvl>
  </w:abstractNum>
  <w:abstractNum w:abstractNumId="125">
    <w:nsid w:val="78B5E776"/>
    <w:multiLevelType w:val="hybridMultilevel"/>
    <w:lvl w:ilvl="0">
      <w:lvlJc w:val="left"/>
      <w:lvlText w:val="%1."/>
      <w:numFmt w:val="decimal"/>
      <w:start w:val="1"/>
    </w:lvl>
    <w:lvl w:ilvl="1">
      <w:lvlJc w:val="left"/>
      <w:lvlText w:val="(%2)"/>
      <w:numFmt w:val="lowerLetter"/>
      <w:start w:val="1"/>
    </w:lvl>
  </w:abstractNum>
  <w:abstractNum w:abstractNumId="126">
    <w:nsid w:val="75486E47"/>
    <w:multiLevelType w:val="hybridMultilevel"/>
    <w:lvl w:ilvl="0">
      <w:lvlJc w:val="left"/>
      <w:lvlText w:val="(%1)"/>
      <w:numFmt w:val="lowerLetter"/>
      <w:start w:val="1"/>
    </w:lvl>
  </w:abstractNum>
  <w:abstractNum w:abstractNumId="127">
    <w:nsid w:val="6E534CDE"/>
    <w:multiLevelType w:val="hybridMultilevel"/>
    <w:lvl w:ilvl="0">
      <w:lvlJc w:val="left"/>
      <w:lvlText w:val="%1."/>
      <w:numFmt w:val="decimal"/>
      <w:start w:val="1"/>
    </w:lvl>
    <w:lvl w:ilvl="1">
      <w:lvlJc w:val="left"/>
      <w:lvlText w:val="(%2)"/>
      <w:numFmt w:val="lowerLetter"/>
      <w:start w:val="1"/>
    </w:lvl>
  </w:abstractNum>
  <w:abstractNum w:abstractNumId="128">
    <w:nsid w:val="1A0DDE32"/>
    <w:multiLevelType w:val="hybridMultilevel"/>
    <w:lvl w:ilvl="0">
      <w:lvlJc w:val="left"/>
      <w:lvlText w:val="%1"/>
      <w:numFmt w:val="decimal"/>
      <w:start w:val="1"/>
    </w:lvl>
    <w:lvl w:ilvl="1">
      <w:lvlJc w:val="left"/>
      <w:lvlText w:val="(%2)"/>
      <w:numFmt w:val="lowerLetter"/>
      <w:start w:val="3"/>
    </w:lvl>
  </w:abstractNum>
  <w:abstractNum w:abstractNumId="129">
    <w:nsid w:val="65968C1C"/>
    <w:multiLevelType w:val="hybridMultilevel"/>
    <w:lvl w:ilvl="0">
      <w:lvlJc w:val="left"/>
      <w:lvlText w:val="%1."/>
      <w:numFmt w:val="decimal"/>
      <w:start w:val="2"/>
    </w:lvl>
    <w:lvl w:ilvl="1">
      <w:lvlJc w:val="left"/>
      <w:lvlText w:val="(%2)"/>
      <w:numFmt w:val="lowerLetter"/>
      <w:start w:val="1"/>
    </w:lvl>
  </w:abstractNum>
  <w:abstractNum w:abstractNumId="130">
    <w:nsid w:val="46263D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1">
    <w:nsid w:val="260D8C4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2">
    <w:nsid w:val="73D4D3C4"/>
    <w:multiLevelType w:val="hybridMultilevel"/>
    <w:lvl w:ilvl="0">
      <w:lvlJc w:val="left"/>
      <w:lvlText w:val="(%1)"/>
      <w:numFmt w:val="lowerLetter"/>
      <w:start w:val="2"/>
    </w:lvl>
    <w:lvl w:ilvl="1">
      <w:lvlJc w:val="left"/>
      <w:lvlText w:val="(%2)"/>
      <w:numFmt w:val="lowerRoman"/>
      <w:start w:val="1"/>
    </w:lvl>
  </w:abstractNum>
  <w:abstractNum w:abstractNumId="133">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34">
    <w:nsid w:val="6FDE8AF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5">
    <w:nsid w:val="3FC32E20"/>
    <w:multiLevelType w:val="hybridMultilevel"/>
    <w:lvl w:ilvl="0">
      <w:lvlJc w:val="left"/>
      <w:lvlText w:val="(%1)"/>
      <w:numFmt w:val="lowerLetter"/>
      <w:start w:val="2"/>
    </w:lvl>
    <w:lvl w:ilvl="1">
      <w:lvlJc w:val="left"/>
      <w:lvlText w:val="(%2)"/>
      <w:numFmt w:val="lowerRoman"/>
      <w:start w:val="1"/>
    </w:lvl>
  </w:abstractNum>
  <w:abstractNum w:abstractNumId="136">
    <w:nsid w:val="49C0E823"/>
    <w:multiLevelType w:val="hybridMultilevel"/>
    <w:lvl w:ilvl="0">
      <w:lvlJc w:val="left"/>
      <w:lvlText w:val="(%1)"/>
      <w:numFmt w:val="upperLetter"/>
      <w:start w:val="1"/>
    </w:lvl>
  </w:abstractNum>
  <w:abstractNum w:abstractNumId="137">
    <w:nsid w:val="14D53685"/>
    <w:multiLevelType w:val="hybridMultilevel"/>
    <w:lvl w:ilvl="0">
      <w:lvlJc w:val="left"/>
      <w:lvlText w:val="(%1)"/>
      <w:numFmt w:val="lowerLetter"/>
      <w:start w:val="3"/>
    </w:lvl>
    <w:lvl w:ilvl="1">
      <w:lvlJc w:val="left"/>
      <w:lvlText w:val="(%2)"/>
      <w:numFmt w:val="lowerRoman"/>
      <w:start w:val="1"/>
    </w:lvl>
  </w:abstractNum>
  <w:abstractNum w:abstractNumId="138">
    <w:nsid w:val="230F856C"/>
    <w:multiLevelType w:val="hybridMultilevel"/>
    <w:lvl w:ilvl="0">
      <w:lvlJc w:val="left"/>
      <w:lvlText w:val="%1."/>
      <w:numFmt w:val="decimal"/>
      <w:start w:val="6"/>
    </w:lvl>
  </w:abstractNum>
  <w:abstractNum w:abstractNumId="139">
    <w:nsid w:val="6EAA85FB"/>
    <w:multiLevelType w:val="hybridMultilevel"/>
    <w:lvl w:ilvl="0">
      <w:lvlJc w:val="left"/>
      <w:lvlText w:val="(%1)"/>
      <w:numFmt w:val="lowerRoman"/>
      <w:start w:val="1"/>
    </w:lvl>
  </w:abstractNum>
  <w:abstractNum w:abstractNumId="140">
    <w:nsid w:val="3F06ECB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41">
    <w:nsid w:val="3B59480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7"/>
    </w:lvl>
  </w:abstractNum>
  <w:abstractNum w:abstractNumId="142">
    <w:nsid w:val="6CAA2304"/>
    <w:multiLevelType w:val="hybridMultilevel"/>
    <w:lvl w:ilvl="0">
      <w:lvlJc w:val="left"/>
      <w:lvlText w:val="%1"/>
      <w:numFmt w:val="decimal"/>
      <w:start w:val="1"/>
    </w:lvl>
    <w:lvl w:ilvl="1">
      <w:lvlJc w:val="left"/>
      <w:lvlText w:val="(%2)"/>
      <w:numFmt w:val="lowerLetter"/>
      <w:start w:val="3"/>
    </w:lvl>
  </w:abstractNum>
  <w:abstractNum w:abstractNumId="143">
    <w:nsid w:val="3F7C2FF4"/>
    <w:multiLevelType w:val="hybridMultilevel"/>
    <w:lvl w:ilvl="0">
      <w:lvlJc w:val="left"/>
      <w:lvlText w:val="%1."/>
      <w:numFmt w:val="decimal"/>
      <w:start w:val="7"/>
    </w:lvl>
    <w:lvl w:ilvl="1">
      <w:lvlJc w:val="left"/>
      <w:lvlText w:val="%2"/>
      <w:numFmt w:val="lowerLetter"/>
      <w:start w:val="1"/>
    </w:lvl>
  </w:abstractNum>
  <w:abstractNum w:abstractNumId="144">
    <w:nsid w:val="25413BE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45">
    <w:nsid w:val="17180B0B"/>
    <w:multiLevelType w:val="hybridMultilevel"/>
    <w:lvl w:ilvl="0">
      <w:lvlJc w:val="left"/>
      <w:lvlText w:val="%1"/>
      <w:numFmt w:val="lowerLetter"/>
      <w:start w:val="1"/>
    </w:lvl>
    <w:lvl w:ilvl="1">
      <w:lvlJc w:val="left"/>
      <w:lvlText w:val="(%2)"/>
      <w:numFmt w:val="lowerRoman"/>
      <w:start w:val="2"/>
    </w:lvl>
  </w:abstractNum>
  <w:abstractNum w:abstractNumId="146">
    <w:nsid w:val="579328B9"/>
    <w:multiLevelType w:val="hybridMultilevel"/>
    <w:lvl w:ilvl="0">
      <w:lvlJc w:val="left"/>
      <w:lvlText w:val="(%1)"/>
      <w:numFmt w:val="lowerLetter"/>
      <w:start w:val="2"/>
    </w:lvl>
    <w:lvl w:ilvl="1">
      <w:lvlJc w:val="left"/>
      <w:lvlText w:val="%2"/>
      <w:numFmt w:val="lowerRoman"/>
      <w:start w:val="1"/>
    </w:lvl>
  </w:abstractNum>
  <w:abstractNum w:abstractNumId="147">
    <w:nsid w:val="5D205E2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148">
    <w:nsid w:val="11CCA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9">
    <w:nsid w:val="4D32AB86"/>
    <w:multiLevelType w:val="hybridMultilevel"/>
    <w:lvl w:ilvl="0">
      <w:lvlJc w:val="left"/>
      <w:lvlText w:val="%1"/>
      <w:numFmt w:val="lowerLetter"/>
      <w:start w:val="1"/>
    </w:lvl>
    <w:lvl w:ilvl="1">
      <w:lvlJc w:val="left"/>
      <w:lvlText w:val="(%2)"/>
      <w:numFmt w:val="lowerLetter"/>
      <w:start w:val="35"/>
    </w:lvl>
  </w:abstractNum>
  <w:abstractNum w:abstractNumId="150">
    <w:nsid w:val="3F07ACC3"/>
    <w:multiLevelType w:val="hybridMultilevel"/>
    <w:lvl w:ilvl="0">
      <w:lvlJc w:val="left"/>
      <w:lvlText w:val="(%1)"/>
      <w:numFmt w:val="lowerLetter"/>
      <w:start w:val="4"/>
    </w:lvl>
    <w:lvl w:ilvl="1">
      <w:lvlJc w:val="left"/>
      <w:lvlText w:val="(%2)"/>
      <w:numFmt w:val="lowerLetter"/>
      <w:start w:val="9"/>
    </w:lvl>
  </w:abstractNum>
  <w:abstractNum w:abstractNumId="151">
    <w:nsid w:val="6B47F63E"/>
    <w:multiLevelType w:val="hybridMultilevel"/>
    <w:lvl w:ilvl="0">
      <w:lvlJc w:val="left"/>
      <w:lvlText w:val="%1"/>
      <w:numFmt w:val="lowerLetter"/>
      <w:start w:val="1"/>
    </w:lvl>
    <w:lvl w:ilvl="1">
      <w:lvlJc w:val="left"/>
      <w:lvlText w:val="(%2)"/>
      <w:numFmt w:val="lowerRoman"/>
      <w:start w:val="2"/>
    </w:lvl>
  </w:abstractNum>
  <w:abstractNum w:abstractNumId="152">
    <w:nsid w:val="5CB44A05"/>
    <w:multiLevelType w:val="hybridMultilevel"/>
    <w:lvl w:ilvl="0">
      <w:lvlJc w:val="left"/>
      <w:lvlText w:val="(%1)"/>
      <w:numFmt w:val="lowerLetter"/>
      <w:start w:val="5"/>
    </w:lvl>
    <w:lvl w:ilvl="1">
      <w:lvlJc w:val="left"/>
      <w:lvlText w:val="(%2)"/>
      <w:numFmt w:val="lowerRoman"/>
      <w:start w:val="1"/>
    </w:lvl>
  </w:abstractNum>
  <w:abstractNum w:abstractNumId="153">
    <w:nsid w:val="16CF80F1"/>
    <w:multiLevelType w:val="hybridMultilevel"/>
    <w:lvl w:ilvl="0">
      <w:lvlJc w:val="left"/>
      <w:lvlText w:val="(%1)"/>
      <w:numFmt w:val="lowerRoman"/>
      <w:start w:val="2"/>
    </w:lvl>
  </w:abstractNum>
  <w:abstractNum w:abstractNumId="154">
    <w:nsid w:val="1C695DEC"/>
    <w:multiLevelType w:val="hybridMultilevel"/>
    <w:lvl w:ilvl="0">
      <w:lvlJc w:val="left"/>
      <w:lvlText w:val="(%1)"/>
      <w:numFmt w:val="lowerLetter"/>
      <w:start w:val="6"/>
    </w:lvl>
    <w:lvl w:ilvl="1">
      <w:lvlJc w:val="left"/>
      <w:lvlText w:val="(%2)"/>
      <w:numFmt w:val="lowerRoman"/>
      <w:start w:val="1"/>
    </w:lvl>
  </w:abstractNum>
  <w:abstractNum w:abstractNumId="155">
    <w:nsid w:val="3FCFAED9"/>
    <w:multiLevelType w:val="hybridMultilevel"/>
    <w:lvl w:ilvl="0">
      <w:lvlJc w:val="left"/>
      <w:lvlText w:val="%1"/>
      <w:numFmt w:val="lowerRoman"/>
      <w:start w:val="1"/>
    </w:lvl>
    <w:lvl w:ilvl="1">
      <w:lvlJc w:val="left"/>
      <w:lvlText w:val="(%2)"/>
      <w:numFmt w:val="lowerRoman"/>
      <w:start w:val="2"/>
    </w:lvl>
  </w:abstractNum>
  <w:abstractNum w:abstractNumId="156">
    <w:nsid w:val="F856867"/>
    <w:multiLevelType w:val="hybridMultilevel"/>
    <w:lvl w:ilvl="0">
      <w:lvlJc w:val="left"/>
      <w:lvlText w:val="(%1)"/>
      <w:numFmt w:val="lowerRoman"/>
      <w:start w:val="1"/>
    </w:lvl>
    <w:lvl w:ilvl="1">
      <w:lvlJc w:val="left"/>
      <w:lvlText w:val="%2"/>
      <w:numFmt w:val="lowerRoman"/>
      <w:start w:val="1"/>
    </w:lvl>
  </w:abstractNum>
  <w:abstractNum w:abstractNumId="157">
    <w:nsid w:val="11B1CC33"/>
    <w:multiLevelType w:val="hybridMultilevel"/>
    <w:lvl w:ilvl="0">
      <w:lvlJc w:val="left"/>
      <w:lvlText w:val="%1"/>
      <w:numFmt w:val="decimal"/>
      <w:start w:val="1"/>
    </w:lvl>
    <w:lvl w:ilvl="1">
      <w:lvlJc w:val="left"/>
      <w:lvlText w:val="(%2)"/>
      <w:numFmt w:val="lowerLetter"/>
      <w:start w:val="10"/>
    </w:lvl>
  </w:abstractNum>
  <w:abstractNum w:abstractNumId="158">
    <w:nsid w:val="2E22FBB7"/>
    <w:multiLevelType w:val="hybridMultilevel"/>
    <w:lvl w:ilvl="0">
      <w:lvlJc w:val="left"/>
      <w:lvlText w:val="%1."/>
      <w:numFmt w:val="decimal"/>
      <w:start w:val="12"/>
    </w:lvl>
    <w:lvl w:ilvl="1">
      <w:lvlJc w:val="left"/>
      <w:lvlText w:val="(%2)"/>
      <w:numFmt w:val="lowerLetter"/>
      <w:start w:val="1"/>
    </w:lvl>
  </w:abstractNum>
  <w:abstractNum w:abstractNumId="159">
    <w:nsid w:val="29934699"/>
    <w:multiLevelType w:val="hybridMultilevel"/>
    <w:lvl w:ilvl="0">
      <w:lvlJc w:val="left"/>
      <w:lvlText w:val="(%1)"/>
      <w:numFmt w:val="lowerLetter"/>
      <w:start w:val="3"/>
    </w:lvl>
  </w:abstractNum>
  <w:abstractNum w:abstractNumId="160">
    <w:nsid w:val="77485850"/>
    <w:multiLevelType w:val="hybridMultilevel"/>
    <w:lvl w:ilvl="0">
      <w:lvlJc w:val="left"/>
      <w:lvlText w:val="%1."/>
      <w:numFmt w:val="decimal"/>
      <w:start w:val="13"/>
    </w:lvl>
    <w:lvl w:ilvl="1">
      <w:lvlJc w:val="left"/>
      <w:lvlText w:val="(%2)"/>
      <w:numFmt w:val="lowerLetter"/>
      <w:start w:val="1"/>
    </w:lvl>
  </w:abstractNum>
  <w:abstractNum w:abstractNumId="161">
    <w:nsid w:val="744939A3"/>
    <w:multiLevelType w:val="hybridMultilevel"/>
    <w:lvl w:ilvl="0">
      <w:lvlJc w:val="left"/>
      <w:lvlText w:val="%1"/>
      <w:numFmt w:val="decimal"/>
      <w:start w:val="1"/>
    </w:lvl>
    <w:lvl w:ilvl="1">
      <w:lvlJc w:val="left"/>
      <w:lvlText w:val="(%2)"/>
      <w:numFmt w:val="lowerLetter"/>
      <w:start w:val="5"/>
    </w:lvl>
  </w:abstractNum>
  <w:abstractNum w:abstractNumId="162">
    <w:nsid w:val="4FA0D2E3"/>
    <w:multiLevelType w:val="hybridMultilevel"/>
    <w:lvl w:ilvl="0">
      <w:lvlJc w:val="left"/>
      <w:lvlText w:val="%1."/>
      <w:numFmt w:val="decimal"/>
      <w:start w:val="15"/>
    </w:lvl>
    <w:lvl w:ilvl="1">
      <w:lvlJc w:val="left"/>
      <w:lvlText w:val="(%2)"/>
      <w:numFmt w:val="lowerLetter"/>
      <w:start w:val="1"/>
    </w:lvl>
  </w:abstractNum>
  <w:abstractNum w:abstractNumId="163">
    <w:nsid w:val="6B1D2C14"/>
    <w:multiLevelType w:val="hybridMultilevel"/>
    <w:lvl w:ilvl="0">
      <w:lvlJc w:val="left"/>
      <w:lvlText w:val="(%1)"/>
      <w:numFmt w:val="lowerLetter"/>
      <w:start w:val="3"/>
    </w:lvl>
  </w:abstractNum>
  <w:abstractNum w:abstractNumId="164">
    <w:nsid w:val="68B867D3"/>
    <w:multiLevelType w:val="hybridMultilevel"/>
    <w:lvl w:ilvl="0">
      <w:lvlJc w:val="left"/>
      <w:lvlText w:val="%1."/>
      <w:numFmt w:val="decimal"/>
      <w:start w:val="1"/>
    </w:lvl>
    <w:lvl w:ilvl="1">
      <w:lvlJc w:val="left"/>
      <w:lvlText w:val="(%2)"/>
      <w:numFmt w:val="lowerLetter"/>
      <w:start w:val="1"/>
    </w:lvl>
  </w:abstractNum>
  <w:abstractNum w:abstractNumId="165">
    <w:nsid w:val="3F7F5DD9"/>
    <w:multiLevelType w:val="hybridMultilevel"/>
    <w:lvl w:ilvl="0">
      <w:lvlJc w:val="left"/>
      <w:lvlText w:val="(%1)"/>
      <w:numFmt w:val="decimal"/>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lvl w:ilvl="1">
      <w:lvlJc w:val="left"/>
      <w:lvlText w:val="(%2)"/>
      <w:numFmt w:val="lowerLetter"/>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116" Type="http://schemas.openxmlformats.org/officeDocument/2006/relationships/image" Target="media/image57.png"/><Relationship Id="rId141" Type="http://schemas.openxmlformats.org/officeDocument/2006/relationships/image" Target="media/image58.png"/><Relationship Id="rId142" Type="http://schemas.openxmlformats.org/officeDocument/2006/relationships/image" Target="media/image59.png"/><Relationship Id="rId143" Type="http://schemas.openxmlformats.org/officeDocument/2006/relationships/image" Target="media/image60.png"/><Relationship Id="rId144" Type="http://schemas.openxmlformats.org/officeDocument/2006/relationships/image" Target="media/image61.png"/><Relationship Id="rId145" Type="http://schemas.openxmlformats.org/officeDocument/2006/relationships/image" Target="media/image62.png"/><Relationship Id="rId146" Type="http://schemas.openxmlformats.org/officeDocument/2006/relationships/image" Target="media/image63.png"/><Relationship Id="rId60" Type="http://schemas.openxmlformats.org/officeDocument/2006/relationships/hyperlink" Target="http://www.sec.gov/Archives/edgar/data/107263/000119312515185008/d925124dex21.htm" TargetMode="External"/><Relationship Id="rId61" Type="http://schemas.openxmlformats.org/officeDocument/2006/relationships/hyperlink" Target="http://www.sec.gov/Archives/edgar/data/107263/000119312518166652/d585557dex21.htm" TargetMode="External"/><Relationship Id="rId62" Type="http://schemas.openxmlformats.org/officeDocument/2006/relationships/hyperlink" Target="http://www.sec.gov/Archives/edgar/data/107263/000119312516573267/d176661dex21.htm" TargetMode="External"/><Relationship Id="rId63" Type="http://schemas.openxmlformats.org/officeDocument/2006/relationships/hyperlink" Target="http://www.sec.gov/Archives/edgar/data/107263/000119312515335515/d56210dex21.htm" TargetMode="External"/><Relationship Id="rId66" Type="http://schemas.openxmlformats.org/officeDocument/2006/relationships/hyperlink" Target="http://www.sec.gov/Archives/edgar/data/107263/000119312517037519/d338496dex21.htm" TargetMode="External"/><Relationship Id="rId67" Type="http://schemas.openxmlformats.org/officeDocument/2006/relationships/hyperlink" Target="http://www.sec.gov/Archives/edgar/data/1483096/000148309617000012/wpz_2176030xex22.htm" TargetMode="External"/><Relationship Id="rId68" Type="http://schemas.openxmlformats.org/officeDocument/2006/relationships/hyperlink" Target="http://www.sec.gov/Archives/edgar/data/107263/000095012310053200/c58430exv3wxiy1.htm" TargetMode="External"/><Relationship Id="rId69" Type="http://schemas.openxmlformats.org/officeDocument/2006/relationships/hyperlink" Target="http://www.sec.gov/Archives/edgar/data/107263/000119312518219725/d522727dex31.htm" TargetMode="External"/><Relationship Id="rId70" Type="http://schemas.openxmlformats.org/officeDocument/2006/relationships/hyperlink" Target="http://www.sec.gov/Archives/edgar/data/107263/000119312518246104/d599321dex31.htm" TargetMode="External"/><Relationship Id="rId71" Type="http://schemas.openxmlformats.org/officeDocument/2006/relationships/hyperlink" Target="http://www.sec.gov/Archives/edgar/data/107263/000119312517014098/d331523dex31.htm" TargetMode="External"/><Relationship Id="rId72" Type="http://schemas.openxmlformats.org/officeDocument/2006/relationships/hyperlink" Target="http://www.sec.gov/Archives/edgar/data/62142/0000950134-97-001365.txt" TargetMode="External"/><Relationship Id="rId73" Type="http://schemas.openxmlformats.org/officeDocument/2006/relationships/hyperlink" Target="http://www.sec.gov/Archives/edgar/data/62142/0000950134-98-001719.txt" TargetMode="External"/><Relationship Id="rId74" Type="http://schemas.openxmlformats.org/officeDocument/2006/relationships/hyperlink" Target="http://www.sec.gov/Archives/edgar/data/947779/0000950134-99-002187.txt" TargetMode="External"/><Relationship Id="rId75" Type="http://schemas.openxmlformats.org/officeDocument/2006/relationships/hyperlink" Target="http://www.sec.gov/Archives/edgar/data/107263/000095013400002540/0000950134-00-002540.txt" TargetMode="External"/><Relationship Id="rId76" Type="http://schemas.openxmlformats.org/officeDocument/2006/relationships/hyperlink" Target="http://www.sec.gov/Archives/edgar/data/107263/000095012310007517/c55964exv4w3.htm" TargetMode="External"/><Relationship Id="rId77" Type="http://schemas.openxmlformats.org/officeDocument/2006/relationships/hyperlink" Target="http://www.sec.gov/Archives/edgar/data/107263/000095013401002063/d84653ex4-k.txt" TargetMode="External"/><Relationship Id="rId80" Type="http://schemas.openxmlformats.org/officeDocument/2006/relationships/hyperlink" Target="http://www.sec.gov/Archives/edgar/data/107263/000095013402004940/d96548ex4-1.txt" TargetMode="External"/><Relationship Id="rId81" Type="http://schemas.openxmlformats.org/officeDocument/2006/relationships/hyperlink" Target="http://www.sec.gov/Archives/edgar/data/107263/000095012310007517/c55964exv4w1.htm" TargetMode="External"/><Relationship Id="rId82" Type="http://schemas.openxmlformats.org/officeDocument/2006/relationships/hyperlink" Target="http://www.sec.gov/Archives/edgar/data/107263/000119312512508695/d456994dex41.htm" TargetMode="External"/><Relationship Id="rId83" Type="http://schemas.openxmlformats.org/officeDocument/2006/relationships/hyperlink" Target="http://www.sec.gov/Archives/edgar/data/107263/000119312512508695/d456994dex42.htm" TargetMode="External"/><Relationship Id="rId84" Type="http://schemas.openxmlformats.org/officeDocument/2006/relationships/hyperlink" Target="http://www.sec.gov/Archives/edgar/data/107263/000119312514247357/d748302dex41.htm" TargetMode="External"/><Relationship Id="rId85" Type="http://schemas.openxmlformats.org/officeDocument/2006/relationships/hyperlink" Target="http://www.sec.gov/Archives/edgar/data/107263/000095012310010940/c56234exv4w1.htm" TargetMode="External"/><Relationship Id="rId86" Type="http://schemas.openxmlformats.org/officeDocument/2006/relationships/hyperlink" Target="http://www.sec.gov/Archives/edgar/data/1483096/000119312515031434/d862478dex45.htm" TargetMode="External"/><Relationship Id="rId87" Type="http://schemas.openxmlformats.org/officeDocument/2006/relationships/hyperlink" Target="http://www.sec.gov/Archives/edgar/data/107263/000119312518246104/d599321dex42.htm" TargetMode="External"/><Relationship Id="rId88" Type="http://schemas.openxmlformats.org/officeDocument/2006/relationships/hyperlink" Target="http://www.sec.gov/Archives/edgar/data/1324518/000095012310104733/c61303exv4w1.htm" TargetMode="External"/><Relationship Id="rId89" Type="http://schemas.openxmlformats.org/officeDocument/2006/relationships/hyperlink" Target="http://www.sec.gov/Archives/edgar/data/1324518/000095012310104733/c61303exv4w2.htm" TargetMode="External"/><Relationship Id="rId90" Type="http://schemas.openxmlformats.org/officeDocument/2006/relationships/hyperlink" Target="http://www.sec.gov/Archives/edgar/data/1324518/000119312511317239/d258324dex41.htm" TargetMode="External"/><Relationship Id="rId91" Type="http://schemas.openxmlformats.org/officeDocument/2006/relationships/hyperlink" Target="http://www.sec.gov/Archives/edgar/data/1324518/000119312512355899/d395339dex41.htm" TargetMode="External"/><Relationship Id="rId92" Type="http://schemas.openxmlformats.org/officeDocument/2006/relationships/hyperlink" Target="http://www.sec.gov/Archives/edgar/data/1324518/000119312513445562/d630054dex41.htm" TargetMode="External"/><Relationship Id="rId93" Type="http://schemas.openxmlformats.org/officeDocument/2006/relationships/hyperlink" Target="http://www.sec.gov/Archives/edgar/data/1324518/000119312514082303/d686854dex41.htm" TargetMode="External"/><Relationship Id="rId94" Type="http://schemas.openxmlformats.org/officeDocument/2006/relationships/hyperlink" Target="http://www.sec.gov/Archives/edgar/data/1324518/000119312514253320/d750827dex41.htm" TargetMode="External"/><Relationship Id="rId95" Type="http://schemas.openxmlformats.org/officeDocument/2006/relationships/hyperlink" Target="http://www.sec.gov/Archives/edgar/data/1483096/000119312515031434/d862478dex44.htm" TargetMode="External"/><Relationship Id="rId96" Type="http://schemas.openxmlformats.org/officeDocument/2006/relationships/hyperlink" Target="http://www.sec.gov/Archives/edgar/data/1483096/000119312515075126/d882944dex41.htm" TargetMode="External"/><Relationship Id="rId97" Type="http://schemas.openxmlformats.org/officeDocument/2006/relationships/hyperlink" Target="http://www.sec.gov/Archives/edgar/data/1483096/000119312517194685/d407903dex41.htm" TargetMode="External"/><Relationship Id="rId98" Type="http://schemas.openxmlformats.org/officeDocument/2006/relationships/hyperlink" Target="http://www.sec.gov/Archives/edgar/data/1483096/000119312518069525/d546805dex41.htm" TargetMode="External"/><Relationship Id="rId99" Type="http://schemas.openxmlformats.org/officeDocument/2006/relationships/hyperlink" Target="http://www.sec.gov/Archives/edgar/data/107263/000119312518246104/d599321dex41.htm" TargetMode="External"/><Relationship Id="rId100" Type="http://schemas.openxmlformats.org/officeDocument/2006/relationships/hyperlink" Target="http://www.sec.gov/Archives/edgar/data/110019/0000950134-95-002272.txt" TargetMode="External"/><Relationship Id="rId101" Type="http://schemas.openxmlformats.org/officeDocument/2006/relationships/hyperlink" Target="http://www.sec.gov/Archives/edgar/data/110019/000119312517108766/d374835dex41.htm" TargetMode="External"/><Relationship Id="rId102" Type="http://schemas.openxmlformats.org/officeDocument/2006/relationships/hyperlink" Target="http://www.sec.gov/Archives/edgar/data/99250/0000950129-96-000543.txt" TargetMode="External"/><Relationship Id="rId103" Type="http://schemas.openxmlformats.org/officeDocument/2006/relationships/hyperlink" Target="http://www.sec.gov/Archives/edgar/data/99250/000095012311076637/c65827exv4w1.htm" TargetMode="External"/><Relationship Id="rId104" Type="http://schemas.openxmlformats.org/officeDocument/2006/relationships/hyperlink" Target="http://www.sec.gov/Archives/edgar/data/99250/000119312512303132/d380672dex41.htm" TargetMode="External"/><Relationship Id="rId105" Type="http://schemas.openxmlformats.org/officeDocument/2006/relationships/hyperlink" Target="http://www.sec.gov/Archives/edgar/data/99250/000119312516435679/d127799dex41.htm" TargetMode="External"/><Relationship Id="rId106" Type="http://schemas.openxmlformats.org/officeDocument/2006/relationships/hyperlink" Target="http://www.sec.gov/Archives/edgar/data/99250/000119312518084067/d547891dex41.htm" TargetMode="External"/><Relationship Id="rId107" Type="http://schemas.openxmlformats.org/officeDocument/2006/relationships/hyperlink" Target="http://www.sec.gov/Archives/edgar/data/107263/000129993308004469/exhibit2.htm" TargetMode="External"/><Relationship Id="rId108" Type="http://schemas.openxmlformats.org/officeDocument/2006/relationships/hyperlink" Target="http://www.sec.gov/Archives/edgar/data/107263/000119312513080025/d476830dex106.htm" TargetMode="External"/><Relationship Id="rId109" Type="http://schemas.openxmlformats.org/officeDocument/2006/relationships/hyperlink" Target="http://www.sec.gov/Archives/edgar/data/107263/000010726314000003/wmb_20131231xex1011.htm" TargetMode="External"/><Relationship Id="rId110" Type="http://schemas.openxmlformats.org/officeDocument/2006/relationships/hyperlink" Target="http://www.sec.gov/Archives/edgar/data/107263/000010726314000003/wmb_20131231xex108.htm" TargetMode="External"/><Relationship Id="rId111" Type="http://schemas.openxmlformats.org/officeDocument/2006/relationships/hyperlink" Target="http://www.sec.gov/Archives/edgar/data/107263/000010726315000003/wmb_20141231xex1012.htm" TargetMode="External"/><Relationship Id="rId112" Type="http://schemas.openxmlformats.org/officeDocument/2006/relationships/hyperlink" Target="http://www.sec.gov/Archives/edgar/data/107263/000010726315000003/wmb_20141231xex1016.htm" TargetMode="External"/><Relationship Id="rId113" Type="http://schemas.openxmlformats.org/officeDocument/2006/relationships/hyperlink" Target="http://www.sec.gov/Archives/edgar/data/107263/000010726315000003/wmb_20141231xex1017.htm" TargetMode="External"/><Relationship Id="rId114" Type="http://schemas.openxmlformats.org/officeDocument/2006/relationships/hyperlink" Target="http://www.sec.gov/Archives/edgar/data/107263/000010726317000003/wmb_20161231xex1018.htm" TargetMode="External"/><Relationship Id="rId115" Type="http://schemas.openxmlformats.org/officeDocument/2006/relationships/hyperlink" Target="http://www.sec.gov/Archives/edgar/data/107263/000010726317000003/wmb_20161231xex1019.htm" TargetMode="External"/><Relationship Id="rId117" Type="http://schemas.openxmlformats.org/officeDocument/2006/relationships/hyperlink" Target="http://www.sec.gov/Archives/edgar/data/107263/000010726317000003/wmb_20161231xex1020.htm" TargetMode="External"/><Relationship Id="rId118" Type="http://schemas.openxmlformats.org/officeDocument/2006/relationships/hyperlink" Target="http://www.sec.gov/Archives/edgar/data/107263/000010726317000003/wmb_20161231xex1021.htm" TargetMode="External"/><Relationship Id="rId119" Type="http://schemas.openxmlformats.org/officeDocument/2006/relationships/hyperlink" Target="http://www.sec.gov/Archives/edgar/data/107263/000010726317000003/wmb_20161231xex1022.htm" TargetMode="External"/><Relationship Id="rId120" Type="http://schemas.openxmlformats.org/officeDocument/2006/relationships/hyperlink" Target="http://www.sec.gov/Archives/edgar/data/107263/000010726317000003/wmb_20161231xex1023.htm" TargetMode="External"/><Relationship Id="rId121" Type="http://schemas.openxmlformats.org/officeDocument/2006/relationships/hyperlink" Target="http://www.sec.gov/Archives/edgar/data/107263/000010726317000003/wmb_20161231xex1024.htm" TargetMode="External"/><Relationship Id="rId122" Type="http://schemas.openxmlformats.org/officeDocument/2006/relationships/hyperlink" Target="http://www.sec.gov/Archives/edgar/data/107263/000010726317000003/wmb_20161231xex1025.htm" TargetMode="External"/><Relationship Id="rId123" Type="http://schemas.openxmlformats.org/officeDocument/2006/relationships/hyperlink" Target="http://www.sec.gov/Archives/edgar/data/107263/000010726317000006/wmb_20170331xex1010.htm" TargetMode="External"/><Relationship Id="rId124" Type="http://schemas.openxmlformats.org/officeDocument/2006/relationships/hyperlink" Target="http://www.sec.gov/Archives/edgar/data/107263/000010726318000013/wmb_20180331xex103.htm" TargetMode="External"/><Relationship Id="rId125" Type="http://schemas.openxmlformats.org/officeDocument/2006/relationships/hyperlink" Target="http://www.sec.gov/Archives/edgar/data/107263/000010726318000013/wmb_20180331xex104.htm" TargetMode="External"/><Relationship Id="rId126" Type="http://schemas.openxmlformats.org/officeDocument/2006/relationships/hyperlink" Target="http://www.sec.gov/Archives/edgar/data/107263/000010726318000013/wmb_20180331xex105.htm" TargetMode="External"/><Relationship Id="rId127" Type="http://schemas.openxmlformats.org/officeDocument/2006/relationships/hyperlink" Target="http://www.sec.gov/Archives/edgar/data/107263/000010726318000024/wmb_20180630xex102.htm" TargetMode="External"/><Relationship Id="rId128" Type="http://schemas.openxmlformats.org/officeDocument/2006/relationships/hyperlink" Target="http://www.sec.gov/Archives/edgar/data/107263/000010726319000014/wmb_20190331xex101.htm" TargetMode="External"/><Relationship Id="rId129" Type="http://schemas.openxmlformats.org/officeDocument/2006/relationships/hyperlink" Target="http://www.sec.gov/Archives/edgar/data/107263/000010726319000014/wmb_20190331xex102.htm" TargetMode="External"/><Relationship Id="rId130" Type="http://schemas.openxmlformats.org/officeDocument/2006/relationships/hyperlink" Target="http://www.sec.gov/Archives/edgar/data/107263/000010726319000014/wmb_20190331xex103.htm" TargetMode="External"/><Relationship Id="rId131" Type="http://schemas.openxmlformats.org/officeDocument/2006/relationships/hyperlink" Target="http://www.sec.gov/Archives/edgar/data/107263/000010726319000014/wmb_20190331xex104.htm" TargetMode="External"/><Relationship Id="rId132" Type="http://schemas.openxmlformats.org/officeDocument/2006/relationships/hyperlink" Target="http://www.sec.gov/Archives/edgar/data/107263/0000950134-96-000921.txt" TargetMode="External"/><Relationship Id="rId133" Type="http://schemas.openxmlformats.org/officeDocument/2006/relationships/hyperlink" Target="http://www.sec.gov/Archives/edgar/data/107263/000095013404011381/d17239exv10w1.txt" TargetMode="External"/><Relationship Id="rId134" Type="http://schemas.openxmlformats.org/officeDocument/2006/relationships/hyperlink" Target="http://www.sec.gov/Archives/edgar/data/107263/000095013409003632/d66296exv10w11.htm" TargetMode="External"/><Relationship Id="rId135" Type="http://schemas.openxmlformats.org/officeDocument/2006/relationships/hyperlink" Target="http://www.sec.gov/Archives/edgar/data/107263/000095013409003632/d66296exv10w12.htm" TargetMode="External"/><Relationship Id="rId136" Type="http://schemas.openxmlformats.org/officeDocument/2006/relationships/hyperlink" Target="http://www.sec.gov/Archives/edgar/data/107263/000119312516651997/d55278dex102.htm" TargetMode="External"/><Relationship Id="rId137" Type="http://schemas.openxmlformats.org/officeDocument/2006/relationships/hyperlink" Target="http://www.sec.gov/Archives/edgar/data/107263/000119312516651997/d55278dex101.htm" TargetMode="External"/><Relationship Id="rId138" Type="http://schemas.openxmlformats.org/officeDocument/2006/relationships/hyperlink" Target="http://www.sec.gov/Archives/edgar/data/107263/000010726317000003/wmb_20161231xex1038.htm" TargetMode="External"/><Relationship Id="rId139" Type="http://schemas.openxmlformats.org/officeDocument/2006/relationships/hyperlink" Target="http://www.sec.gov/Archives/edgar/data/107263/000119312518219725/d522727dex101.htm" TargetMode="External"/><Relationship Id="rId140" Type="http://schemas.openxmlformats.org/officeDocument/2006/relationships/hyperlink" Target="http://www.sec.gov/Archives/edgar/data/107263/000119312518246104/d5993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2020-02-24T15:27:42Z</dcterms:created>
  <dcterms:modified xsi:type="dcterms:W3CDTF">2020-02-24T15:27:42Z</dcterms:modified>
</cp:coreProperties>
</file>