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120" w:after="283"/>
        <w:jc w:val="center"/>
        <w:rPr/>
      </w:pPr>
      <w:r>
        <w:rPr>
          <w:color w:val="000000"/>
        </w:rPr>
        <w:t>☑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For the quarterly period ended March 31, 2026</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180" w:after="283"/>
        <w:jc w:val="center"/>
        <w:rPr/>
      </w:pPr>
      <w:r>
        <w:rPr>
          <w:color w:val="000000"/>
        </w:rPr>
        <w:t>☐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180" w:after="60"/>
        <w:jc w:val="center"/>
        <w:rPr>
          <w:rFonts w:ascii="Times New Roman;serif" w:hAnsi="Times New Roman;serif"/>
          <w:b/>
          <w:color w:val="000000"/>
          <w:sz w:val="24"/>
        </w:rPr>
      </w:pPr>
      <w:r>
        <w:rPr>
          <w:rFonts w:ascii="Times New Roman;serif" w:hAnsi="Times New Roman;serif"/>
          <w:b/>
          <w:color w:val="000000"/>
          <w:sz w:val="24"/>
        </w:rPr>
        <w:t>For the transition period from _____________ to _____________</w:t>
      </w:r>
    </w:p>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The Williams Companies, Inc.</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Transcontinental Gas Pipe Line Company, LLC</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Northwest Pipeline LLC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225"/>
        <w:gridCol w:w="1072"/>
        <w:gridCol w:w="1080"/>
        <w:gridCol w:w="630"/>
        <w:gridCol w:w="630"/>
        <w:gridCol w:w="632"/>
        <w:gridCol w:w="799"/>
        <w:gridCol w:w="799"/>
        <w:gridCol w:w="801"/>
        <w:gridCol w:w="740"/>
        <w:gridCol w:w="740"/>
        <w:gridCol w:w="1057"/>
      </w:tblGrid>
      <w:tr>
        <w:trPr/>
        <w:tc>
          <w:tcPr>
            <w:tcW w:w="12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25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1-4174</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73-0569878</w:t>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1-7584</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25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74-1079400</w:t>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1-7414</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25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26-1157701</w:t>
            </w:r>
          </w:p>
        </w:tc>
      </w:tr>
    </w:tbl>
    <w:tbl>
      <w:tblPr>
        <w:tblW w:w="10205" w:type="dxa"/>
        <w:jc w:val="left"/>
        <w:tblInd w:w="0" w:type="dxa"/>
        <w:tblLayout w:type="fixed"/>
        <w:tblCellMar>
          <w:top w:w="28" w:type="dxa"/>
          <w:left w:w="28" w:type="dxa"/>
          <w:bottom w:w="28" w:type="dxa"/>
          <w:right w:w="28" w:type="dxa"/>
        </w:tblCellMar>
      </w:tblPr>
      <w:tblGrid>
        <w:gridCol w:w="1147"/>
        <w:gridCol w:w="960"/>
        <w:gridCol w:w="968"/>
        <w:gridCol w:w="912"/>
        <w:gridCol w:w="903"/>
        <w:gridCol w:w="906"/>
        <w:gridCol w:w="267"/>
        <w:gridCol w:w="256"/>
        <w:gridCol w:w="258"/>
        <w:gridCol w:w="1059"/>
        <w:gridCol w:w="1059"/>
        <w:gridCol w:w="1510"/>
      </w:tblGrid>
      <w:tr>
        <w:trPr/>
        <w:tc>
          <w:tcPr>
            <w:tcW w:w="114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c>
          <w:tcPr>
            <w:tcW w:w="36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2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One Williams Center, Tulsa, Oklahoma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74172</w:t>
            </w:r>
          </w:p>
        </w:tc>
        <w:tc>
          <w:tcPr>
            <w:tcW w:w="36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800-945-5426 (800-WILLIAMS)</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2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2800 Post Oak Boulevard, Houston, Texas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77056</w:t>
            </w:r>
          </w:p>
        </w:tc>
        <w:tc>
          <w:tcPr>
            <w:tcW w:w="36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713-215-2000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2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One Williams Center, Tulsa, Oklahoma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74172</w:t>
            </w:r>
          </w:p>
        </w:tc>
        <w:tc>
          <w:tcPr>
            <w:tcW w:w="36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800-945-5426</w:t>
            </w:r>
          </w:p>
        </w:tc>
      </w:tr>
    </w:tbl>
    <w:p>
      <w:pPr>
        <w:pStyle w:val="TextBody"/>
        <w:bidi w:val="0"/>
        <w:spacing w:lineRule="auto" w:line="288" w:before="200" w:after="283"/>
        <w:jc w:val="center"/>
        <w:rPr>
          <w:rFonts w:ascii="Times New Roman;serif" w:hAnsi="Times New Roman;serif"/>
          <w:b w:val="false"/>
          <w:color w:val="000000"/>
          <w:sz w:val="22"/>
        </w:rPr>
      </w:pPr>
      <w:r>
        <w:rPr>
          <w:rFonts w:ascii="Times New Roman;serif" w:hAnsi="Times New Roman;serif"/>
          <w:b w:val="false"/>
          <w:color w:val="000000"/>
          <w:sz w:val="22"/>
        </w:rPr>
        <w:t>NO CHANGE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(Former name, former address and former fiscal year, if changed since last report)</w:t>
      </w:r>
    </w:p>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193"/>
        <w:gridCol w:w="1027"/>
        <w:gridCol w:w="1035"/>
        <w:gridCol w:w="763"/>
        <w:gridCol w:w="744"/>
        <w:gridCol w:w="749"/>
        <w:gridCol w:w="466"/>
        <w:gridCol w:w="466"/>
        <w:gridCol w:w="468"/>
        <w:gridCol w:w="962"/>
        <w:gridCol w:w="962"/>
        <w:gridCol w:w="1370"/>
      </w:tblGrid>
      <w:tr>
        <w:trPr/>
        <w:tc>
          <w:tcPr>
            <w:tcW w:w="11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$1.00 par value</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WMB</w:t>
            </w:r>
          </w:p>
        </w:tc>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22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3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22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3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r>
    </w:tbl>
    <w:p>
      <w:pPr>
        <w:pStyle w:val="TextBody"/>
        <w:bidi w:val="0"/>
        <w:spacing w:lineRule="auto" w:line="288" w:before="100" w:after="283"/>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4791" w:type="dxa"/>
        <w:jc w:val="left"/>
        <w:tblInd w:w="0" w:type="dxa"/>
        <w:tblLayout w:type="fixed"/>
        <w:tblCellMar>
          <w:top w:w="28" w:type="dxa"/>
          <w:left w:w="28" w:type="dxa"/>
          <w:bottom w:w="28" w:type="dxa"/>
          <w:right w:w="28" w:type="dxa"/>
        </w:tblCellMar>
      </w:tblPr>
      <w:tblGrid>
        <w:gridCol w:w="1232"/>
        <w:gridCol w:w="1082"/>
        <w:gridCol w:w="1090"/>
        <w:gridCol w:w="120"/>
        <w:gridCol w:w="120"/>
        <w:gridCol w:w="121"/>
        <w:gridCol w:w="109"/>
        <w:gridCol w:w="109"/>
        <w:gridCol w:w="109"/>
        <w:gridCol w:w="109"/>
        <w:gridCol w:w="109"/>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91" w:type="dxa"/>
        <w:jc w:val="left"/>
        <w:tblInd w:w="0" w:type="dxa"/>
        <w:tblLayout w:type="fixed"/>
        <w:tblCellMar>
          <w:top w:w="28" w:type="dxa"/>
          <w:left w:w="28" w:type="dxa"/>
          <w:bottom w:w="28" w:type="dxa"/>
          <w:right w:w="28" w:type="dxa"/>
        </w:tblCellMar>
      </w:tblPr>
      <w:tblGrid>
        <w:gridCol w:w="1232"/>
        <w:gridCol w:w="1082"/>
        <w:gridCol w:w="1090"/>
        <w:gridCol w:w="120"/>
        <w:gridCol w:w="120"/>
        <w:gridCol w:w="121"/>
        <w:gridCol w:w="109"/>
        <w:gridCol w:w="109"/>
        <w:gridCol w:w="109"/>
        <w:gridCol w:w="109"/>
        <w:gridCol w:w="109"/>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16"/>
        <w:gridCol w:w="488"/>
        <w:gridCol w:w="492"/>
        <w:gridCol w:w="353"/>
        <w:gridCol w:w="353"/>
        <w:gridCol w:w="354"/>
        <w:gridCol w:w="109"/>
        <w:gridCol w:w="109"/>
        <w:gridCol w:w="109"/>
        <w:gridCol w:w="415"/>
        <w:gridCol w:w="415"/>
        <w:gridCol w:w="416"/>
        <w:gridCol w:w="109"/>
        <w:gridCol w:w="109"/>
        <w:gridCol w:w="109"/>
        <w:gridCol w:w="436"/>
        <w:gridCol w:w="436"/>
        <w:gridCol w:w="437"/>
        <w:gridCol w:w="109"/>
        <w:gridCol w:w="109"/>
        <w:gridCol w:w="109"/>
        <w:gridCol w:w="670"/>
        <w:gridCol w:w="670"/>
        <w:gridCol w:w="671"/>
        <w:gridCol w:w="109"/>
        <w:gridCol w:w="109"/>
        <w:gridCol w:w="109"/>
        <w:gridCol w:w="365"/>
        <w:gridCol w:w="365"/>
        <w:gridCol w:w="366"/>
        <w:gridCol w:w="109"/>
        <w:gridCol w:w="109"/>
        <w:gridCol w:w="161"/>
      </w:tblGrid>
      <w:tr>
        <w:trPr/>
        <w:tc>
          <w:tcPr>
            <w:tcW w:w="8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776" w:type="dxa"/>
        <w:jc w:val="left"/>
        <w:tblInd w:w="0" w:type="dxa"/>
        <w:tblLayout w:type="fixed"/>
        <w:tblCellMar>
          <w:top w:w="28" w:type="dxa"/>
          <w:left w:w="28" w:type="dxa"/>
          <w:bottom w:w="28" w:type="dxa"/>
          <w:right w:w="28" w:type="dxa"/>
        </w:tblCellMar>
      </w:tblPr>
      <w:tblGrid>
        <w:gridCol w:w="1232"/>
        <w:gridCol w:w="1082"/>
        <w:gridCol w:w="1090"/>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tbl>
      <w:tblPr>
        <w:tblW w:w="4791" w:type="dxa"/>
        <w:jc w:val="left"/>
        <w:tblInd w:w="0" w:type="dxa"/>
        <w:tblLayout w:type="fixed"/>
        <w:tblCellMar>
          <w:top w:w="28" w:type="dxa"/>
          <w:left w:w="28" w:type="dxa"/>
          <w:bottom w:w="28" w:type="dxa"/>
          <w:right w:w="28" w:type="dxa"/>
        </w:tblCellMar>
      </w:tblPr>
      <w:tblGrid>
        <w:gridCol w:w="1232"/>
        <w:gridCol w:w="1082"/>
        <w:gridCol w:w="1090"/>
        <w:gridCol w:w="120"/>
        <w:gridCol w:w="120"/>
        <w:gridCol w:w="121"/>
        <w:gridCol w:w="109"/>
        <w:gridCol w:w="109"/>
        <w:gridCol w:w="109"/>
        <w:gridCol w:w="109"/>
        <w:gridCol w:w="109"/>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225"/>
        <w:jc w:val="both"/>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4633" w:type="dxa"/>
        <w:jc w:val="left"/>
        <w:tblInd w:w="0" w:type="dxa"/>
        <w:tblLayout w:type="fixed"/>
        <w:tblCellMar>
          <w:top w:w="28" w:type="dxa"/>
          <w:left w:w="28" w:type="dxa"/>
          <w:bottom w:w="28" w:type="dxa"/>
          <w:right w:w="28" w:type="dxa"/>
        </w:tblCellMar>
      </w:tblPr>
      <w:tblGrid>
        <w:gridCol w:w="1232"/>
        <w:gridCol w:w="1082"/>
        <w:gridCol w:w="1090"/>
        <w:gridCol w:w="358"/>
        <w:gridCol w:w="358"/>
        <w:gridCol w:w="513"/>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30, 2026</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Williams Companies, Inc.</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1,222,998,265</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Transcontinental Gas Pipe Line Company, LLC</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Northwest Pipeline LLC</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Both Transcontinental Gas Pipe Line Company, LLC and Northwest Pipeline LLC meet the conditions set forth in General Instructions H(1)(a) and (b) of Form 10</w:t>
        <w:noBreakHyphen/>
        <w:t>Q and are therefore filing this Form 10</w:t>
        <w:noBreakHyphen/>
        <w:t>Q with the reduced disclosure format specified in General Instructions H(2)(a), (b), and (c) of Form 10</w:t>
        <w:noBreakHyphen/>
        <w:t>Q.</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This combined Form 10</w:t>
        <w:noBreakHyphen/>
        <w:t>Q is separately filed by The Williams Companies, Inc., Transcontinental Gas Pipe Line Company, LLC, and Northwest Pipeline LLC. Information contained herein relating to any individual registrant is filed by such registrant on its own behalf. Each registrant makes no representation as to information relating to the other registrants.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3118"/>
        <w:gridCol w:w="2746"/>
        <w:gridCol w:w="2760"/>
        <w:gridCol w:w="109"/>
        <w:gridCol w:w="109"/>
        <w:gridCol w:w="109"/>
        <w:gridCol w:w="167"/>
        <w:gridCol w:w="167"/>
        <w:gridCol w:w="237"/>
      </w:tblGrid>
      <w:tr>
        <w:trPr/>
        <w:tc>
          <w:tcPr>
            <w:tcW w:w="311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91">
              <w:r>
                <w:rPr>
                  <w:rStyle w:val="InternetLink"/>
                  <w:rFonts w:ascii="Times New Roman;serif" w:hAnsi="Times New Roman;serif"/>
                  <w:b w:val="false"/>
                  <w:color w:val="0000FF"/>
                  <w:sz w:val="19"/>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bd7035a7cd84f278d78b92579794295_277">
              <w:r>
                <w:rPr>
                  <w:rStyle w:val="InternetLink"/>
                  <w:rFonts w:ascii="Times New Roman;serif" w:hAnsi="Times New Roman;serif"/>
                  <w:b w:val="false"/>
                  <w:color w:val="0000FF"/>
                  <w:sz w:val="20"/>
                  <w:u w:val="single"/>
                </w:rPr>
                <w:t>8</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277">
              <w:r>
                <w:rPr>
                  <w:rStyle w:val="InternetLink"/>
                  <w:rFonts w:ascii="Times New Roman;serif" w:hAnsi="Times New Roman;serif"/>
                  <w:b w:val="false"/>
                  <w:color w:val="0000FF"/>
                  <w:sz w:val="19"/>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77">
              <w:r>
                <w:rPr>
                  <w:rStyle w:val="InternetLink"/>
                  <w:rFonts w:ascii="Times New Roman;serif" w:hAnsi="Times New Roman;serif"/>
                  <w:b w:val="false"/>
                  <w:color w:val="0000FF"/>
                  <w:sz w:val="20"/>
                  <w:u w:val="single"/>
                </w:rPr>
                <w:t>8</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109">
              <w:r>
                <w:rPr>
                  <w:rStyle w:val="InternetLink"/>
                  <w:rFonts w:ascii="Times New Roman;serif" w:hAnsi="Times New Roman;serif"/>
                  <w:b w:val="false"/>
                  <w:color w:val="0000FF"/>
                  <w:sz w:val="19"/>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109">
              <w:r>
                <w:rPr>
                  <w:rStyle w:val="InternetLink"/>
                  <w:rFonts w:ascii="Times New Roman;serif" w:hAnsi="Times New Roman;serif"/>
                  <w:b w:val="false"/>
                  <w:color w:val="0000FF"/>
                  <w:sz w:val="19"/>
                  <w:u w:val="single"/>
                </w:rPr>
                <w:t>44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253">
              <w:r>
                <w:rPr>
                  <w:rStyle w:val="InternetLink"/>
                  <w:rFonts w:ascii="Times New Roman;serif" w:hAnsi="Times New Roman;serif"/>
                  <w:b w:val="false"/>
                  <w:color w:val="0000FF"/>
                  <w:sz w:val="19"/>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53">
              <w:r>
                <w:rPr>
                  <w:rStyle w:val="InternetLink"/>
                  <w:rFonts w:ascii="Times New Roman;serif" w:hAnsi="Times New Roman;serif"/>
                  <w:b w:val="false"/>
                  <w:color w:val="0000FF"/>
                  <w:sz w:val="19"/>
                  <w:u w:val="single"/>
                </w:rPr>
                <w:t>63</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595">
              <w:r>
                <w:rPr>
                  <w:rStyle w:val="InternetLink"/>
                  <w:rFonts w:ascii="Times New Roman;serif" w:hAnsi="Times New Roman;serif"/>
                  <w:b w:val="false"/>
                  <w:color w:val="0000FF"/>
                  <w:sz w:val="19"/>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595">
              <w:r>
                <w:rPr>
                  <w:rStyle w:val="InternetLink"/>
                  <w:rFonts w:ascii="Times New Roman;serif" w:hAnsi="Times New Roman;serif"/>
                  <w:b w:val="false"/>
                  <w:color w:val="0000FF"/>
                  <w:sz w:val="19"/>
                  <w:u w:val="single"/>
                </w:rPr>
                <w:t>64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655">
              <w:r>
                <w:rPr>
                  <w:rStyle w:val="InternetLink"/>
                  <w:rFonts w:ascii="Times New Roman;serif" w:hAnsi="Times New Roman;serif"/>
                  <w:b w:val="false"/>
                  <w:color w:val="0000FF"/>
                  <w:sz w:val="19"/>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655">
              <w:r>
                <w:rPr>
                  <w:rStyle w:val="InternetLink"/>
                  <w:rFonts w:ascii="Times New Roman;serif" w:hAnsi="Times New Roman;serif"/>
                  <w:b w:val="false"/>
                  <w:color w:val="0000FF"/>
                  <w:sz w:val="19"/>
                  <w:u w:val="single"/>
                </w:rPr>
                <w:t>66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82">
              <w:r>
                <w:rPr>
                  <w:rStyle w:val="InternetLink"/>
                  <w:rFonts w:ascii="Times New Roman;serif" w:hAnsi="Times New Roman;serif"/>
                  <w:b w:val="false"/>
                  <w:color w:val="0000FF"/>
                  <w:sz w:val="19"/>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82">
              <w:r>
                <w:rPr>
                  <w:rStyle w:val="InternetLink"/>
                  <w:rFonts w:ascii="Times New Roman;serif" w:hAnsi="Times New Roman;serif"/>
                  <w:b w:val="false"/>
                  <w:color w:val="0000FF"/>
                  <w:sz w:val="19"/>
                  <w:u w:val="single"/>
                </w:rPr>
                <w:t>66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658">
              <w:r>
                <w:rPr>
                  <w:rStyle w:val="InternetLink"/>
                  <w:rFonts w:ascii="Times New Roman;serif" w:hAnsi="Times New Roman;serif"/>
                  <w:b w:val="false"/>
                  <w:color w:val="0000FF"/>
                  <w:sz w:val="19"/>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658">
              <w:r>
                <w:rPr>
                  <w:rStyle w:val="InternetLink"/>
                  <w:rFonts w:ascii="Times New Roman;serif" w:hAnsi="Times New Roman;serif"/>
                  <w:b w:val="false"/>
                  <w:color w:val="0000FF"/>
                  <w:sz w:val="19"/>
                  <w:u w:val="single"/>
                </w:rPr>
                <w:t>66</w:t>
              </w:r>
            </w:hyperlink>
          </w:p>
        </w:tc>
      </w:tr>
      <w:tr>
        <w:trPr/>
        <w:tc>
          <w:tcPr>
            <w:tcW w:w="8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d7035a7cd84f278d78b92579794295_94">
              <w:r>
                <w:rPr>
                  <w:rStyle w:val="InternetLink"/>
                  <w:rFonts w:ascii="Times New Roman;serif" w:hAnsi="Times New Roman;serif"/>
                  <w:b w:val="false"/>
                  <w:color w:val="0000FF"/>
                  <w:sz w:val="19"/>
                  <w:u w:val="single"/>
                </w:rPr>
                <w:t>Item 2. Unregistered Sales of Equity Securities, Use of Proceeds,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94">
              <w:r>
                <w:rPr>
                  <w:rStyle w:val="InternetLink"/>
                  <w:rFonts w:ascii="Times New Roman;serif" w:hAnsi="Times New Roman;serif"/>
                  <w:b w:val="false"/>
                  <w:color w:val="0000FF"/>
                  <w:sz w:val="19"/>
                  <w:u w:val="single"/>
                </w:rPr>
                <w:t>66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601">
              <w:r>
                <w:rPr>
                  <w:rStyle w:val="InternetLink"/>
                  <w:rFonts w:ascii="Times New Roman;serif" w:hAnsi="Times New Roman;serif"/>
                  <w:b w:val="false"/>
                  <w:color w:val="0000FF"/>
                  <w:sz w:val="19"/>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601">
              <w:r>
                <w:rPr>
                  <w:rStyle w:val="InternetLink"/>
                  <w:rFonts w:ascii="Times New Roman;serif" w:hAnsi="Times New Roman;serif"/>
                  <w:b w:val="false"/>
                  <w:color w:val="0000FF"/>
                  <w:sz w:val="19"/>
                  <w:u w:val="single"/>
                </w:rPr>
                <w:t>67</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661">
              <w:r>
                <w:rPr>
                  <w:rStyle w:val="InternetLink"/>
                  <w:rFonts w:ascii="Times New Roman;serif" w:hAnsi="Times New Roman;serif"/>
                  <w:b w:val="false"/>
                  <w:color w:val="0000FF"/>
                  <w:sz w:val="19"/>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661">
              <w:r>
                <w:rPr>
                  <w:rStyle w:val="InternetLink"/>
                  <w:rFonts w:ascii="Times New Roman;serif" w:hAnsi="Times New Roman;serif"/>
                  <w:b w:val="false"/>
                  <w:color w:val="0000FF"/>
                  <w:sz w:val="19"/>
                  <w:u w:val="single"/>
                </w:rPr>
                <w:t>68</w:t>
              </w:r>
            </w:hyperlink>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reports, filings, and other public announcements of Williams, Transco, and NWP may contain or incorporate by reference statements that do not directly or exclusively relate to historical facts. Such statements are “forward-looking statements” within the meaning of Section 27A of the Securities Act and Section 21E of the Exchange Act. These forward-looking statements relate to anticipated financial performance, management’s plans and objectives for future operations, business prospects, outcomes of regulatory proceedings, market conditions, and other matters. Williams, Transco, and NWP make these forward-looking statements in reliance on the safe harbor protections provided under the Private Securities Litigation Reform Act of 1995, as applicable.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facts, included in this report that address activities, events, or developments that Williams, Transco, and NWP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Levels of dividends to Williams’ stockholders;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Future credit ratings of Transco, NWP, and Williams and its affiliates;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Amounts and nature of future capital expenditures;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Expansion and growth of business and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Expected in-service dates for capital projects;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Financial condition and liquidity;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Business strategy;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Cash flow from operations or results of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Rate case filings;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Seasonality of certain business components;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Natural gas, natural gas liquids, and crude oil prices, supply, and demand;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Demand for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numerous assumptions, uncertainties, and risks that could cause future events or results to be materially different from those stated or implied in this report. Many of the factors that will determine these results are beyond Williams’, Transco’s, and NWP’s ability to control or predict. Specific factors that could cause actual results to differ from results contemplated by the forward-looking statements include, among others,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Availability of supplies, market demand, and volatility of prices;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Development and rate of adoption of alternative energy sources;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existing and future laws and regulations, the regulatory environment, environmental matters, and litigation, as well as the ability and the ability of other energy companies with whom Williams, Transco, and NWP conduct or seek to conduct business, to obtain necessary permits and approvals, and the ability to achieve favorable rate proceeding outcomes;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Exposure to the credit risk of customers and counterparties;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Williams’ ability to acquire new businesses and assets and successfully integrate those operations and assets into existing businesses as well as successfully expand facilities and consummate asset sales on acceptable terms;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ability to successfully identify, evaluate, and timely execute on capital projects and investment opportunities;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strength and financial resources of competitors and the effects of competition;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amount of cash distributions from and capital requirements of Williams’ investments and joint ventures in which Williams participates;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ability of Williams to effectively execute on its financing plan;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Increasing scrutiny and changing expectations from stakeholders with respect to environmental, social, and governance practices;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physical and financial risks associated with climate change;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impacts of operational and developmental hazards and unforeseen interruptions;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risks resulting from outbreaks or other public health crises;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Risks associated with weather and natural phenomena, including climate conditions and physical damage to facilities;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Acts of terrorism, cybersecurity incidents, and related disruptions;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Williams’ costs and funding obligations for defined benefit pension plans and other postretirement benefit plans, and Transco’s and NWP’s allocations regarding the same;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maintenance and construction costs, as well as the ability to obtain sufficient construction- related inputs, including skilled labor;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 interest rates, tariffs on foreign-made materials and goods (including steel and steel pipes) necessary to conduct business, and general economic conditions (including future disruptions and volatility in the global credit markets and the impact of these events on customers and suppliers);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Risks related to financing, including restrictions stemming from debt agreements, future changes in credit ratings as determined by nationally recognized credit rating agencies, and the availability and cost of capital;</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ability of the members of the Organization of Petroleum Exporting Countries (OPEC) and other oil exporting nations to agree to and maintain oil price and production controls and the impact on domestic production;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Changes in the current geopolitical situation;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U.S. governmental administration and policies;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Whether Williams is able to pay current and expected levels of dividends;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Additional risks described in Williams’, Transco’s, and NWP’s SEC filings.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uncertainties and risk factors that could cause Williams’, Transco’s, and NWP’s actual results to differ materially from those contained in any forward-looking statement, Williams, Transco, and NWP caution investors not to unduly rely on these forward-looking statements. Williams, Transco, and NWP disclaim any obligations to, and do not intend to, update the above list or announce publicly the result of any revisions to any of the forward-looking statements to reflect future events or developments.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causing actual results to differ, the factors listed above and referred to below may cause Williams’, Transco’s, and NWP’s intentions to change from those statements of intention set forth in this report. Such changes in intentions may also cause results to differ. Williams, Transco, and NWP may change intentions, at any time and without notice, based upon changes in such factors, assumptions, or otherwise.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involve risks and uncertainties, Williams, Transco, and NWP caution that there are important factors, in addition to those listed above, that may cause actual results to differ materially from those contained in the forward-looking statements. For a detailed discussion of those factors, see Part I, Item 1A. Risk Factors in the Annual Report on Form 10-K for the year ended December 31, 2025, as filed with the SEC on February 24, 2026, as may be supplemented by disclosures in Part II, Item 1A. Risk Factors in subsequent Quarterly Reports on Form 10</w:t>
        <w:noBreakHyphen/>
        <w:t xml:space="preserve">Q. </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listing of certain abbreviations, acronyms, and other industry terminology that may be used throughout this Form 10-Q. </w:t>
      </w:r>
    </w:p>
    <w:p>
      <w:pPr>
        <w:pStyle w:val="TextBody"/>
        <w:bidi w:val="0"/>
        <w:spacing w:lineRule="auto" w:line="288" w:before="240" w:after="283"/>
        <w:jc w:val="both"/>
        <w:rPr/>
      </w:pPr>
      <w:r>
        <w:rPr>
          <w:rFonts w:ascii="Times New Roman;serif" w:hAnsi="Times New Roman;serif"/>
          <w:b w:val="false"/>
          <w:color w:val="000000"/>
          <w:sz w:val="20"/>
          <w:u w:val="single"/>
        </w:rPr>
        <w:t>Measurements</w:t>
      </w:r>
      <w:r>
        <w:rPr>
          <w:rFonts w:ascii="Times New Roman;serif" w:hAnsi="Times New Roman;serif"/>
          <w:b w:val="false"/>
          <w:color w:val="000000"/>
          <w:sz w:val="20"/>
        </w:rPr>
        <w: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Barrel or Bbl</w:t>
      </w:r>
      <w:r>
        <w:rPr>
          <w:rFonts w:ascii="Times New Roman;serif" w:hAnsi="Times New Roman;serif"/>
          <w:b w:val="false"/>
          <w:color w:val="000000"/>
          <w:sz w:val="20"/>
        </w:rPr>
        <w:t>: One barrel of petroleum products that equals 42 U.S. gallons</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Mbbls/d</w:t>
      </w:r>
      <w:r>
        <w:rPr>
          <w:rFonts w:ascii="Times New Roman;serif" w:hAnsi="Times New Roman;serif"/>
          <w:b w:val="false"/>
          <w:color w:val="000000"/>
          <w:sz w:val="20"/>
        </w:rPr>
        <w:t>: One thousand barrels per day</w:t>
      </w:r>
    </w:p>
    <w:p>
      <w:pPr>
        <w:pStyle w:val="TextBody"/>
        <w:bidi w:val="0"/>
        <w:spacing w:lineRule="auto" w:line="288" w:before="260" w:after="283"/>
        <w:ind w:left="0" w:right="0" w:firstLine="360"/>
        <w:jc w:val="both"/>
        <w:rPr/>
      </w:pPr>
      <w:r>
        <w:rPr>
          <w:rFonts w:ascii="Times New Roman;serif" w:hAnsi="Times New Roman;serif"/>
          <w:b w:val="false"/>
          <w:i/>
          <w:color w:val="000000"/>
          <w:sz w:val="20"/>
        </w:rPr>
        <w:t>Bcf</w:t>
      </w:r>
      <w:r>
        <w:rPr>
          <w:color w:val="000000"/>
        </w:rPr>
        <w:t xml:space="preserve"> </w:t>
      </w:r>
      <w:r>
        <w:rPr>
          <w:rFonts w:ascii="Times New Roman;serif" w:hAnsi="Times New Roman;serif"/>
          <w:b w:val="false"/>
          <w:color w:val="000000"/>
          <w:sz w:val="20"/>
        </w:rPr>
        <w:t>: One billion cubic feet of natural gas</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Bcf/d</w:t>
      </w:r>
      <w:r>
        <w:rPr>
          <w:rFonts w:ascii="Times New Roman;serif" w:hAnsi="Times New Roman;serif"/>
          <w:b w:val="false"/>
          <w:color w:val="000000"/>
          <w:sz w:val="20"/>
        </w:rPr>
        <w:t>: One billion cubic feet of natural gas per day</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MMcf/d</w:t>
      </w:r>
      <w:r>
        <w:rPr>
          <w:rFonts w:ascii="Times New Roman;serif" w:hAnsi="Times New Roman;serif"/>
          <w:b w:val="false"/>
          <w:color w:val="000000"/>
          <w:sz w:val="20"/>
        </w:rPr>
        <w:t>: One million cubic feet of natural gas per day</w:t>
      </w:r>
    </w:p>
    <w:p>
      <w:pPr>
        <w:pStyle w:val="TextBody"/>
        <w:bidi w:val="0"/>
        <w:spacing w:lineRule="auto" w:line="288" w:before="260" w:after="283"/>
        <w:ind w:left="0" w:right="0" w:hanging="360"/>
        <w:jc w:val="both"/>
        <w:rPr/>
      </w:pPr>
      <w:r>
        <w:rPr>
          <w:rFonts w:ascii="Times New Roman;serif" w:hAnsi="Times New Roman;serif"/>
          <w:b w:val="false"/>
          <w:i/>
          <w:color w:val="000000"/>
          <w:sz w:val="20"/>
        </w:rPr>
        <w:t>British Thermal Unit (Btu)</w:t>
      </w:r>
      <w:r>
        <w:rPr>
          <w:rFonts w:ascii="Times New Roman;serif" w:hAnsi="Times New Roman;serif"/>
          <w:b w:val="false"/>
          <w:color w:val="000000"/>
          <w:sz w:val="20"/>
        </w:rPr>
        <w:t>: A unit of energy needed to raise the temperature of one pound of water by one degree Fahrenheit</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 xml:space="preserve">MMBtu: </w:t>
      </w:r>
      <w:r>
        <w:rPr>
          <w:rFonts w:ascii="Times New Roman;serif" w:hAnsi="Times New Roman;serif"/>
          <w:b w:val="false"/>
          <w:color w:val="000000"/>
          <w:sz w:val="20"/>
        </w:rPr>
        <w:t>One million British thermal units</w:t>
      </w:r>
    </w:p>
    <w:p>
      <w:pPr>
        <w:pStyle w:val="TextBody"/>
        <w:bidi w:val="0"/>
        <w:spacing w:lineRule="auto" w:line="288" w:before="40" w:after="283"/>
        <w:ind w:left="0" w:right="0" w:hanging="360"/>
        <w:jc w:val="left"/>
        <w:rPr/>
      </w:pPr>
      <w:r>
        <w:rPr>
          <w:rFonts w:ascii="Times New Roman;serif" w:hAnsi="Times New Roman;serif"/>
          <w:b w:val="false"/>
          <w:i/>
          <w:color w:val="000000"/>
          <w:sz w:val="20"/>
        </w:rPr>
        <w:t>Megawatt or MW:</w:t>
      </w:r>
      <w:r>
        <w:rPr>
          <w:color w:val="000000"/>
        </w:rPr>
        <w:t xml:space="preserve"> </w:t>
      </w:r>
      <w:r>
        <w:rPr>
          <w:rFonts w:ascii="Times New Roman;serif" w:hAnsi="Times New Roman;serif"/>
          <w:b w:val="false"/>
          <w:color w:val="000000"/>
          <w:sz w:val="20"/>
        </w:rPr>
        <w:t xml:space="preserve">A unit of power equal to one million watts of Independent System Operator </w:t>
      </w:r>
      <w:r>
        <w:rPr>
          <w:rFonts w:ascii="Times New Roman;serif" w:hAnsi="Times New Roman;serif"/>
          <w:b/>
          <w:color w:val="000000"/>
          <w:sz w:val="22"/>
        </w:rPr>
        <w:t>(</w:t>
      </w:r>
      <w:r>
        <w:rPr>
          <w:rFonts w:ascii="Times New Roman;serif" w:hAnsi="Times New Roman;serif"/>
          <w:b w:val="false"/>
          <w:color w:val="000000"/>
          <w:sz w:val="20"/>
        </w:rPr>
        <w:t>ISO) electricity generating capacity, excluding battery energy storage systems</w:t>
      </w:r>
    </w:p>
    <w:p>
      <w:pPr>
        <w:pStyle w:val="TextBody"/>
        <w:bidi w:val="0"/>
        <w:spacing w:lineRule="auto" w:line="288" w:before="260" w:after="283"/>
        <w:ind w:left="0" w:right="0" w:firstLine="360"/>
        <w:jc w:val="both"/>
        <w:rPr/>
      </w:pPr>
      <w:r>
        <w:rPr>
          <w:rFonts w:ascii="Times New Roman;serif" w:hAnsi="Times New Roman;serif"/>
          <w:b w:val="false"/>
          <w:i/>
          <w:color w:val="000000"/>
          <w:sz w:val="20"/>
        </w:rPr>
        <w:t>Dekatherms (Dth)</w:t>
      </w:r>
      <w:r>
        <w:rPr>
          <w:rFonts w:ascii="Times New Roman;serif" w:hAnsi="Times New Roman;serif"/>
          <w:b w:val="false"/>
          <w:color w:val="000000"/>
          <w:sz w:val="20"/>
        </w:rPr>
        <w:t>: A unit of energy equal to one million British thermal units</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Mdth/d</w:t>
      </w:r>
      <w:r>
        <w:rPr>
          <w:rFonts w:ascii="Times New Roman;serif" w:hAnsi="Times New Roman;serif"/>
          <w:b w:val="false"/>
          <w:color w:val="000000"/>
          <w:sz w:val="20"/>
        </w:rPr>
        <w:t>: One thousand dekatherms per day</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MMdth</w:t>
      </w:r>
      <w:r>
        <w:rPr>
          <w:rFonts w:ascii="Times New Roman;serif" w:hAnsi="Times New Roman;serif"/>
          <w:b w:val="false"/>
          <w:color w:val="000000"/>
          <w:sz w:val="20"/>
        </w:rPr>
        <w:t>: One million dekatherms or approximately one trillion British thermal units</w:t>
      </w:r>
    </w:p>
    <w:p>
      <w:pPr>
        <w:pStyle w:val="TextBody"/>
        <w:bidi w:val="0"/>
        <w:spacing w:lineRule="auto" w:line="288" w:before="40" w:after="283"/>
        <w:ind w:left="0" w:right="0" w:firstLine="360"/>
        <w:jc w:val="both"/>
        <w:rPr/>
      </w:pPr>
      <w:r>
        <w:rPr>
          <w:rFonts w:ascii="Times New Roman;serif" w:hAnsi="Times New Roman;serif"/>
          <w:b w:val="false"/>
          <w:i/>
          <w:color w:val="000000"/>
          <w:sz w:val="20"/>
        </w:rPr>
        <w:t>MMdth/d</w:t>
      </w:r>
      <w:r>
        <w:rPr>
          <w:rFonts w:ascii="Times New Roman;serif" w:hAnsi="Times New Roman;serif"/>
          <w:b w:val="false"/>
          <w:color w:val="000000"/>
          <w:sz w:val="20"/>
        </w:rPr>
        <w:t xml:space="preserve">: One million dekatherms per day </w:t>
      </w:r>
    </w:p>
    <w:p>
      <w:pPr>
        <w:pStyle w:val="TextBody"/>
        <w:bidi w:val="0"/>
        <w:spacing w:lineRule="auto" w:line="288" w:before="240" w:after="283"/>
        <w:jc w:val="both"/>
        <w:rPr/>
      </w:pPr>
      <w:r>
        <w:rPr>
          <w:rFonts w:ascii="Times New Roman;serif" w:hAnsi="Times New Roman;serif"/>
          <w:b w:val="false"/>
          <w:color w:val="000000"/>
          <w:sz w:val="20"/>
          <w:u w:val="single"/>
        </w:rPr>
        <w:t>Government and Regulatory:</w:t>
      </w:r>
      <w:r>
        <w:rPr>
          <w:color w:val="000000"/>
        </w:rPr>
        <w:t xml:space="preserve">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EPA: </w:t>
      </w:r>
      <w:r>
        <w:rPr>
          <w:rFonts w:ascii="Times New Roman;serif" w:hAnsi="Times New Roman;serif"/>
          <w:b w:val="false"/>
          <w:color w:val="000000"/>
          <w:sz w:val="20"/>
        </w:rPr>
        <w:t>Environmental Protection Agency</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Exchange Act, the: </w:t>
      </w:r>
      <w:r>
        <w:rPr>
          <w:rFonts w:ascii="Times New Roman;serif" w:hAnsi="Times New Roman;serif"/>
          <w:b w:val="false"/>
          <w:color w:val="000000"/>
          <w:sz w:val="20"/>
        </w:rPr>
        <w:t>Securities and Exchange Act of 1934, as amended</w:t>
      </w:r>
      <w:r>
        <w:rPr>
          <w:color w:val="000000"/>
        </w:rPr>
        <w:t xml:space="preserve">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FERC: </w:t>
      </w:r>
      <w:r>
        <w:rPr>
          <w:rFonts w:ascii="Times New Roman;serif" w:hAnsi="Times New Roman;serif"/>
          <w:b w:val="false"/>
          <w:color w:val="000000"/>
          <w:sz w:val="20"/>
        </w:rPr>
        <w:t>Federal Energy Regulatory Commission</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SEC: </w:t>
      </w:r>
      <w:r>
        <w:rPr>
          <w:rFonts w:ascii="Times New Roman;serif" w:hAnsi="Times New Roman;serif"/>
          <w:b w:val="false"/>
          <w:color w:val="000000"/>
          <w:sz w:val="20"/>
        </w:rPr>
        <w:t>Securities and Exchange Commission</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Securities Act, the: </w:t>
      </w:r>
      <w:r>
        <w:rPr>
          <w:rFonts w:ascii="Times New Roman;serif" w:hAnsi="Times New Roman;serif"/>
          <w:b w:val="false"/>
          <w:color w:val="000000"/>
          <w:sz w:val="20"/>
        </w:rPr>
        <w:t>Securities Act of 1933, as amended</w:t>
      </w:r>
    </w:p>
    <w:p>
      <w:pPr>
        <w:pStyle w:val="TextBody"/>
        <w:bidi w:val="0"/>
        <w:spacing w:lineRule="auto" w:line="288" w:before="240" w:after="283"/>
        <w:jc w:val="both"/>
        <w:rPr/>
      </w:pPr>
      <w:r>
        <w:rPr>
          <w:rFonts w:ascii="Times New Roman;serif" w:hAnsi="Times New Roman;serif"/>
          <w:b w:val="false"/>
          <w:color w:val="000000"/>
          <w:sz w:val="20"/>
          <w:u w:val="single"/>
        </w:rPr>
        <w:t>Other</w:t>
      </w:r>
      <w:r>
        <w:rPr>
          <w:rFonts w:ascii="Times New Roman;serif" w:hAnsi="Times New Roman;serif"/>
          <w:b w:val="false"/>
          <w:color w:val="000000"/>
          <w:sz w:val="20"/>
        </w:rPr>
        <w:t>:</w:t>
      </w:r>
    </w:p>
    <w:p>
      <w:pPr>
        <w:pStyle w:val="TextBody"/>
        <w:bidi w:val="0"/>
        <w:spacing w:lineRule="auto" w:line="288" w:before="180" w:after="283"/>
        <w:ind w:left="0" w:right="0" w:hanging="360"/>
        <w:jc w:val="both"/>
        <w:rPr/>
      </w:pPr>
      <w:r>
        <w:rPr>
          <w:rFonts w:ascii="Times New Roman;serif" w:hAnsi="Times New Roman;serif"/>
          <w:b w:val="false"/>
          <w:i/>
          <w:color w:val="000000"/>
          <w:sz w:val="20"/>
        </w:rPr>
        <w:t xml:space="preserve">Note: </w:t>
      </w:r>
      <w:r>
        <w:rPr>
          <w:rFonts w:ascii="Times New Roman;serif" w:hAnsi="Times New Roman;serif"/>
          <w:b w:val="false"/>
          <w:color w:val="000000"/>
          <w:sz w:val="20"/>
        </w:rPr>
        <w:t>References to numerical notes refer to the Combined Notes to Financial Statements</w:t>
      </w:r>
      <w:r>
        <w:rPr>
          <w:rFonts w:ascii="Times New Roman;serif" w:hAnsi="Times New Roman;serif"/>
          <w:b w:val="false"/>
          <w:i/>
          <w:color w:val="000000"/>
          <w:sz w:val="20"/>
        </w:rPr>
        <w:t>.</w:t>
      </w:r>
    </w:p>
    <w:p>
      <w:pPr>
        <w:pStyle w:val="TextBody"/>
        <w:bidi w:val="0"/>
        <w:spacing w:lineRule="auto" w:line="288" w:before="180" w:after="283"/>
        <w:ind w:left="0" w:right="0" w:hanging="360"/>
        <w:jc w:val="both"/>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Earnings before interest, taxes, depreciation, depletion, and amortization</w:t>
      </w:r>
    </w:p>
    <w:p>
      <w:pPr>
        <w:pStyle w:val="TextBody"/>
        <w:bidi w:val="0"/>
        <w:spacing w:lineRule="auto" w:line="288" w:before="180" w:after="283"/>
        <w:ind w:left="0" w:right="0" w:hanging="360"/>
        <w:jc w:val="both"/>
        <w:rPr/>
      </w:pPr>
      <w:r>
        <w:rPr>
          <w:rFonts w:ascii="Times New Roman;serif" w:hAnsi="Times New Roman;serif"/>
          <w:b w:val="false"/>
          <w:i/>
          <w:color w:val="000000"/>
          <w:sz w:val="20"/>
        </w:rPr>
        <w:t>Fractionation</w:t>
      </w:r>
      <w:r>
        <w:rPr>
          <w:rFonts w:ascii="Times New Roman;serif" w:hAnsi="Times New Roman;serif"/>
          <w:b w:val="false"/>
          <w:color w:val="000000"/>
          <w:sz w:val="20"/>
        </w:rPr>
        <w:t>: The process by which a mixed stream of natural gas liquids is separated into constituent products, such as ethane, propane, and butane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GAAP</w:t>
      </w:r>
      <w:r>
        <w:rPr>
          <w:rFonts w:ascii="Times New Roman;serif" w:hAnsi="Times New Roman;serif"/>
          <w:b w:val="false"/>
          <w:color w:val="000000"/>
          <w:sz w:val="20"/>
        </w:rPr>
        <w:t>: U.S. generally accepted accounting principles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LNG: </w:t>
      </w:r>
      <w:r>
        <w:rPr>
          <w:rFonts w:ascii="Times New Roman;serif" w:hAnsi="Times New Roman;serif"/>
          <w:b w:val="false"/>
          <w:color w:val="000000"/>
          <w:sz w:val="20"/>
        </w:rPr>
        <w:t>Liquefied natural gas; natural gas which has been liquefied at cryogenic temperatures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MVC:</w:t>
      </w:r>
      <w:r>
        <w:rPr>
          <w:color w:val="000000"/>
        </w:rPr>
        <w:t xml:space="preserve"> </w:t>
      </w:r>
      <w:r>
        <w:rPr>
          <w:rFonts w:ascii="Times New Roman;serif" w:hAnsi="Times New Roman;serif"/>
          <w:b w:val="false"/>
          <w:color w:val="000000"/>
          <w:sz w:val="20"/>
        </w:rPr>
        <w:t>Minimum volume commitments</w:t>
      </w:r>
    </w:p>
    <w:p>
      <w:pPr>
        <w:pStyle w:val="TextBody"/>
        <w:bidi w:val="0"/>
        <w:spacing w:lineRule="auto" w:line="288" w:before="180" w:after="283"/>
        <w:ind w:left="0" w:right="0" w:hanging="360"/>
        <w:jc w:val="both"/>
        <w:rPr/>
      </w:pPr>
      <w:r>
        <w:rPr>
          <w:rFonts w:ascii="Times New Roman;serif" w:hAnsi="Times New Roman;serif"/>
          <w:b w:val="false"/>
          <w:i/>
          <w:color w:val="000000"/>
          <w:sz w:val="20"/>
        </w:rPr>
        <w:t xml:space="preserve">NGLs: </w:t>
      </w:r>
      <w:r>
        <w:rPr>
          <w:rFonts w:ascii="Times New Roman;serif" w:hAnsi="Times New Roman;serif"/>
          <w:b w:val="false"/>
          <w:color w:val="000000"/>
          <w:sz w:val="20"/>
        </w:rPr>
        <w:t>Natural gas liquids; natural gas liquids result from natural gas processing and crude oil refining and are used as petrochemical feedstocks, heating fuels, and gasoline additives, among other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360"/>
        <w:jc w:val="both"/>
        <w:rPr/>
      </w:pPr>
      <w:r>
        <w:rPr>
          <w:rFonts w:ascii="Times New Roman;serif" w:hAnsi="Times New Roman;serif"/>
          <w:b w:val="false"/>
          <w:i/>
          <w:color w:val="000000"/>
          <w:sz w:val="20"/>
        </w:rPr>
        <w:t>Equity NGL margins</w:t>
      </w:r>
      <w:r>
        <w:rPr>
          <w:rFonts w:ascii="Times New Roman;serif" w:hAnsi="Times New Roman;serif"/>
          <w:b w:val="false"/>
          <w:color w:val="000000"/>
          <w:sz w:val="20"/>
        </w:rPr>
        <w:t>: NGL revenues less Btu replacement cost, plant fuel, transportation, and fractionation</w:t>
      </w:r>
    </w:p>
    <w:p>
      <w:pPr>
        <w:pStyle w:val="TextBody"/>
        <w:bidi w:val="0"/>
        <w:spacing w:lineRule="auto" w:line="288" w:before="180" w:after="283"/>
        <w:ind w:left="0" w:right="0" w:hanging="360"/>
        <w:jc w:val="both"/>
        <w:rPr/>
      </w:pPr>
      <w:r>
        <w:rPr>
          <w:rFonts w:ascii="Times New Roman;serif" w:hAnsi="Times New Roman;serif"/>
          <w:b w:val="false"/>
          <w:i/>
          <w:color w:val="000000"/>
          <w:sz w:val="20"/>
        </w:rPr>
        <w:t>Registrants</w:t>
      </w:r>
      <w:r>
        <w:rPr>
          <w:rFonts w:ascii="Times New Roman;serif" w:hAnsi="Times New Roman;serif"/>
          <w:b w:val="false"/>
          <w:color w:val="000000"/>
          <w:sz w:val="20"/>
        </w:rPr>
        <w:t>: The Williams Companies, Inc. (Williams), and Williams’ wholly owned subsidiaries Transcontinental Gas Pipe Line Company, LLC (Transco) and Northwest Pipeline LLC (NWP) are each individually referred to as a Registrant and collectively as the Registrants.</w:t>
      </w:r>
    </w:p>
    <w:p>
      <w:pPr>
        <w:pStyle w:val="TextBody"/>
        <w:bidi w:val="0"/>
        <w:spacing w:lineRule="auto" w:line="288" w:before="240" w:after="283"/>
        <w:ind w:left="0" w:right="0" w:hanging="360"/>
        <w:jc w:val="both"/>
        <w:rPr/>
      </w:pPr>
      <w:r>
        <w:rPr>
          <w:rFonts w:ascii="Times New Roman;serif" w:hAnsi="Times New Roman;serif"/>
          <w:b w:val="false"/>
          <w:i/>
          <w:color w:val="000000"/>
          <w:sz w:val="20"/>
        </w:rPr>
        <w:t>Appalachia Midstream Investments:</w:t>
      </w:r>
      <w:r>
        <w:rPr>
          <w:color w:val="000000"/>
        </w:rPr>
        <w:t xml:space="preserve"> </w:t>
      </w:r>
      <w:r>
        <w:rPr>
          <w:rFonts w:ascii="Times New Roman;serif" w:hAnsi="Times New Roman;serif"/>
          <w:b w:val="false"/>
          <w:color w:val="000000"/>
          <w:sz w:val="20"/>
        </w:rPr>
        <w:t>Williams’ equity-method investments with an approximate average 66 percent interest in multiple gas gathering systems in the Marcellus Shale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0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0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
        <w:jc w:val="left"/>
        <w:rPr/>
      </w:pPr>
      <w:r>
        <w:rPr/>
      </w:r>
    </w:p>
    <w:tbl>
      <w:tblPr>
        <w:tblW w:w="8940" w:type="dxa"/>
        <w:jc w:val="left"/>
        <w:tblInd w:w="0" w:type="dxa"/>
        <w:tblLayout w:type="fixed"/>
        <w:tblCellMar>
          <w:top w:w="28" w:type="dxa"/>
          <w:left w:w="28" w:type="dxa"/>
          <w:bottom w:w="28" w:type="dxa"/>
          <w:right w:w="28" w:type="dxa"/>
        </w:tblCellMar>
      </w:tblPr>
      <w:tblGrid>
        <w:gridCol w:w="3021"/>
        <w:gridCol w:w="2666"/>
        <w:gridCol w:w="2682"/>
        <w:gridCol w:w="167"/>
        <w:gridCol w:w="167"/>
        <w:gridCol w:w="237"/>
      </w:tblGrid>
      <w:tr>
        <w:trPr/>
        <w:tc>
          <w:tcPr>
            <w:tcW w:w="3021"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Williams: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289">
              <w:r>
                <w:rPr>
                  <w:rStyle w:val="InternetLink"/>
                  <w:rFonts w:ascii="Times New Roman;serif" w:hAnsi="Times New Roman;serif"/>
                  <w:b w:val="false"/>
                  <w:color w:val="0000FF"/>
                  <w:sz w:val="20"/>
                  <w:u w:val="single"/>
                </w:rPr>
                <w:t>Consolidated Statements of Comprehensive Income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89">
              <w:r>
                <w:rPr>
                  <w:rStyle w:val="InternetLink"/>
                  <w:rFonts w:ascii="Times New Roman;serif" w:hAnsi="Times New Roman;serif"/>
                  <w:b w:val="false"/>
                  <w:color w:val="0000FF"/>
                  <w:sz w:val="20"/>
                  <w:u w:val="single"/>
                </w:rPr>
                <w:t>9</w:t>
              </w:r>
            </w:hyperlink>
          </w:p>
        </w:tc>
      </w:tr>
      <w:tr>
        <w:trPr/>
        <w:tc>
          <w:tcPr>
            <w:tcW w:w="836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295">
              <w:r>
                <w:rPr>
                  <w:rStyle w:val="InternetLink"/>
                  <w:rFonts w:ascii="Times New Roman;serif" w:hAnsi="Times New Roman;serif"/>
                  <w:b w:val="false"/>
                  <w:color w:val="0000FF"/>
                  <w:sz w:val="20"/>
                  <w:u w:val="single"/>
                </w:rPr>
                <w:t>Consolidated Balance Sheets – March 31, 2026 and December 31,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95">
              <w:r>
                <w:rPr>
                  <w:rStyle w:val="InternetLink"/>
                  <w:rFonts w:ascii="Times New Roman;serif" w:hAnsi="Times New Roman;serif"/>
                  <w:b w:val="false"/>
                  <w:color w:val="0000FF"/>
                  <w:sz w:val="20"/>
                  <w:u w:val="single"/>
                </w:rPr>
                <w:t>10</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8bd7035a7cd84f278d78b92579794295_301">
              <w:r>
                <w:rPr>
                  <w:rStyle w:val="InternetLink"/>
                  <w:rFonts w:ascii="Times New Roman;serif" w:hAnsi="Times New Roman;serif"/>
                  <w:b w:val="false"/>
                  <w:color w:val="0000FF"/>
                  <w:sz w:val="20"/>
                  <w:u w:val="single"/>
                </w:rPr>
                <w:t>Consolidated Statements of Changes in Equity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01">
              <w:r>
                <w:rPr>
                  <w:rStyle w:val="InternetLink"/>
                  <w:rFonts w:ascii="Times New Roman;serif" w:hAnsi="Times New Roman;serif"/>
                  <w:b w:val="false"/>
                  <w:color w:val="0000FF"/>
                  <w:sz w:val="20"/>
                  <w:u w:val="single"/>
                </w:rPr>
                <w:t>11</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04">
              <w:r>
                <w:rPr>
                  <w:rStyle w:val="InternetLink"/>
                  <w:rFonts w:ascii="Times New Roman;serif" w:hAnsi="Times New Roman;serif"/>
                  <w:b w:val="false"/>
                  <w:color w:val="0000FF"/>
                  <w:sz w:val="20"/>
                  <w:u w:val="single"/>
                </w:rPr>
                <w:t>Consolidated Statements of Cash Flows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04">
              <w:r>
                <w:rPr>
                  <w:rStyle w:val="InternetLink"/>
                  <w:rFonts w:ascii="Times New Roman;serif" w:hAnsi="Times New Roman;serif"/>
                  <w:b w:val="false"/>
                  <w:color w:val="0000FF"/>
                  <w:sz w:val="20"/>
                  <w:u w:val="single"/>
                </w:rPr>
                <w:t>12</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Transco:</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13">
              <w:r>
                <w:rPr>
                  <w:rStyle w:val="InternetLink"/>
                  <w:rFonts w:ascii="Times New Roman;serif" w:hAnsi="Times New Roman;serif"/>
                  <w:b w:val="false"/>
                  <w:color w:val="0000FF"/>
                  <w:sz w:val="20"/>
                  <w:u w:val="single"/>
                </w:rPr>
                <w:t>Statements of Net Income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13">
              <w:r>
                <w:rPr>
                  <w:rStyle w:val="InternetLink"/>
                  <w:rFonts w:ascii="Times New Roman;serif" w:hAnsi="Times New Roman;serif"/>
                  <w:b w:val="false"/>
                  <w:color w:val="0000FF"/>
                  <w:sz w:val="20"/>
                  <w:u w:val="single"/>
                </w:rPr>
                <w:t>13</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16">
              <w:r>
                <w:rPr>
                  <w:rStyle w:val="InternetLink"/>
                  <w:rFonts w:ascii="Times New Roman;serif" w:hAnsi="Times New Roman;serif"/>
                  <w:b w:val="false"/>
                  <w:color w:val="0000FF"/>
                  <w:sz w:val="20"/>
                  <w:u w:val="single"/>
                </w:rPr>
                <w:t>Balance Sheets – March 31, 2026 and December 31,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16">
              <w:r>
                <w:rPr>
                  <w:rStyle w:val="InternetLink"/>
                  <w:rFonts w:ascii="Times New Roman;serif" w:hAnsi="Times New Roman;serif"/>
                  <w:b w:val="false"/>
                  <w:color w:val="0000FF"/>
                  <w:sz w:val="20"/>
                  <w:u w:val="single"/>
                </w:rPr>
                <w:t>14</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8bd7035a7cd84f278d78b92579794295_319">
              <w:r>
                <w:rPr>
                  <w:rStyle w:val="InternetLink"/>
                  <w:rFonts w:ascii="Times New Roman;serif" w:hAnsi="Times New Roman;serif"/>
                  <w:b w:val="false"/>
                  <w:color w:val="0000FF"/>
                  <w:sz w:val="20"/>
                  <w:u w:val="single"/>
                </w:rPr>
                <w:t>Statements of Changes in Member’s Equity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19">
              <w:r>
                <w:rPr>
                  <w:rStyle w:val="InternetLink"/>
                  <w:rFonts w:ascii="Times New Roman;serif" w:hAnsi="Times New Roman;serif"/>
                  <w:b w:val="false"/>
                  <w:color w:val="0000FF"/>
                  <w:sz w:val="20"/>
                  <w:u w:val="single"/>
                </w:rPr>
                <w:t>15</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22">
              <w:r>
                <w:rPr>
                  <w:rStyle w:val="InternetLink"/>
                  <w:rFonts w:ascii="Times New Roman;serif" w:hAnsi="Times New Roman;serif"/>
                  <w:b w:val="false"/>
                  <w:color w:val="0000FF"/>
                  <w:sz w:val="20"/>
                  <w:u w:val="single"/>
                </w:rPr>
                <w:t>Statements of Cash Flows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22">
              <w:r>
                <w:rPr>
                  <w:rStyle w:val="InternetLink"/>
                  <w:rFonts w:ascii="Times New Roman;serif" w:hAnsi="Times New Roman;serif"/>
                  <w:b w:val="false"/>
                  <w:color w:val="0000FF"/>
                  <w:sz w:val="20"/>
                  <w:u w:val="single"/>
                </w:rPr>
                <w:t>16</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NWP:</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31">
              <w:r>
                <w:rPr>
                  <w:rStyle w:val="InternetLink"/>
                  <w:rFonts w:ascii="Times New Roman;serif" w:hAnsi="Times New Roman;serif"/>
                  <w:b w:val="false"/>
                  <w:color w:val="0000FF"/>
                  <w:sz w:val="20"/>
                  <w:u w:val="single"/>
                </w:rPr>
                <w:t>Statements of Net Income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31">
              <w:r>
                <w:rPr>
                  <w:rStyle w:val="InternetLink"/>
                  <w:rFonts w:ascii="Times New Roman;serif" w:hAnsi="Times New Roman;serif"/>
                  <w:b w:val="false"/>
                  <w:color w:val="0000FF"/>
                  <w:sz w:val="20"/>
                  <w:u w:val="single"/>
                </w:rPr>
                <w:t>17</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34">
              <w:r>
                <w:rPr>
                  <w:rStyle w:val="InternetLink"/>
                  <w:rFonts w:ascii="Times New Roman;serif" w:hAnsi="Times New Roman;serif"/>
                  <w:b w:val="false"/>
                  <w:color w:val="0000FF"/>
                  <w:sz w:val="20"/>
                  <w:u w:val="single"/>
                </w:rPr>
                <w:t>Balance Sheets – March 31, 2026 and December 31,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34">
              <w:r>
                <w:rPr>
                  <w:rStyle w:val="InternetLink"/>
                  <w:rFonts w:ascii="Times New Roman;serif" w:hAnsi="Times New Roman;serif"/>
                  <w:b w:val="false"/>
                  <w:color w:val="0000FF"/>
                  <w:sz w:val="20"/>
                  <w:u w:val="single"/>
                </w:rPr>
                <w:t>18</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8bd7035a7cd84f278d78b92579794295_337">
              <w:r>
                <w:rPr>
                  <w:rStyle w:val="InternetLink"/>
                  <w:rFonts w:ascii="Times New Roman;serif" w:hAnsi="Times New Roman;serif"/>
                  <w:b w:val="false"/>
                  <w:color w:val="0000FF"/>
                  <w:sz w:val="20"/>
                  <w:u w:val="single"/>
                </w:rPr>
                <w:t>Statements of Changes in Member’s Equity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37">
              <w:r>
                <w:rPr>
                  <w:rStyle w:val="InternetLink"/>
                  <w:rFonts w:ascii="Times New Roman;serif" w:hAnsi="Times New Roman;serif"/>
                  <w:b w:val="false"/>
                  <w:color w:val="0000FF"/>
                  <w:sz w:val="20"/>
                  <w:u w:val="single"/>
                </w:rPr>
                <w:t>19</w:t>
              </w:r>
            </w:hyperlink>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bd7035a7cd84f278d78b92579794295_340">
              <w:r>
                <w:rPr>
                  <w:rStyle w:val="InternetLink"/>
                  <w:rFonts w:ascii="Times New Roman;serif" w:hAnsi="Times New Roman;serif"/>
                  <w:b w:val="false"/>
                  <w:color w:val="0000FF"/>
                  <w:sz w:val="20"/>
                  <w:u w:val="single"/>
                </w:rPr>
                <w:t>Statements of Cash Flows –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40">
              <w:r>
                <w:rPr>
                  <w:rStyle w:val="InternetLink"/>
                  <w:rFonts w:ascii="Times New Roman;serif" w:hAnsi="Times New Roman;serif"/>
                  <w:b w:val="false"/>
                  <w:color w:val="0000FF"/>
                  <w:sz w:val="20"/>
                  <w:u w:val="single"/>
                </w:rPr>
                <w:t>20</w:t>
              </w:r>
            </w:hyperlink>
          </w:p>
        </w:tc>
      </w:tr>
      <w:tr>
        <w:trPr/>
        <w:tc>
          <w:tcPr>
            <w:tcW w:w="8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346">
              <w:r>
                <w:rPr>
                  <w:rStyle w:val="InternetLink"/>
                  <w:rFonts w:ascii="Times New Roman;serif" w:hAnsi="Times New Roman;serif"/>
                  <w:b w:val="false"/>
                  <w:color w:val="0000FF"/>
                  <w:sz w:val="20"/>
                  <w:u w:val="single"/>
                </w:rPr>
                <w:t>Combined Notes to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43">
              <w:r>
                <w:rPr>
                  <w:rStyle w:val="InternetLink"/>
                  <w:rFonts w:ascii="Times New Roman;serif" w:hAnsi="Times New Roman;serif"/>
                  <w:b w:val="false"/>
                  <w:color w:val="0000FF"/>
                  <w:sz w:val="20"/>
                  <w:u w:val="single"/>
                </w:rPr>
                <w:t>21</w:t>
              </w:r>
            </w:hyperlink>
          </w:p>
        </w:tc>
      </w:tr>
      <w:tr>
        <w:trPr/>
        <w:tc>
          <w:tcPr>
            <w:tcW w:w="836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Williams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17" w:type="dxa"/>
        <w:jc w:val="left"/>
        <w:tblInd w:w="0" w:type="dxa"/>
        <w:tblLayout w:type="fixed"/>
        <w:tblCellMar>
          <w:top w:w="28" w:type="dxa"/>
          <w:left w:w="28" w:type="dxa"/>
          <w:bottom w:w="28" w:type="dxa"/>
          <w:right w:w="28" w:type="dxa"/>
        </w:tblCellMar>
      </w:tblPr>
      <w:tblGrid>
        <w:gridCol w:w="2081"/>
        <w:gridCol w:w="1830"/>
        <w:gridCol w:w="1833"/>
        <w:gridCol w:w="109"/>
        <w:gridCol w:w="109"/>
        <w:gridCol w:w="109"/>
        <w:gridCol w:w="142"/>
        <w:gridCol w:w="142"/>
        <w:gridCol w:w="142"/>
        <w:gridCol w:w="142"/>
        <w:gridCol w:w="256"/>
        <w:gridCol w:w="728"/>
        <w:gridCol w:w="142"/>
        <w:gridCol w:w="109"/>
        <w:gridCol w:w="109"/>
        <w:gridCol w:w="109"/>
        <w:gridCol w:w="196"/>
        <w:gridCol w:w="557"/>
        <w:gridCol w:w="109"/>
        <w:gridCol w:w="109"/>
        <w:gridCol w:w="154"/>
      </w:tblGrid>
      <w:tr>
        <w:trPr/>
        <w:tc>
          <w:tcPr>
            <w:tcW w:w="208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452" w:type="dxa"/>
            <w:gridSpan w:val="8"/>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 – commodity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processing commodity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sale of certain assets (Note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income (loss)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The Williams Companies,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Net income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Weighted-average shares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Net income (loss)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Weighted-average shares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taxes of $1 in 2026 and $— in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The Williams Companies,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Williams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5"/>
        <w:gridCol w:w="2309"/>
        <w:gridCol w:w="2315"/>
        <w:gridCol w:w="109"/>
        <w:gridCol w:w="109"/>
        <w:gridCol w:w="109"/>
        <w:gridCol w:w="199"/>
        <w:gridCol w:w="656"/>
        <w:gridCol w:w="110"/>
        <w:gridCol w:w="110"/>
        <w:gridCol w:w="110"/>
        <w:gridCol w:w="110"/>
        <w:gridCol w:w="212"/>
        <w:gridCol w:w="700"/>
        <w:gridCol w:w="172"/>
      </w:tblGrid>
      <w:tr>
        <w:trPr/>
        <w:tc>
          <w:tcPr>
            <w:tcW w:w="287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414" w:type="dxa"/>
            <w:gridSpan w:val="6"/>
            <w:tcBorders/>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(Millions, except per-share amounts)</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Trade accounts and other receivables (net of allowance of ($1) at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Assets held for sale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deferred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 deferred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held for sale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 deferred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Contingent liabilities and commitments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($1 par value; 30 million shares authorized at March 31, 2026 and December 31, 2025; 35 thousand shares issued at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($1 par value; 1,470 million shares authorized at March 31, 2026 and December 31, 2025; 1,262 million shares issued at March 31, 2026 and 1,261 million shares issued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(39 million shares at March 31, 2026 and December 31, 2025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Williams Companies,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226" w:type="dxa"/>
        <w:jc w:val="center"/>
        <w:tblInd w:w="0" w:type="dxa"/>
        <w:tblLayout w:type="fixed"/>
        <w:tblCellMar>
          <w:top w:w="28" w:type="dxa"/>
          <w:left w:w="28" w:type="dxa"/>
          <w:bottom w:w="28" w:type="dxa"/>
          <w:right w:w="28" w:type="dxa"/>
        </w:tblCellMar>
      </w:tblPr>
      <w:tblGrid>
        <w:gridCol w:w="932"/>
        <w:gridCol w:w="300"/>
        <w:gridCol w:w="269"/>
        <w:gridCol w:w="203"/>
        <w:gridCol w:w="344"/>
        <w:gridCol w:w="114"/>
        <w:gridCol w:w="109"/>
        <w:gridCol w:w="109"/>
        <w:gridCol w:w="109"/>
        <w:gridCol w:w="196"/>
        <w:gridCol w:w="556"/>
        <w:gridCol w:w="109"/>
        <w:gridCol w:w="109"/>
        <w:gridCol w:w="109"/>
        <w:gridCol w:w="109"/>
        <w:gridCol w:w="196"/>
        <w:gridCol w:w="646"/>
        <w:gridCol w:w="109"/>
        <w:gridCol w:w="109"/>
        <w:gridCol w:w="109"/>
        <w:gridCol w:w="109"/>
        <w:gridCol w:w="196"/>
        <w:gridCol w:w="661"/>
        <w:gridCol w:w="109"/>
        <w:gridCol w:w="109"/>
        <w:gridCol w:w="109"/>
        <w:gridCol w:w="109"/>
        <w:gridCol w:w="196"/>
        <w:gridCol w:w="421"/>
        <w:gridCol w:w="109"/>
        <w:gridCol w:w="109"/>
        <w:gridCol w:w="109"/>
        <w:gridCol w:w="109"/>
        <w:gridCol w:w="196"/>
        <w:gridCol w:w="571"/>
        <w:gridCol w:w="109"/>
        <w:gridCol w:w="109"/>
        <w:gridCol w:w="109"/>
        <w:gridCol w:w="109"/>
        <w:gridCol w:w="204"/>
        <w:gridCol w:w="673"/>
        <w:gridCol w:w="114"/>
        <w:gridCol w:w="109"/>
        <w:gridCol w:w="109"/>
        <w:gridCol w:w="109"/>
        <w:gridCol w:w="246"/>
        <w:gridCol w:w="698"/>
        <w:gridCol w:w="137"/>
        <w:gridCol w:w="109"/>
        <w:gridCol w:w="109"/>
        <w:gridCol w:w="109"/>
        <w:gridCol w:w="196"/>
        <w:gridCol w:w="64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Williams Companies, Inc.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 in</w:t>
              <w:br/>
              <w:t>Excess of</w:t>
              <w:b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(Millions)</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Cash dividends – common stock ($0.525 per share)</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and related common stock issuances, net of tax</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to noncontrolling interests</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equity</w:t>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Cash dividends – common stock ($0.500 per share)</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and related common stock issuances, net of tax</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to noncontrolling interests</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equity</w:t>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Williams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68" w:type="dxa"/>
        <w:jc w:val="center"/>
        <w:tblInd w:w="0" w:type="dxa"/>
        <w:tblLayout w:type="fixed"/>
        <w:tblCellMar>
          <w:top w:w="28" w:type="dxa"/>
          <w:left w:w="28" w:type="dxa"/>
          <w:bottom w:w="28" w:type="dxa"/>
          <w:right w:w="28" w:type="dxa"/>
        </w:tblCellMar>
      </w:tblPr>
      <w:tblGrid>
        <w:gridCol w:w="2023"/>
        <w:gridCol w:w="1776"/>
        <w:gridCol w:w="1780"/>
        <w:gridCol w:w="109"/>
        <w:gridCol w:w="109"/>
        <w:gridCol w:w="109"/>
        <w:gridCol w:w="196"/>
        <w:gridCol w:w="631"/>
        <w:gridCol w:w="109"/>
        <w:gridCol w:w="109"/>
        <w:gridCol w:w="109"/>
        <w:gridCol w:w="109"/>
        <w:gridCol w:w="196"/>
        <w:gridCol w:w="631"/>
        <w:gridCol w:w="109"/>
        <w:gridCol w:w="109"/>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to net cash provided (used)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equity-method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certain assets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from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(used) by changes in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deferred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and noncurrent commodity derivative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changes in noncurrent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(payments of) commercial paper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Dispositions – net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and contributions to equity-method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Increases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related 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Transcontinental Gas Pipe Line Company,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Net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75" w:type="dxa"/>
        <w:jc w:val="left"/>
        <w:tblInd w:w="0" w:type="dxa"/>
        <w:tblLayout w:type="fixed"/>
        <w:tblCellMar>
          <w:top w:w="28" w:type="dxa"/>
          <w:left w:w="28" w:type="dxa"/>
          <w:bottom w:w="28" w:type="dxa"/>
          <w:right w:w="28" w:type="dxa"/>
        </w:tblCellMar>
      </w:tblPr>
      <w:tblGrid>
        <w:gridCol w:w="2305"/>
        <w:gridCol w:w="2017"/>
        <w:gridCol w:w="2037"/>
        <w:gridCol w:w="109"/>
        <w:gridCol w:w="109"/>
        <w:gridCol w:w="109"/>
        <w:gridCol w:w="109"/>
        <w:gridCol w:w="109"/>
        <w:gridCol w:w="184"/>
        <w:gridCol w:w="184"/>
        <w:gridCol w:w="356"/>
        <w:gridCol w:w="787"/>
        <w:gridCol w:w="184"/>
        <w:gridCol w:w="109"/>
        <w:gridCol w:w="109"/>
        <w:gridCol w:w="109"/>
        <w:gridCol w:w="211"/>
        <w:gridCol w:w="466"/>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1376" w:type="dxa"/>
            <w:gridSpan w:val="8"/>
            <w:tcBorders/>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transportation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storage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equity and borrowed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Transcontinental Gas Pipe Line Company,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676" w:type="dxa"/>
        <w:jc w:val="center"/>
        <w:tblInd w:w="0" w:type="dxa"/>
        <w:tblLayout w:type="fixed"/>
        <w:tblCellMar>
          <w:top w:w="28" w:type="dxa"/>
          <w:left w:w="28" w:type="dxa"/>
          <w:bottom w:w="28" w:type="dxa"/>
          <w:right w:w="28" w:type="dxa"/>
        </w:tblCellMar>
      </w:tblPr>
      <w:tblGrid>
        <w:gridCol w:w="1508"/>
        <w:gridCol w:w="1329"/>
        <w:gridCol w:w="1332"/>
        <w:gridCol w:w="211"/>
        <w:gridCol w:w="721"/>
        <w:gridCol w:w="109"/>
        <w:gridCol w:w="109"/>
        <w:gridCol w:w="109"/>
        <w:gridCol w:w="109"/>
        <w:gridCol w:w="221"/>
        <w:gridCol w:w="757"/>
        <w:gridCol w:w="161"/>
      </w:tblGrid>
      <w:tr>
        <w:trPr/>
        <w:tc>
          <w:tcPr>
            <w:tcW w:w="150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and other receivables: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affiliate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deferred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rate refunds (Note 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for litigation settlement (Note 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due within one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liabilities and commitments (Note 10)</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Transcontinental Gas Pipe Line Company,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Member’s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6244" w:type="dxa"/>
        <w:jc w:val="center"/>
        <w:tblInd w:w="0" w:type="dxa"/>
        <w:tblLayout w:type="fixed"/>
        <w:tblCellMar>
          <w:top w:w="28" w:type="dxa"/>
          <w:left w:w="28" w:type="dxa"/>
          <w:bottom w:w="28" w:type="dxa"/>
          <w:right w:w="28" w:type="dxa"/>
        </w:tblCellMar>
      </w:tblPr>
      <w:tblGrid>
        <w:gridCol w:w="978"/>
        <w:gridCol w:w="858"/>
        <w:gridCol w:w="864"/>
        <w:gridCol w:w="109"/>
        <w:gridCol w:w="109"/>
        <w:gridCol w:w="109"/>
        <w:gridCol w:w="134"/>
        <w:gridCol w:w="134"/>
        <w:gridCol w:w="134"/>
        <w:gridCol w:w="134"/>
        <w:gridCol w:w="260"/>
        <w:gridCol w:w="761"/>
        <w:gridCol w:w="134"/>
        <w:gridCol w:w="109"/>
        <w:gridCol w:w="109"/>
        <w:gridCol w:w="109"/>
        <w:gridCol w:w="211"/>
        <w:gridCol w:w="616"/>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1526" w:type="dxa"/>
            <w:gridSpan w:val="8"/>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2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contributions from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Transcontinental Gas Pipe Line Company,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928" w:type="dxa"/>
        <w:jc w:val="center"/>
        <w:tblInd w:w="0" w:type="dxa"/>
        <w:tblLayout w:type="fixed"/>
        <w:tblCellMar>
          <w:top w:w="28" w:type="dxa"/>
          <w:left w:w="28" w:type="dxa"/>
          <w:bottom w:w="28" w:type="dxa"/>
          <w:right w:w="28" w:type="dxa"/>
        </w:tblCellMar>
      </w:tblPr>
      <w:tblGrid>
        <w:gridCol w:w="1990"/>
        <w:gridCol w:w="1747"/>
        <w:gridCol w:w="1752"/>
        <w:gridCol w:w="196"/>
        <w:gridCol w:w="496"/>
        <w:gridCol w:w="109"/>
        <w:gridCol w:w="109"/>
        <w:gridCol w:w="109"/>
        <w:gridCol w:w="109"/>
        <w:gridCol w:w="196"/>
        <w:gridCol w:w="496"/>
        <w:gridCol w:w="109"/>
        <w:gridCol w:w="109"/>
        <w:gridCol w:w="401"/>
      </w:tblGrid>
      <w:tr>
        <w:trPr/>
        <w:tc>
          <w:tcPr>
            <w:tcW w:w="199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510"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510"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cash provided (used) by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 (equity AFUDC)</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(used) by changes in current assets and liabilities: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receivables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accounts receivable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deferred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payables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rate refunds (Note 10)</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changes in noncurrent assets and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operating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other financing obligations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other financing obligations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to parent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contributions from parent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financing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and advances for construction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Dispositions -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affiliate -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asset retirement obligations trust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 retirement obligations trust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investing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____________________________</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hanging="540"/>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Increase to property, plant, and equipment, exclusive of equity AFUDC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related accounts payable and 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Northwest Pipeline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Net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tbl>
      <w:tblPr>
        <w:tblW w:w="9648" w:type="dxa"/>
        <w:jc w:val="center"/>
        <w:tblInd w:w="0" w:type="dxa"/>
        <w:tblLayout w:type="fixed"/>
        <w:tblCellMar>
          <w:top w:w="28" w:type="dxa"/>
          <w:left w:w="28" w:type="dxa"/>
          <w:bottom w:w="28" w:type="dxa"/>
          <w:right w:w="28" w:type="dxa"/>
        </w:tblCellMar>
      </w:tblPr>
      <w:tblGrid>
        <w:gridCol w:w="2305"/>
        <w:gridCol w:w="2017"/>
        <w:gridCol w:w="2037"/>
        <w:gridCol w:w="109"/>
        <w:gridCol w:w="109"/>
        <w:gridCol w:w="184"/>
        <w:gridCol w:w="184"/>
        <w:gridCol w:w="356"/>
        <w:gridCol w:w="787"/>
        <w:gridCol w:w="184"/>
        <w:gridCol w:w="109"/>
        <w:gridCol w:w="109"/>
        <w:gridCol w:w="109"/>
        <w:gridCol w:w="211"/>
        <w:gridCol w:w="466"/>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1376" w:type="dxa"/>
            <w:gridSpan w:val="8"/>
            <w:tcBorders/>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transportation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storage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equity and borrowed funds used during construction (AFUDC)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Northwest Pipeline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573" w:type="dxa"/>
        <w:jc w:val="center"/>
        <w:tblInd w:w="0" w:type="dxa"/>
        <w:tblLayout w:type="fixed"/>
        <w:tblCellMar>
          <w:top w:w="28" w:type="dxa"/>
          <w:left w:w="28" w:type="dxa"/>
          <w:bottom w:w="28" w:type="dxa"/>
          <w:right w:w="28" w:type="dxa"/>
        </w:tblCellMar>
      </w:tblPr>
      <w:tblGrid>
        <w:gridCol w:w="1508"/>
        <w:gridCol w:w="1327"/>
        <w:gridCol w:w="1335"/>
        <w:gridCol w:w="211"/>
        <w:gridCol w:w="616"/>
        <w:gridCol w:w="109"/>
        <w:gridCol w:w="109"/>
        <w:gridCol w:w="109"/>
        <w:gridCol w:w="109"/>
        <w:gridCol w:w="245"/>
        <w:gridCol w:w="716"/>
        <w:gridCol w:w="179"/>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and other receivables: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affiliate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deferred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liabilities and commitments (Note 10)</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Northwest Pipeline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Member’s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6078" w:type="dxa"/>
        <w:jc w:val="left"/>
        <w:tblInd w:w="0" w:type="dxa"/>
        <w:tblLayout w:type="fixed"/>
        <w:tblCellMar>
          <w:top w:w="28" w:type="dxa"/>
          <w:left w:w="28" w:type="dxa"/>
          <w:bottom w:w="28" w:type="dxa"/>
          <w:right w:w="28" w:type="dxa"/>
        </w:tblCellMar>
      </w:tblPr>
      <w:tblGrid>
        <w:gridCol w:w="956"/>
        <w:gridCol w:w="839"/>
        <w:gridCol w:w="844"/>
        <w:gridCol w:w="109"/>
        <w:gridCol w:w="109"/>
        <w:gridCol w:w="160"/>
        <w:gridCol w:w="160"/>
        <w:gridCol w:w="310"/>
        <w:gridCol w:w="905"/>
        <w:gridCol w:w="160"/>
        <w:gridCol w:w="109"/>
        <w:gridCol w:w="109"/>
        <w:gridCol w:w="109"/>
        <w:gridCol w:w="211"/>
        <w:gridCol w:w="616"/>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1526" w:type="dxa"/>
            <w:gridSpan w:val="8"/>
            <w:tcBorders/>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3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return of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Northwest Pipeline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89" w:type="dxa"/>
        <w:jc w:val="left"/>
        <w:tblInd w:w="0" w:type="dxa"/>
        <w:tblLayout w:type="fixed"/>
        <w:tblCellMar>
          <w:top w:w="28" w:type="dxa"/>
          <w:left w:w="28" w:type="dxa"/>
          <w:bottom w:w="28" w:type="dxa"/>
          <w:right w:w="28" w:type="dxa"/>
        </w:tblCellMar>
      </w:tblPr>
      <w:tblGrid>
        <w:gridCol w:w="2001"/>
        <w:gridCol w:w="1757"/>
        <w:gridCol w:w="1762"/>
        <w:gridCol w:w="211"/>
        <w:gridCol w:w="436"/>
        <w:gridCol w:w="109"/>
        <w:gridCol w:w="109"/>
        <w:gridCol w:w="109"/>
        <w:gridCol w:w="109"/>
        <w:gridCol w:w="211"/>
        <w:gridCol w:w="436"/>
        <w:gridCol w:w="109"/>
        <w:gridCol w:w="109"/>
        <w:gridCol w:w="221"/>
      </w:tblGrid>
      <w:tr>
        <w:trPr/>
        <w:tc>
          <w:tcPr>
            <w:tcW w:w="200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30" w:type="dxa"/>
            <w:gridSpan w:val="2"/>
            <w:tcBorders/>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30" w:type="dxa"/>
            <w:gridSpan w:val="2"/>
            <w:tcBorders/>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cash provided (used) by operating activities: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 (equity AFUDC)</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(used) by changes in current assets and liabilities: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accounts receivable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deferred charges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Affiliate payables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changes in noncurrent assets and liabilities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9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operating activities</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to parent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contributions from parent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from affiliate - net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9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financing activities</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and advances for construction costs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Dispositions - net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affiliate - net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9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investing activities</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w:t>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Increases to property, plant, and equipment, exclusive of equity AFUDC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hanging="9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related accounts payable and accrued liabilities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the Combined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of Combined Notes to Financial Statements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Combined Notes to Financial Statements include information for multiple registrants, specifically The Williams Companies, Inc. (Williams), as well as Transcontinental Gas Pipe Line Company, LLC (Transco) and Northwest Pipeline LLC (NWP), both of which are wholly owned subsidiaries of Williams. References to subsidiaries by name, including equity-method investees, Transco, and NWP, refer exclusively to those businesses and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list indicates the Registrants to which each of the combined notes apply. Specific disclosures within each combined note may apply to all Registrants unless indicated otherwise.</w:t>
      </w:r>
    </w:p>
    <w:tbl>
      <w:tblPr>
        <w:tblW w:w="8169" w:type="dxa"/>
        <w:jc w:val="left"/>
        <w:tblInd w:w="0" w:type="dxa"/>
        <w:tblLayout w:type="fixed"/>
        <w:tblCellMar>
          <w:top w:w="28" w:type="dxa"/>
          <w:left w:w="28" w:type="dxa"/>
          <w:bottom w:w="28" w:type="dxa"/>
          <w:right w:w="28" w:type="dxa"/>
        </w:tblCellMar>
      </w:tblPr>
      <w:tblGrid>
        <w:gridCol w:w="1759"/>
        <w:gridCol w:w="1539"/>
        <w:gridCol w:w="1562"/>
        <w:gridCol w:w="109"/>
        <w:gridCol w:w="109"/>
        <w:gridCol w:w="109"/>
        <w:gridCol w:w="694"/>
        <w:gridCol w:w="694"/>
        <w:gridCol w:w="696"/>
        <w:gridCol w:w="109"/>
        <w:gridCol w:w="109"/>
        <w:gridCol w:w="109"/>
        <w:gridCol w:w="167"/>
        <w:gridCol w:w="167"/>
        <w:gridCol w:w="237"/>
      </w:tblGrid>
      <w:tr>
        <w:trPr/>
        <w:tc>
          <w:tcPr>
            <w:tcW w:w="175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hyperlink w:anchor="i8bd7035a7cd84f278d78b92579794295_349">
              <w:r>
                <w:rPr>
                  <w:rStyle w:val="InternetLink"/>
                  <w:rFonts w:ascii="Times New Roman;serif" w:hAnsi="Times New Roman;serif"/>
                  <w:b w:val="false"/>
                  <w:color w:val="0000FF"/>
                  <w:sz w:val="20"/>
                  <w:u w:val="single"/>
                </w:rPr>
                <w:t>Note 1 – Description of Business and Basis of Presentation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Williams, 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bd7035a7cd84f278d78b92579794295_349">
              <w:r>
                <w:rPr>
                  <w:rStyle w:val="InternetLink"/>
                  <w:rFonts w:ascii="Times New Roman;serif" w:hAnsi="Times New Roman;serif"/>
                  <w:b w:val="false"/>
                  <w:color w:val="0000FF"/>
                  <w:sz w:val="20"/>
                  <w:u w:val="single"/>
                </w:rPr>
                <w:t>21</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364">
              <w:r>
                <w:rPr>
                  <w:rStyle w:val="InternetLink"/>
                  <w:rFonts w:ascii="Times New Roman;serif" w:hAnsi="Times New Roman;serif"/>
                  <w:b w:val="false"/>
                  <w:color w:val="0000FF"/>
                  <w:sz w:val="20"/>
                  <w:u w:val="single"/>
                </w:rPr>
                <w:t>Note 2 – Variable Interest Entities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64">
              <w:r>
                <w:rPr>
                  <w:rStyle w:val="InternetLink"/>
                  <w:rFonts w:ascii="Times New Roman;serif" w:hAnsi="Times New Roman;serif"/>
                  <w:b w:val="false"/>
                  <w:color w:val="0000FF"/>
                  <w:sz w:val="20"/>
                  <w:u w:val="single"/>
                </w:rPr>
                <w:t>23</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367">
              <w:r>
                <w:rPr>
                  <w:rStyle w:val="InternetLink"/>
                  <w:rFonts w:ascii="Times New Roman;serif" w:hAnsi="Times New Roman;serif"/>
                  <w:b w:val="false"/>
                  <w:color w:val="0000FF"/>
                  <w:sz w:val="20"/>
                  <w:u w:val="single"/>
                </w:rPr>
                <w:t>Note 3 – Divestitures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67">
              <w:r>
                <w:rPr>
                  <w:rStyle w:val="InternetLink"/>
                  <w:rFonts w:ascii="Times New Roman;serif" w:hAnsi="Times New Roman;serif"/>
                  <w:b w:val="false"/>
                  <w:color w:val="0000FF"/>
                  <w:sz w:val="20"/>
                  <w:u w:val="single"/>
                </w:rPr>
                <w:t>24</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397">
              <w:r>
                <w:rPr>
                  <w:rStyle w:val="InternetLink"/>
                  <w:rFonts w:ascii="Times New Roman;serif" w:hAnsi="Times New Roman;serif"/>
                  <w:b w:val="false"/>
                  <w:color w:val="0000FF"/>
                  <w:sz w:val="20"/>
                  <w:u w:val="single"/>
                </w:rPr>
                <w:t>Note 4 – Related Party Transactions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397">
              <w:r>
                <w:rPr>
                  <w:rStyle w:val="InternetLink"/>
                  <w:rFonts w:ascii="Times New Roman;serif" w:hAnsi="Times New Roman;serif"/>
                  <w:b w:val="false"/>
                  <w:color w:val="0000FF"/>
                  <w:sz w:val="20"/>
                  <w:u w:val="single"/>
                </w:rPr>
                <w:t>25</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415">
              <w:r>
                <w:rPr>
                  <w:rStyle w:val="InternetLink"/>
                  <w:rFonts w:ascii="Times New Roman;serif" w:hAnsi="Times New Roman;serif"/>
                  <w:b w:val="false"/>
                  <w:color w:val="0000FF"/>
                  <w:sz w:val="20"/>
                  <w:u w:val="single"/>
                </w:rPr>
                <w:t>Note 5 – Revenue Recognition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 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418">
              <w:r>
                <w:rPr>
                  <w:rStyle w:val="InternetLink"/>
                  <w:rFonts w:ascii="Times New Roman;serif" w:hAnsi="Times New Roman;serif"/>
                  <w:b w:val="false"/>
                  <w:color w:val="0000FF"/>
                  <w:sz w:val="20"/>
                  <w:u w:val="single"/>
                </w:rPr>
                <w:t>27</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427">
              <w:r>
                <w:rPr>
                  <w:rStyle w:val="InternetLink"/>
                  <w:rFonts w:ascii="Times New Roman;serif" w:hAnsi="Times New Roman;serif"/>
                  <w:b w:val="false"/>
                  <w:color w:val="0000FF"/>
                  <w:sz w:val="20"/>
                  <w:u w:val="single"/>
                </w:rPr>
                <w:t>Note 6 – Provision (Benefit) for Income Taxes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427">
              <w:r>
                <w:rPr>
                  <w:rStyle w:val="InternetLink"/>
                  <w:rFonts w:ascii="Times New Roman;serif" w:hAnsi="Times New Roman;serif"/>
                  <w:b w:val="false"/>
                  <w:color w:val="0000FF"/>
                  <w:sz w:val="20"/>
                  <w:u w:val="single"/>
                </w:rPr>
                <w:t>30</w:t>
              </w:r>
            </w:hyperlink>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481">
              <w:r>
                <w:rPr>
                  <w:rStyle w:val="InternetLink"/>
                  <w:rFonts w:ascii="Times New Roman;serif" w:hAnsi="Times New Roman;serif"/>
                  <w:b w:val="false"/>
                  <w:color w:val="0000FF"/>
                  <w:sz w:val="20"/>
                  <w:u w:val="single"/>
                </w:rPr>
                <w:t>Note 7 – Debt and Banking Arrangements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Williams, 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481">
              <w:r>
                <w:rPr>
                  <w:rStyle w:val="InternetLink"/>
                  <w:rFonts w:ascii="Times New Roman;serif" w:hAnsi="Times New Roman;serif"/>
                  <w:b w:val="false"/>
                  <w:color w:val="0000FF"/>
                  <w:sz w:val="20"/>
                  <w:u w:val="single"/>
                </w:rPr>
                <w:t>30</w:t>
              </w:r>
            </w:hyperlink>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bd7035a7cd84f278d78b92579794295_520">
              <w:r>
                <w:rPr>
                  <w:rStyle w:val="InternetLink"/>
                  <w:rFonts w:ascii="Times New Roman;serif" w:hAnsi="Times New Roman;serif"/>
                  <w:b w:val="false"/>
                  <w:color w:val="0000FF"/>
                  <w:sz w:val="20"/>
                  <w:u w:val="single"/>
                </w:rPr>
                <w:t>Note 8 – Fair Value Measurements and Guarantees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 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520">
              <w:r>
                <w:rPr>
                  <w:rStyle w:val="InternetLink"/>
                  <w:rFonts w:ascii="Times New Roman;serif" w:hAnsi="Times New Roman;serif"/>
                  <w:b w:val="false"/>
                  <w:color w:val="0000FF"/>
                  <w:sz w:val="20"/>
                  <w:u w:val="single"/>
                </w:rPr>
                <w:t>32</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559">
              <w:r>
                <w:rPr>
                  <w:rStyle w:val="InternetLink"/>
                  <w:rFonts w:ascii="Times New Roman;serif" w:hAnsi="Times New Roman;serif"/>
                  <w:b w:val="false"/>
                  <w:color w:val="0000FF"/>
                  <w:sz w:val="20"/>
                  <w:u w:val="single"/>
                </w:rPr>
                <w:t>Note 9 – Commodity Derivatives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559">
              <w:r>
                <w:rPr>
                  <w:rStyle w:val="InternetLink"/>
                  <w:rFonts w:ascii="Times New Roman;serif" w:hAnsi="Times New Roman;serif"/>
                  <w:b w:val="false"/>
                  <w:color w:val="0000FF"/>
                  <w:sz w:val="20"/>
                  <w:u w:val="single"/>
                </w:rPr>
                <w:t>34</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562">
              <w:r>
                <w:rPr>
                  <w:rStyle w:val="InternetLink"/>
                  <w:rFonts w:ascii="Times New Roman;serif" w:hAnsi="Times New Roman;serif"/>
                  <w:b w:val="false"/>
                  <w:color w:val="0000FF"/>
                  <w:sz w:val="20"/>
                  <w:u w:val="single"/>
                </w:rPr>
                <w:t xml:space="preserve">Note 10 – Contingencies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 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562">
              <w:r>
                <w:rPr>
                  <w:rStyle w:val="InternetLink"/>
                  <w:rFonts w:ascii="Times New Roman;serif" w:hAnsi="Times New Roman;serif"/>
                  <w:b w:val="false"/>
                  <w:color w:val="0000FF"/>
                  <w:sz w:val="20"/>
                  <w:u w:val="single"/>
                </w:rPr>
                <w:t>36</w:t>
              </w:r>
            </w:hyperlink>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568">
              <w:r>
                <w:rPr>
                  <w:rStyle w:val="InternetLink"/>
                  <w:rFonts w:ascii="Times New Roman;serif" w:hAnsi="Times New Roman;serif"/>
                  <w:b w:val="false"/>
                  <w:color w:val="0000FF"/>
                  <w:sz w:val="20"/>
                  <w:u w:val="single"/>
                </w:rPr>
                <w:t>Note 11 – Segment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 Transco, NWP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568">
              <w:r>
                <w:rPr>
                  <w:rStyle w:val="InternetLink"/>
                  <w:rFonts w:ascii="Times New Roman;serif" w:hAnsi="Times New Roman;serif"/>
                  <w:b w:val="false"/>
                  <w:color w:val="0000FF"/>
                  <w:sz w:val="20"/>
                  <w:u w:val="single"/>
                </w:rPr>
                <w:t>40</w:t>
              </w:r>
            </w:hyperlink>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both"/>
        <w:rPr>
          <w:rFonts w:ascii="Times New Roman;serif" w:hAnsi="Times New Roman;serif"/>
          <w:b/>
          <w:color w:val="000000"/>
          <w:sz w:val="20"/>
        </w:rPr>
      </w:pPr>
      <w:r>
        <w:rPr>
          <w:rFonts w:ascii="Times New Roman;serif" w:hAnsi="Times New Roman;serif"/>
          <w:b/>
          <w:color w:val="000000"/>
          <w:sz w:val="20"/>
        </w:rPr>
        <w:t>Note 1 – Description of Business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Williams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is a Delaware corporation whose common stock is listed and traded on the New York Stock Exchange. Its operations are located in the United States and are presented within the following reportable segments: Transmission, Power &amp; Gulf; Northeast G&amp;P; West; and Gas &amp; NGL Marketing Services, consistent with the manner in which Williams’ Chief Executive Officer, the chief operating decision maker (CODM), evaluates performance and allocates resources. All remaining business activities, including upstream operations and corporate activities, are included in Other.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Transmission, Power &amp; Gulf is comprised of interstate natural gas pipelines and their related natural gas storage facilities, including Transco, NWP, MountainWest Pipelines Holding LLC (MountainWest), and a 50 percent equity-method investment in Gulfstream Natural Gas System, L.L.C. (Gulfstream); natural gas gathering and processing (G&amp;P) and crude oil production handling and transportation assets in the Gulf Coast region; and natural gas storage facilities and pipelines providing services in north Texas, Louisiana, and Mississippi. Transmission, Power &amp; Gulf also includes power innovation projects under development that will deliver speed-to-market solutions in power grid-constrained markets.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Northeast G&amp;P is comprised of Williams’ midstream gathering, processing, and fractionation businesses in the Marcellus Shale region primarily in Pennsylvania and New York, and the Utica Shale region of eastern Ohio, as well as a 65 percent interest in Ohio Valley Midstream LLC (Northeast JV) (a consolidated variable interest entity, or VIE) which operates in West Virginia, Ohio, and Pennsylvania, a 66 percent interest in Cardinal Gas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L.L.C. (Cardinal) (a consolidated VIE) which operates in Ohio, a 50 percent equity-method investment in Blue Racer Midstream LLC (Blue Racer), and Appalachia Midstream Investments.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West is comprised of Williams’ gas gathering, processing, and treating operations in the Denver-Julesberg Basin (DJ Basin) and Piceance regions of Colorado, the southwest and Wamsutter regions of Wyoming, the Barnett Shale region of north-central Texas, the Eagle Ford Shale region of south Texas, and the Haynesville Shale region of east Texas and northwest Louisiana. In the first quarter of 2026, the Anadarko basin gathering assets in the Mid-Continent region were sold (see Note 8 – Fair Value Measurements and Guarantees). This segment also includes Williams’ NGL storage facilities, an undivided 50 percent interest in a NGL fractionator near Conway, Kansas, and a 50 percent equity-method investment in Overland Pass Pipeline Company LLC (OPPL).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Gas &amp; NGL Marketing Services is comprised of Williams’ NGL and natural gas marketing and trading operations, which include risk management and transactions related to the storage and transportation of natural gas and NGLs on strategically positioned assets, as well as an equity-method investment in Cogentrix Co-Investment Fund, LP (Cogentrix) (a nonconsolidated VIE), representing an approximate 10 percent indirect interest in 11 natural gas power plants.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Transco</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Transco is an interstate natural gas transmission company that owns and operates an interstate natural gas pipeline system extending from Texas, Louisiana, Mississippi and the Gulf of America through Alabama, Georgia, South Carolina, North Carolina, Virginia, Maryland, Delaware, Pennsylvania, and New Jersey to the New York City metropolitan area. The system serves customers in Texas and the 12 southeast and Atlantic seaboard states mentioned above, including major metropolitan areas in Georgia, Washington D.C., Maryland, North Carolina, New York, New Jersey, and Pennsylvania. Transco is a single-member limited liability company, and as such, single-member losses are limited to the amount of its investment.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NWP</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NWP owns and operates an interstate pipeline system for the mainline transmission of natural gas. This system extends from the San Juan Basin in northwestern New Mexico and southwestern Colorado through Colorado, Utah, Wyoming, Idaho, Oregon, and Washington to a point on the Canadian border near Sumas, Washington. NWP is a single-member limited liability company, and as such, single-member losses are limited to the amount of its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financial statements do not include all the notes in the annual financial statements and, therefore, should be read in conjunction with the financial statements and combined notes thereto for the year ended December 31, 2025, in the Annual Report on Form 10-K. The accompanying unaudited financial statements include all normal recurring adjustments and others that, in the opinion of management, are necessary to present fairly the interim financial statements.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management to make estimates and assumptions that affect the amounts reported in the financial statements and accompanying combined notes. Actual results could differ from those estimates.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Significant Risks and Uncertainties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carrying value of certain of Williams’ property, plant, and equipment and intangible assets, notably certain assets acquired by Williams accounted for as business combinations between 2012 and 2014, may be in excess of current fair value. However, the carrying value of these assets, in management’s judgment, continues to be recoverable. It is reasonably possible that future strategic decisions, including transactions such as monetizing assets or contributing assets to new ventures with third parties, as well as unfavorable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expected producer activities, could impact management’s assumptions and ultimately result in impairments of these assets. Such transactions or developments may also indicate that certain Williams’ equity-method investments have experienced other-than-temporary declines in value, which could result in impairment.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Standards Issued But Not Yet Adopted</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which requires public entities to disclose additional information in the notes to financial statements for certain types of expenses (including purchases of inventory, employee compensation, depreciation, amortization, and depletion) in commonly presented expense captions (such as cost of sales or general and administrative expenses). The amendments are effective for annual periods beginning after December 15, 2026, and interim periods within fiscal years beginning after December 15, 2027, with early adoption permitted. The impact of this standard is currently being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Variable Interest Entities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 VIEs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Williams consolidated the following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Northeast JV</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owns a 65 percent interest in the Northeast JV, a subsidiary that is a VIE due to certain voting rights being disproportionate to the obligation to absorb losses and substantially all of the Northeast JV’s activities being performed on Williams’ behalf. Williams is the primary beneficiary because it has the power to direct the activities that most significantly impact the Northeast JV’s economic performance. The Northeast JV provides midstream services for producers in the Marcellus Shale and Utica Shale regions. Future expansion activity is expected to be funded with capital contributions from Williams and the other equity partner on a proportional basis.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Cardinal</w:t>
      </w:r>
    </w:p>
    <w:p>
      <w:pPr>
        <w:pStyle w:val="TextBody"/>
        <w:bidi w:val="0"/>
        <w:spacing w:lineRule="auto" w:line="288" w:before="180" w:after="200"/>
        <w:ind w:left="0" w:right="0" w:firstLine="360"/>
        <w:jc w:val="both"/>
        <w:rPr/>
      </w:pPr>
      <w:r>
        <w:rPr>
          <w:rFonts w:ascii="Times New Roman;serif" w:hAnsi="Times New Roman;serif"/>
          <w:b w:val="false"/>
          <w:color w:val="000000"/>
          <w:sz w:val="20"/>
        </w:rPr>
        <w:t>Williams owns a</w:t>
      </w:r>
      <w:r>
        <w:rPr>
          <w:color w:val="000000"/>
        </w:rPr>
        <w:t xml:space="preserve"> </w:t>
      </w:r>
      <w:r>
        <w:rPr>
          <w:rFonts w:ascii="Times New Roman;serif" w:hAnsi="Times New Roman;serif"/>
          <w:b w:val="false"/>
          <w:color w:val="000000"/>
          <w:sz w:val="20"/>
        </w:rPr>
        <w:t xml:space="preserve">66 percent interest in Cardinal, a subsidiary that provides gathering services for the Utica Shale region and is a VIE due to certain risks shared with customers. Williams is the primary beneficiary because it has the power to direct the activities that most significantly impact Cardinal’s economic performance. Future expansion activity is expected to be funded with capital contributions from Williams and the other equity partner on a proportional basis. </w:t>
      </w:r>
    </w:p>
    <w:p>
      <w:pPr>
        <w:pStyle w:val="TextBody"/>
        <w:bidi w:val="0"/>
        <w:spacing w:lineRule="auto" w:line="288" w:before="180" w:after="200"/>
        <w:jc w:val="both"/>
        <w:rPr>
          <w:rFonts w:ascii="Times New Roman;serif" w:hAnsi="Times New Roman;serif"/>
          <w:b/>
          <w:i/>
          <w:color w:val="000000"/>
          <w:sz w:val="20"/>
        </w:rPr>
      </w:pPr>
      <w:r>
        <w:rPr>
          <w:rFonts w:ascii="Times New Roman;serif" w:hAnsi="Times New Roman;serif"/>
          <w:b/>
          <w:i/>
          <w:color w:val="000000"/>
          <w:sz w:val="20"/>
        </w:rPr>
        <w:t>Driftwood Pipeline</w:t>
      </w:r>
    </w:p>
    <w:p>
      <w:pPr>
        <w:pStyle w:val="TextBody"/>
        <w:bidi w:val="0"/>
        <w:spacing w:lineRule="auto" w:line="288" w:before="18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owns an 80 percent interest in Driftwood Pipeline LLC (Driftwood Pipeline), a subsidiary that is a VIE because completion of the Driftwood Pipeline will require additional subordinated financial support from its equity holders in the form of capital contributions. Williams is the primary beneficiary because it has the power to direct the activities that most significantly impact Driftwood Pipeline’s economic performance. Williams, as the operator of Driftwood Pipeline, is responsible for the construction of Line 200 which will supply gas to Louisiana LNG LLC’s (Louisiana LNG) export facility near Lake Charles, Louisiana. The total remaining cost of the project is expected to be funded with capital contributions from Williams and the other equity partner on a proportional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amounts included in the Consolidated Balance Sheet that are only for the use or obligation of the consolidated VIEs:</w:t>
      </w:r>
    </w:p>
    <w:tbl>
      <w:tblPr>
        <w:tblW w:w="6491" w:type="dxa"/>
        <w:jc w:val="center"/>
        <w:tblInd w:w="0" w:type="dxa"/>
        <w:tblLayout w:type="fixed"/>
        <w:tblCellMar>
          <w:top w:w="28" w:type="dxa"/>
          <w:left w:w="28" w:type="dxa"/>
          <w:bottom w:w="28" w:type="dxa"/>
          <w:right w:w="28" w:type="dxa"/>
        </w:tblCellMar>
      </w:tblPr>
      <w:tblGrid>
        <w:gridCol w:w="1511"/>
        <w:gridCol w:w="1326"/>
        <w:gridCol w:w="1332"/>
        <w:gridCol w:w="265"/>
        <w:gridCol w:w="453"/>
        <w:gridCol w:w="137"/>
        <w:gridCol w:w="109"/>
        <w:gridCol w:w="109"/>
        <w:gridCol w:w="109"/>
        <w:gridCol w:w="331"/>
        <w:gridCol w:w="567"/>
        <w:gridCol w:w="242"/>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 (liabilities):</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Cash and cash equivalents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9"/>
              </w:rPr>
            </w:pPr>
            <w:r>
              <w:rPr>
                <w:rFonts w:ascii="Times New Roman;serif" w:hAnsi="Times New Roman;serif"/>
                <w:b w:val="false"/>
                <w:i/>
                <w:color w:val="000000"/>
                <w:sz w:val="19"/>
              </w:rPr>
              <w:t>Trade accounts and other receivables</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Inventories</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Other current assets and deferred charges</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Property, plant, and equipment – net</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9"/>
              </w:rPr>
            </w:pPr>
            <w:r>
              <w:rPr>
                <w:rFonts w:ascii="Times New Roman;serif" w:hAnsi="Times New Roman;serif"/>
                <w:b w:val="false"/>
                <w:i/>
                <w:color w:val="000000"/>
                <w:sz w:val="19"/>
              </w:rPr>
              <w:t>Intangible assets – net</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Regulatory assets, deferred charges, and other</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Accounts payable</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i/>
                <w:color w:val="000000"/>
                <w:sz w:val="19"/>
              </w:rPr>
            </w:pPr>
            <w:r>
              <w:rPr>
                <w:rFonts w:ascii="Times New Roman;serif" w:hAnsi="Times New Roman;serif"/>
                <w:b w:val="false"/>
                <w:i/>
                <w:color w:val="000000"/>
                <w:sz w:val="19"/>
              </w:rPr>
              <w:t>Other current liabilities</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Regulatory liabilities, deferred income, and other</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Nonconsolidated VIEs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Williams owns certain equity-method investments that are VIEs due primarily to its limited participating rights as a minority equity holder. Williams’ maximum exposure to loss is limited to the carrying value of these investments (included within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in the Consolidated Balance Sheet), which totaled $609 million at March 31, 2026. Included in this total is Williams’ investment in Louisiana LNG and Cogentrix (discussed below).</w:t>
      </w:r>
    </w:p>
    <w:p>
      <w:pPr>
        <w:pStyle w:val="TextBody"/>
        <w:bidi w:val="0"/>
        <w:spacing w:lineRule="auto" w:line="276" w:before="180" w:after="200"/>
        <w:jc w:val="both"/>
        <w:rPr>
          <w:rFonts w:ascii="Times New Roman;serif" w:hAnsi="Times New Roman;serif"/>
          <w:b/>
          <w:i/>
          <w:color w:val="000000"/>
          <w:sz w:val="20"/>
        </w:rPr>
      </w:pPr>
      <w:r>
        <w:rPr>
          <w:rFonts w:ascii="Times New Roman;serif" w:hAnsi="Times New Roman;serif"/>
          <w:b/>
          <w:i/>
          <w:color w:val="000000"/>
          <w:sz w:val="20"/>
        </w:rPr>
        <w:t>Louisiana LNG</w:t>
      </w:r>
    </w:p>
    <w:p>
      <w:pPr>
        <w:pStyle w:val="TextBody"/>
        <w:bidi w:val="0"/>
        <w:spacing w:lineRule="auto" w:line="288" w:before="180" w:after="200"/>
        <w:ind w:left="0" w:right="0" w:firstLine="360"/>
        <w:jc w:val="both"/>
        <w:rPr/>
      </w:pPr>
      <w:r>
        <w:rPr>
          <w:rFonts w:ascii="Times New Roman;serif" w:hAnsi="Times New Roman;serif"/>
          <w:b w:val="false"/>
          <w:color w:val="000000"/>
          <w:sz w:val="20"/>
        </w:rPr>
        <w:t>Williams owns a 10 percent interest in Louisiana LNG, which is a VIE because completion of the LNG facilities will require additional subordinated financial support from its equity holders in the form of capital contributions. At March 31, 2026, the carrying value of our investment in Louisiana LNG was $264 million. Our maximum exposure to loss is limited to the carrying value of our investment. The total remaining cost of the project is expected to be funded with capital contributions from Williams and the other equity partners on a proportional basis.</w:t>
      </w:r>
      <w:r>
        <w:rPr>
          <w:color w:val="000000"/>
        </w:rPr>
        <w:t xml:space="preserve"> </w:t>
      </w:r>
    </w:p>
    <w:p>
      <w:pPr>
        <w:pStyle w:val="TextBody"/>
        <w:bidi w:val="0"/>
        <w:spacing w:lineRule="auto" w:line="288" w:before="180" w:after="200"/>
        <w:jc w:val="both"/>
        <w:rPr>
          <w:rFonts w:ascii="Times New Roman;serif" w:hAnsi="Times New Roman;serif"/>
          <w:b/>
          <w:i/>
          <w:color w:val="000000"/>
          <w:sz w:val="20"/>
        </w:rPr>
      </w:pPr>
      <w:r>
        <w:rPr>
          <w:rFonts w:ascii="Times New Roman;serif" w:hAnsi="Times New Roman;serif"/>
          <w:b/>
          <w:i/>
          <w:color w:val="000000"/>
          <w:sz w:val="20"/>
        </w:rPr>
        <w:t>Cogentrix</w:t>
      </w:r>
    </w:p>
    <w:p>
      <w:pPr>
        <w:pStyle w:val="TextBody"/>
        <w:bidi w:val="0"/>
        <w:spacing w:lineRule="auto" w:line="288" w:before="18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Cogentrix investment represents an approximate 10 percent indirect interest in 11 natural gas power plants. Williams’ investment is accounted for under the equity-method within the Gas &amp; NGL Marketing Services segment, while the investee is considered an investment company, which requires accounting for its investments at fair value. Williams’ equity earnings from Cogentrix reflect its share of the operating expenses and fair value changes recorded by the investee. The current carrying value reflects the favorable impact to fair value of an announced agreement to sell a significant portion of the underlying power plant assets. The Cogentrix investment is a VIE due primarily to our limited participation rights to direct Cogentrix’s activities. At March 31, 2026, the carrying value of our investment in Cogentrix was $292 million. Our maximum exposure to loss is limited to the carrying value of 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3 –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Sale of South Mansfield Upstream Interests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Williams entered into an agreement to sell its interests in certain upstream ventures in the South Mansfield area of the Haynesville Shale region, included in upstream operations within Other, for consideration of $398 million with additional contingent consideration to possibly be received through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pPr>
      <w:r>
        <w:rPr>
          <w:rFonts w:ascii="Times New Roman;serif" w:hAnsi="Times New Roman;serif"/>
          <w:b w:val="false"/>
          <w:color w:val="000000"/>
          <w:sz w:val="20"/>
        </w:rPr>
        <w:t xml:space="preserve">Williams designated these operations as held for sale, with the associated assets and liabilities included in </w:t>
      </w:r>
      <w:r>
        <w:rPr>
          <w:rFonts w:ascii="Times New Roman;serif" w:hAnsi="Times New Roman;serif"/>
          <w:b w:val="false"/>
          <w:i/>
          <w:color w:val="000000"/>
          <w:sz w:val="20"/>
        </w:rPr>
        <w:t>Assets held for sale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Liabilities held for sale</w:t>
      </w:r>
      <w:r>
        <w:rPr>
          <w:rFonts w:ascii="Times New Roman;serif" w:hAnsi="Times New Roman;serif"/>
          <w:b w:val="false"/>
          <w:color w:val="000000"/>
          <w:sz w:val="20"/>
        </w:rPr>
        <w:t xml:space="preserve">, respectively, as of December 31, 2025. The transaction closed on January 30, 2026, and as a result of the sale Williams recognized a gain of $182 million in the first quarter of 2026 within Other. The gain is reflected in </w:t>
      </w:r>
      <w:r>
        <w:rPr>
          <w:rFonts w:ascii="Times New Roman;serif" w:hAnsi="Times New Roman;serif"/>
          <w:b w:val="false"/>
          <w:i/>
          <w:color w:val="000000"/>
          <w:sz w:val="20"/>
        </w:rPr>
        <w:t>Gain on sale of certain assets</w:t>
      </w:r>
      <w:r>
        <w:rPr>
          <w:rFonts w:ascii="Times New Roman;serif" w:hAnsi="Times New Roman;serif"/>
          <w:b w:val="false"/>
          <w:color w:val="000000"/>
          <w:sz w:val="20"/>
        </w:rPr>
        <w:t xml:space="preserve">, and the proceeds are reflected in </w:t>
      </w:r>
      <w:r>
        <w:rPr>
          <w:rFonts w:ascii="Times New Roman;serif" w:hAnsi="Times New Roman;serif"/>
          <w:b w:val="false"/>
          <w:i/>
          <w:color w:val="000000"/>
          <w:sz w:val="20"/>
        </w:rPr>
        <w:t>Dispositions – net</w:t>
      </w:r>
      <w:r>
        <w:rPr>
          <w:rFonts w:ascii="Times New Roman;serif" w:hAnsi="Times New Roman;serif"/>
          <w:b w:val="false"/>
          <w:color w:val="000000"/>
          <w:sz w:val="20"/>
        </w:rPr>
        <w:t>. The results of operations for this disposal group, excluding the gain noted, were not significant for the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Transco and NWP Affiliate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Management Program</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Transco and NWP are participants in Williams’ cash management program, and thus make advances to and receive advances from Williams. Advances to Williams are represented by demand notes and are classified as </w:t>
      </w:r>
      <w:r>
        <w:rPr>
          <w:rFonts w:ascii="Times New Roman;serif" w:hAnsi="Times New Roman;serif"/>
          <w:b w:val="false"/>
          <w:i/>
          <w:color w:val="000000"/>
          <w:sz w:val="20"/>
        </w:rPr>
        <w:t>Trade accounts and other receivables</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Advances to affiliate</w:t>
      </w:r>
      <w:r>
        <w:rPr>
          <w:color w:val="000000"/>
        </w:rPr>
        <w:t xml:space="preserve"> </w:t>
      </w:r>
      <w:r>
        <w:rPr>
          <w:rFonts w:ascii="Times New Roman;serif" w:hAnsi="Times New Roman;serif"/>
          <w:b w:val="false"/>
          <w:color w:val="000000"/>
          <w:sz w:val="20"/>
        </w:rPr>
        <w:t xml:space="preserve">in the Balance Sheet. </w:t>
      </w:r>
    </w:p>
    <w:tbl>
      <w:tblPr>
        <w:tblW w:w="4465" w:type="dxa"/>
        <w:jc w:val="left"/>
        <w:tblInd w:w="0" w:type="dxa"/>
        <w:tblLayout w:type="fixed"/>
        <w:tblCellMar>
          <w:top w:w="28" w:type="dxa"/>
          <w:left w:w="28" w:type="dxa"/>
          <w:bottom w:w="28" w:type="dxa"/>
          <w:right w:w="28" w:type="dxa"/>
        </w:tblCellMar>
      </w:tblPr>
      <w:tblGrid>
        <w:gridCol w:w="652"/>
        <w:gridCol w:w="572"/>
        <w:gridCol w:w="576"/>
        <w:gridCol w:w="211"/>
        <w:gridCol w:w="616"/>
        <w:gridCol w:w="109"/>
        <w:gridCol w:w="109"/>
        <w:gridCol w:w="109"/>
        <w:gridCol w:w="109"/>
        <w:gridCol w:w="305"/>
        <w:gridCol w:w="675"/>
        <w:gridCol w:w="15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affiliate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Transco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NWP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val="false"/>
          <w:color w:val="000000"/>
          <w:sz w:val="20"/>
        </w:rPr>
        <w:t>Interest expense and income are recognized when earned and the collectability is reasonably assured. The interest rate on intercompany demand notes is based upon the daily overnight investment rate paid on Williams’ excess cash at the end of each month, which was approximately 4 percent at March 31, 2026. Interest income is included in</w:t>
      </w:r>
      <w:r>
        <w:rPr>
          <w:color w:val="000000"/>
        </w:rPr>
        <w:t xml:space="preserve"> </w:t>
      </w: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 xml:space="preserve">in the Statement of Net Income for Transco and </w:t>
      </w:r>
      <w:r>
        <w:rPr>
          <w:rFonts w:ascii="Times New Roman;serif" w:hAnsi="Times New Roman;serif"/>
          <w:b w:val="false"/>
          <w:i/>
          <w:color w:val="000000"/>
          <w:sz w:val="20"/>
        </w:rPr>
        <w:t>Other income (expense) – net</w:t>
      </w:r>
      <w:r>
        <w:rPr>
          <w:color w:val="000000"/>
        </w:rPr>
        <w:t xml:space="preserve"> </w:t>
      </w:r>
      <w:r>
        <w:rPr>
          <w:rFonts w:ascii="Times New Roman;serif" w:hAnsi="Times New Roman;serif"/>
          <w:b w:val="false"/>
          <w:color w:val="000000"/>
          <w:sz w:val="20"/>
        </w:rPr>
        <w:t>in the Statement of Net Income for NWP.</w:t>
      </w:r>
    </w:p>
    <w:tbl>
      <w:tblPr>
        <w:tblW w:w="6870" w:type="dxa"/>
        <w:jc w:val="left"/>
        <w:tblInd w:w="0" w:type="dxa"/>
        <w:tblLayout w:type="fixed"/>
        <w:tblCellMar>
          <w:top w:w="28" w:type="dxa"/>
          <w:left w:w="28" w:type="dxa"/>
          <w:bottom w:w="28" w:type="dxa"/>
          <w:right w:w="28" w:type="dxa"/>
        </w:tblCellMar>
      </w:tblPr>
      <w:tblGrid>
        <w:gridCol w:w="1052"/>
        <w:gridCol w:w="925"/>
        <w:gridCol w:w="932"/>
        <w:gridCol w:w="109"/>
        <w:gridCol w:w="109"/>
        <w:gridCol w:w="312"/>
        <w:gridCol w:w="312"/>
        <w:gridCol w:w="605"/>
        <w:gridCol w:w="1036"/>
        <w:gridCol w:w="312"/>
        <w:gridCol w:w="109"/>
        <w:gridCol w:w="109"/>
        <w:gridCol w:w="109"/>
        <w:gridCol w:w="211"/>
        <w:gridCol w:w="256"/>
        <w:gridCol w:w="109"/>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66" w:type="dxa"/>
            <w:gridSpan w:val="8"/>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 from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NWP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Affiliate Transactions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Revenues received from affiliates are included in Transco’s </w:t>
      </w:r>
      <w:r>
        <w:rPr>
          <w:rFonts w:ascii="Times New Roman;serif" w:hAnsi="Times New Roman;serif"/>
          <w:b w:val="false"/>
          <w:i/>
          <w:color w:val="000000"/>
          <w:sz w:val="20"/>
        </w:rPr>
        <w:t xml:space="preserve">Total revenues </w:t>
      </w:r>
      <w:r>
        <w:rPr>
          <w:rFonts w:ascii="Times New Roman;serif" w:hAnsi="Times New Roman;serif"/>
          <w:b w:val="false"/>
          <w:color w:val="000000"/>
          <w:sz w:val="20"/>
        </w:rPr>
        <w:t xml:space="preserve">in the Statement of Net Income. Costs of gas purchased from affiliates are included in Transco’s </w:t>
      </w:r>
      <w:r>
        <w:rPr>
          <w:rFonts w:ascii="Times New Roman;serif" w:hAnsi="Times New Roman;serif"/>
          <w:b w:val="false"/>
          <w:i/>
          <w:color w:val="000000"/>
          <w:sz w:val="20"/>
        </w:rPr>
        <w:t xml:space="preserve">Natural gas product costs </w:t>
      </w:r>
      <w:r>
        <w:rPr>
          <w:rFonts w:ascii="Times New Roman;serif" w:hAnsi="Times New Roman;serif"/>
          <w:b w:val="false"/>
          <w:color w:val="000000"/>
          <w:sz w:val="20"/>
        </w:rPr>
        <w:t>in the Statement of Net Income. All gas purchases are made at market or contracted prices.</w:t>
      </w:r>
    </w:p>
    <w:tbl>
      <w:tblPr>
        <w:tblW w:w="6225" w:type="dxa"/>
        <w:jc w:val="left"/>
        <w:tblInd w:w="0" w:type="dxa"/>
        <w:tblLayout w:type="fixed"/>
        <w:tblCellMar>
          <w:top w:w="28" w:type="dxa"/>
          <w:left w:w="28" w:type="dxa"/>
          <w:bottom w:w="28" w:type="dxa"/>
          <w:right w:w="28" w:type="dxa"/>
        </w:tblCellMar>
      </w:tblPr>
      <w:tblGrid>
        <w:gridCol w:w="781"/>
        <w:gridCol w:w="688"/>
        <w:gridCol w:w="690"/>
        <w:gridCol w:w="109"/>
        <w:gridCol w:w="109"/>
        <w:gridCol w:w="312"/>
        <w:gridCol w:w="312"/>
        <w:gridCol w:w="605"/>
        <w:gridCol w:w="1036"/>
        <w:gridCol w:w="312"/>
        <w:gridCol w:w="109"/>
        <w:gridCol w:w="109"/>
        <w:gridCol w:w="109"/>
        <w:gridCol w:w="211"/>
        <w:gridCol w:w="361"/>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271" w:type="dxa"/>
            <w:gridSpan w:val="8"/>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Transco affiliate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05" cy="14605"/>
                <wp:effectExtent l="0" t="0" r="0" b="0"/>
                <wp:wrapNone/>
                <wp:docPr id="25" name="Frame2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ind w:left="0" w:right="0" w:firstLine="360"/>
        <w:jc w:val="both"/>
        <w:rPr/>
      </w:pPr>
      <w:r>
        <w:rPr>
          <w:rFonts w:ascii="Times New Roman;serif" w:hAnsi="Times New Roman;serif"/>
          <w:b w:val="false"/>
          <w:color w:val="000000"/>
          <w:sz w:val="20"/>
        </w:rPr>
        <w:t>Services necessary to operate Transco and NWP are provided by Williams and certain affiliates of Williams. Transco and NWP reimburse Williams and its affiliates for all direct and indirect expenses incurred or payments made (including salary, bonus, incentive compensation, and benefits) in connection with these services. Employees of Williams also provide general, administrative, and management services, and Transco and NWP are charged for certain administrative expenses incurred by Williams. These charges are either directly assigned or allocated. Allocated charges are specific or general.</w:t>
      </w:r>
      <w:r>
        <w:rPr>
          <w:color w:val="0F7F40"/>
        </w:rPr>
        <w:t xml:space="preserve"> </w:t>
      </w:r>
      <w:r>
        <w:rPr>
          <w:rFonts w:ascii="Times New Roman;serif" w:hAnsi="Times New Roman;serif"/>
          <w:b w:val="false"/>
          <w:color w:val="000000"/>
          <w:sz w:val="20"/>
        </w:rPr>
        <w:t xml:space="preserve">Specific allocations are based on metrics that bear a reasonable correlation to the delivery of services. General allocations are based on a three-factor formula, which considers net revenues, gross property, plant, and equipment, and gross payroll. In management’s estimation, the allocation methodologies used are reasonable and result in a reasonable allocation of costs of doing business incurred by Williams. These service expenses are primarily included in </w:t>
      </w:r>
      <w:r>
        <w:rPr>
          <w:rFonts w:ascii="Times New Roman;serif" w:hAnsi="Times New Roman;serif"/>
          <w:b w:val="false"/>
          <w:i/>
          <w:color w:val="000000"/>
          <w:sz w:val="20"/>
        </w:rPr>
        <w:t xml:space="preserve">Operating and maintenance expenses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General and administrative expenses</w:t>
      </w:r>
      <w:r>
        <w:rPr>
          <w:color w:val="000000"/>
        </w:rPr>
        <w:t xml:space="preserve"> </w:t>
      </w:r>
      <w:r>
        <w:rPr>
          <w:rFonts w:ascii="Times New Roman;serif" w:hAnsi="Times New Roman;serif"/>
          <w:b w:val="false"/>
          <w:color w:val="000000"/>
          <w:sz w:val="20"/>
        </w:rPr>
        <w:t>in the Statements of Net Income.</w:t>
      </w:r>
    </w:p>
    <w:tbl>
      <w:tblPr>
        <w:tblW w:w="6016" w:type="dxa"/>
        <w:jc w:val="left"/>
        <w:tblInd w:w="0" w:type="dxa"/>
        <w:tblLayout w:type="fixed"/>
        <w:tblCellMar>
          <w:top w:w="28" w:type="dxa"/>
          <w:left w:w="28" w:type="dxa"/>
          <w:bottom w:w="28" w:type="dxa"/>
          <w:right w:w="28" w:type="dxa"/>
        </w:tblCellMar>
      </w:tblPr>
      <w:tblGrid>
        <w:gridCol w:w="706"/>
        <w:gridCol w:w="621"/>
        <w:gridCol w:w="623"/>
        <w:gridCol w:w="109"/>
        <w:gridCol w:w="109"/>
        <w:gridCol w:w="312"/>
        <w:gridCol w:w="312"/>
        <w:gridCol w:w="605"/>
        <w:gridCol w:w="1036"/>
        <w:gridCol w:w="312"/>
        <w:gridCol w:w="109"/>
        <w:gridCol w:w="109"/>
        <w:gridCol w:w="109"/>
        <w:gridCol w:w="211"/>
        <w:gridCol w:w="361"/>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271" w:type="dxa"/>
            <w:gridSpan w:val="8"/>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with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NWP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Revenue by Category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Williams’ revenue disaggregated by major service line:</w:t>
      </w:r>
    </w:p>
    <w:tbl>
      <w:tblPr>
        <w:tblW w:w="10205" w:type="dxa"/>
        <w:jc w:val="center"/>
        <w:tblInd w:w="0" w:type="dxa"/>
        <w:tblLayout w:type="fixed"/>
        <w:tblCellMar>
          <w:top w:w="28" w:type="dxa"/>
          <w:left w:w="28" w:type="dxa"/>
          <w:bottom w:w="28" w:type="dxa"/>
          <w:right w:w="28" w:type="dxa"/>
        </w:tblCellMar>
      </w:tblPr>
      <w:tblGrid>
        <w:gridCol w:w="688"/>
        <w:gridCol w:w="577"/>
        <w:gridCol w:w="487"/>
        <w:gridCol w:w="309"/>
        <w:gridCol w:w="850"/>
        <w:gridCol w:w="188"/>
        <w:gridCol w:w="109"/>
        <w:gridCol w:w="109"/>
        <w:gridCol w:w="109"/>
        <w:gridCol w:w="212"/>
        <w:gridCol w:w="477"/>
        <w:gridCol w:w="129"/>
        <w:gridCol w:w="109"/>
        <w:gridCol w:w="109"/>
        <w:gridCol w:w="109"/>
        <w:gridCol w:w="181"/>
        <w:gridCol w:w="406"/>
        <w:gridCol w:w="109"/>
        <w:gridCol w:w="109"/>
        <w:gridCol w:w="109"/>
        <w:gridCol w:w="109"/>
        <w:gridCol w:w="299"/>
        <w:gridCol w:w="670"/>
        <w:gridCol w:w="181"/>
        <w:gridCol w:w="109"/>
        <w:gridCol w:w="109"/>
        <w:gridCol w:w="109"/>
        <w:gridCol w:w="181"/>
        <w:gridCol w:w="406"/>
        <w:gridCol w:w="109"/>
        <w:gridCol w:w="109"/>
        <w:gridCol w:w="109"/>
        <w:gridCol w:w="109"/>
        <w:gridCol w:w="257"/>
        <w:gridCol w:w="534"/>
        <w:gridCol w:w="155"/>
        <w:gridCol w:w="109"/>
        <w:gridCol w:w="109"/>
        <w:gridCol w:w="109"/>
        <w:gridCol w:w="181"/>
        <w:gridCol w:w="496"/>
        <w:gridCol w:w="161"/>
      </w:tblGrid>
      <w:tr>
        <w:trPr/>
        <w:tc>
          <w:tcPr>
            <w:tcW w:w="68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Transmission, Power &amp; Gulf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Northeast G&amp;P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Gas &amp; NGL Marketing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3"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(Millions)</w:t>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9" w:type="dxa"/>
            <w:gridSpan w:val="33"/>
            <w:tcBorders/>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9" w:type="dxa"/>
            <w:gridSpan w:val="33"/>
            <w:tcBorders/>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9040"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Service revenues: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Regulated interstate natural gas transportation and storage</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Gathering, processing, transportation, fractionation, and storage:</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Monetary consideration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Commodity consideration</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service revenues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Product sales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revenues from contracts with customers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revenues (1)</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adjustments (2)</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(2,871)</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Total revenues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Service revenues: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Regulated interstate natural gas transportation and storage</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Gathering, processing, transportation, fractionation, and storage:</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Monetary consideration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Commodity consideration</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service revenues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Product sales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revenues from contracts with customers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revenues (1)</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adjustments (2)</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Total revenues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9" w:type="dxa"/>
            <w:gridSpan w:val="33"/>
            <w:tcBorders/>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20" w:after="283"/>
        <w:ind w:left="0" w:right="0" w:hanging="360"/>
        <w:jc w:val="both"/>
        <w:rPr/>
      </w:pPr>
      <w:r>
        <w:rPr>
          <w:rFonts w:ascii="Times New Roman;serif" w:hAnsi="Times New Roman;serif"/>
          <w:b w:val="false"/>
          <w:color w:val="000000"/>
          <w:sz w:val="20"/>
        </w:rPr>
        <w:t xml:space="preserve">(1)Revenues not derived from contracts with customers primarily consist of physical product sales related to commodity derivative contracts, realized and unrealized gains and losses associated with Williams’ commodity derivative contracts, which are reported in </w:t>
      </w:r>
      <w:r>
        <w:rPr>
          <w:rFonts w:ascii="Times New Roman;serif" w:hAnsi="Times New Roman;serif"/>
          <w:b w:val="false"/>
          <w:i/>
          <w:color w:val="000000"/>
          <w:sz w:val="20"/>
        </w:rPr>
        <w:t xml:space="preserve">Net gain (loss) from commodity derivatives </w:t>
      </w:r>
      <w:r>
        <w:rPr>
          <w:rFonts w:ascii="Times New Roman;serif" w:hAnsi="Times New Roman;serif"/>
          <w:b w:val="false"/>
          <w:color w:val="000000"/>
          <w:sz w:val="20"/>
        </w:rPr>
        <w:t>in the Consolidated Statement of Comprehensive Income, management fees received for certain services provided to operated equity-method investments, and leasing revenues associated with the Williams headquarters building.</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adjustments reflect certain costs of Gas &amp; NGL Marketing Services’ risk management activities. As Williams is acting as agent for natural gas marketing customers or engages in energy trading activities, the resulting revenues are presented net of the related costs of those activities in the Consolidated Statement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80" w:after="283"/>
        <w:ind w:left="0" w:right="0" w:firstLine="360"/>
        <w:jc w:val="both"/>
        <w:rPr/>
      </w:pPr>
      <w:r>
        <w:rPr>
          <w:rFonts w:ascii="Times New Roman;serif" w:hAnsi="Times New Roman;serif"/>
          <w:b w:val="false"/>
          <w:color w:val="000000"/>
          <w:sz w:val="20"/>
        </w:rPr>
        <w:t xml:space="preserve">For Transco and NWP, revenue disaggregation by major service line includes </w:t>
      </w:r>
      <w:r>
        <w:rPr>
          <w:rFonts w:ascii="Times New Roman;serif" w:hAnsi="Times New Roman;serif"/>
          <w:b w:val="false"/>
          <w:i/>
          <w:color w:val="000000"/>
          <w:sz w:val="20"/>
        </w:rPr>
        <w:t>Natural gas transportation service revenues</w:t>
      </w:r>
      <w:r>
        <w:rPr>
          <w:rFonts w:ascii="Times New Roman;serif" w:hAnsi="Times New Roman;serif"/>
          <w:b w:val="false"/>
          <w:color w:val="000000"/>
          <w:sz w:val="20"/>
        </w:rPr>
        <w:t xml:space="preserve">, </w:t>
      </w:r>
      <w:r>
        <w:rPr>
          <w:rFonts w:ascii="Times New Roman;serif" w:hAnsi="Times New Roman;serif"/>
          <w:b w:val="false"/>
          <w:i/>
          <w:color w:val="000000"/>
          <w:sz w:val="20"/>
        </w:rPr>
        <w:t>Natural gas storage service revenues</w:t>
      </w:r>
      <w:r>
        <w:rPr>
          <w:rFonts w:ascii="Times New Roman;serif" w:hAnsi="Times New Roman;serif"/>
          <w:b w:val="false"/>
          <w:color w:val="000000"/>
          <w:sz w:val="20"/>
        </w:rPr>
        <w:t xml:space="preserve">, </w:t>
      </w:r>
      <w:r>
        <w:rPr>
          <w:rFonts w:ascii="Times New Roman;serif" w:hAnsi="Times New Roman;serif"/>
          <w:b w:val="false"/>
          <w:i/>
          <w:color w:val="000000"/>
          <w:sz w:val="20"/>
        </w:rPr>
        <w:t>Natural gas product sales</w:t>
      </w:r>
      <w:r>
        <w:rPr>
          <w:rFonts w:ascii="Times New Roman;serif" w:hAnsi="Times New Roman;serif"/>
          <w:b w:val="false"/>
          <w:color w:val="000000"/>
          <w:sz w:val="20"/>
        </w:rPr>
        <w:t xml:space="preserve">, and </w:t>
      </w:r>
      <w:r>
        <w:rPr>
          <w:rFonts w:ascii="Times New Roman;serif" w:hAnsi="Times New Roman;serif"/>
          <w:b w:val="false"/>
          <w:i/>
          <w:color w:val="000000"/>
          <w:sz w:val="20"/>
        </w:rPr>
        <w:t>Other service revenues</w:t>
      </w:r>
      <w:r>
        <w:rPr>
          <w:rFonts w:ascii="Times New Roman;serif" w:hAnsi="Times New Roman;serif"/>
          <w:b w:val="false"/>
          <w:color w:val="000000"/>
          <w:sz w:val="20"/>
        </w:rPr>
        <w:t>, which are separately presented in their Statements of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contract assets:</w:t>
      </w:r>
    </w:p>
    <w:tbl>
      <w:tblPr>
        <w:tblW w:w="10205" w:type="dxa"/>
        <w:jc w:val="left"/>
        <w:tblInd w:w="0" w:type="dxa"/>
        <w:tblLayout w:type="fixed"/>
        <w:tblCellMar>
          <w:top w:w="28" w:type="dxa"/>
          <w:left w:w="28" w:type="dxa"/>
          <w:bottom w:w="28" w:type="dxa"/>
          <w:right w:w="28" w:type="dxa"/>
        </w:tblCellMar>
      </w:tblPr>
      <w:tblGrid>
        <w:gridCol w:w="1534"/>
        <w:gridCol w:w="1345"/>
        <w:gridCol w:w="134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5"/>
      </w:tblGrid>
      <w:tr>
        <w:trPr/>
        <w:tc>
          <w:tcPr>
            <w:tcW w:w="15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191" w:type="dxa"/>
            <w:gridSpan w:val="30"/>
            <w:tcBorders/>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070" w:type="dxa"/>
            <w:gridSpan w:val="18"/>
            <w:tcBorders/>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191" w:type="dxa"/>
            <w:gridSpan w:val="30"/>
            <w:tcBorders/>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NWP</w:t>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excess of amounts invoiced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volume commitments invoiced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contract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Liabilities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contract liabilities:</w:t>
      </w:r>
    </w:p>
    <w:tbl>
      <w:tblPr>
        <w:tblW w:w="7124" w:type="dxa"/>
        <w:jc w:val="left"/>
        <w:tblInd w:w="0" w:type="dxa"/>
        <w:tblLayout w:type="fixed"/>
        <w:tblCellMar>
          <w:top w:w="28" w:type="dxa"/>
          <w:left w:w="28" w:type="dxa"/>
          <w:bottom w:w="28" w:type="dxa"/>
          <w:right w:w="28" w:type="dxa"/>
        </w:tblCellMar>
      </w:tblPr>
      <w:tblGrid>
        <w:gridCol w:w="1016"/>
        <w:gridCol w:w="892"/>
        <w:gridCol w:w="896"/>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534" w:type="dxa"/>
            <w:gridSpan w:val="18"/>
            <w:tcBorders/>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271" w:type="dxa"/>
            <w:gridSpan w:val="12"/>
            <w:tcBorders/>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534" w:type="dxa"/>
            <w:gridSpan w:val="18"/>
            <w:tcBorders/>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Transco</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 and deferred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Significant financing component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in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the contract liabilities balance expected to be recognized as revenue when performance obligations are satisfied as of March 31, 2026.</w:t>
      </w:r>
    </w:p>
    <w:tbl>
      <w:tblPr>
        <w:tblW w:w="3654" w:type="dxa"/>
        <w:jc w:val="left"/>
        <w:tblInd w:w="0" w:type="dxa"/>
        <w:tblLayout w:type="fixed"/>
        <w:tblCellMar>
          <w:top w:w="28" w:type="dxa"/>
          <w:left w:w="28" w:type="dxa"/>
          <w:bottom w:w="28" w:type="dxa"/>
          <w:right w:w="28" w:type="dxa"/>
        </w:tblCellMar>
      </w:tblPr>
      <w:tblGrid>
        <w:gridCol w:w="619"/>
        <w:gridCol w:w="543"/>
        <w:gridCol w:w="548"/>
        <w:gridCol w:w="211"/>
        <w:gridCol w:w="466"/>
        <w:gridCol w:w="109"/>
        <w:gridCol w:w="109"/>
        <w:gridCol w:w="109"/>
        <w:gridCol w:w="109"/>
        <w:gridCol w:w="211"/>
        <w:gridCol w:w="46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Liabilities</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Transco</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 (one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(one year)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(one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(one year)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primarily include reservation charges on contracted capacity for Williams’ gas pipeline firm transportation contracts with customers, storage capacity contracts, long-term contracts containing MVC associated with midstream businesses, and fixed payments associated with offshore gathering and transportation. For Williams’ interstate natural gas pipeline businesses, including Transco and NWP, remaining performance obligations generally reflect the expected rates for such services for the life of the related contracts; however, these rates may change based on future tariffs approved by the FERC.</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exclude variable consideration, including contracts with variable consideration for which it has elected the practical expedient for consideration recognized in revenue as billed. Certain of its contracts contain evergreen and other renewal provisions for periods beyond the initial term of the contract. The remaining performance obligation amounts as of March 31, 2026, do not consider potential future performance obligations for which the renewal has not been exercised and exclude contracts with customers for which the underlying facilities have not received FERC authorization to be placed into service. Consideration received prior to March 31, 2026, that will be recognized in future periods is also excluded from its remaining performance obligations and is instead reflected in contract liabilities.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transaction price allocated to the remaining performance obligations under certain contracts as of March 31, 2026.</w:t>
      </w:r>
    </w:p>
    <w:tbl>
      <w:tblPr>
        <w:tblW w:w="5427" w:type="dxa"/>
        <w:jc w:val="left"/>
        <w:tblInd w:w="0" w:type="dxa"/>
        <w:tblLayout w:type="fixed"/>
        <w:tblCellMar>
          <w:top w:w="28" w:type="dxa"/>
          <w:left w:w="28" w:type="dxa"/>
          <w:bottom w:w="28" w:type="dxa"/>
          <w:right w:w="28" w:type="dxa"/>
        </w:tblCellMar>
      </w:tblPr>
      <w:tblGrid>
        <w:gridCol w:w="619"/>
        <w:gridCol w:w="543"/>
        <w:gridCol w:w="548"/>
        <w:gridCol w:w="211"/>
        <w:gridCol w:w="721"/>
        <w:gridCol w:w="109"/>
        <w:gridCol w:w="109"/>
        <w:gridCol w:w="109"/>
        <w:gridCol w:w="109"/>
        <w:gridCol w:w="211"/>
        <w:gridCol w:w="721"/>
        <w:gridCol w:w="109"/>
        <w:gridCol w:w="109"/>
        <w:gridCol w:w="109"/>
        <w:gridCol w:w="109"/>
        <w:gridCol w:w="211"/>
        <w:gridCol w:w="61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Performance Obligations</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Williams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NWP</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 (one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(one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(one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(one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following is a summary of Williams’ </w:t>
      </w:r>
      <w:r>
        <w:rPr>
          <w:rFonts w:ascii="Times New Roman;serif" w:hAnsi="Times New Roman;serif"/>
          <w:b w:val="false"/>
          <w:i/>
          <w:color w:val="000000"/>
          <w:sz w:val="20"/>
        </w:rPr>
        <w:t>Trade accounts and other receivables</w:t>
      </w:r>
      <w:r>
        <w:rPr>
          <w:rFonts w:ascii="Times New Roman;serif" w:hAnsi="Times New Roman;serif"/>
          <w:b w:val="false"/>
          <w:color w:val="000000"/>
          <w:sz w:val="20"/>
        </w:rPr>
        <w:t>:</w:t>
      </w:r>
    </w:p>
    <w:tbl>
      <w:tblPr>
        <w:tblW w:w="9011" w:type="dxa"/>
        <w:jc w:val="left"/>
        <w:tblInd w:w="0" w:type="dxa"/>
        <w:tblLayout w:type="fixed"/>
        <w:tblCellMar>
          <w:top w:w="28" w:type="dxa"/>
          <w:left w:w="28" w:type="dxa"/>
          <w:bottom w:w="28" w:type="dxa"/>
          <w:right w:w="28" w:type="dxa"/>
        </w:tblCellMar>
      </w:tblPr>
      <w:tblGrid>
        <w:gridCol w:w="2102"/>
        <w:gridCol w:w="1848"/>
        <w:gridCol w:w="1854"/>
        <w:gridCol w:w="291"/>
        <w:gridCol w:w="849"/>
        <w:gridCol w:w="150"/>
        <w:gridCol w:w="109"/>
        <w:gridCol w:w="109"/>
        <w:gridCol w:w="109"/>
        <w:gridCol w:w="342"/>
        <w:gridCol w:w="999"/>
        <w:gridCol w:w="249"/>
      </w:tblGrid>
      <w:tr>
        <w:trPr/>
        <w:tc>
          <w:tcPr>
            <w:tcW w:w="210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related to revenues from contracts with customers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derivatives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accounts receivable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Trade accounts and other receivables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Transco and NWP receivables from contracts with customers are included within </w:t>
      </w:r>
      <w:r>
        <w:rPr>
          <w:rFonts w:ascii="Times New Roman;serif" w:hAnsi="Times New Roman;serif"/>
          <w:b w:val="false"/>
          <w:i/>
          <w:color w:val="000000"/>
          <w:sz w:val="20"/>
        </w:rPr>
        <w:t>Receivables - Trade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Receivables - Affiliates.</w:t>
      </w:r>
      <w:r>
        <w:rPr>
          <w:color w:val="000000"/>
        </w:rPr>
        <w:t xml:space="preserve"> </w:t>
      </w:r>
      <w:r>
        <w:rPr>
          <w:rFonts w:ascii="Times New Roman;serif" w:hAnsi="Times New Roman;serif"/>
          <w:b w:val="false"/>
          <w:color w:val="000000"/>
          <w:sz w:val="20"/>
        </w:rPr>
        <w:t xml:space="preserve">Receivables that are not related to contracts with customers are included within </w:t>
      </w:r>
      <w:r>
        <w:rPr>
          <w:rFonts w:ascii="Times New Roman;serif" w:hAnsi="Times New Roman;serif"/>
          <w:b w:val="false"/>
          <w:i/>
          <w:color w:val="000000"/>
          <w:sz w:val="20"/>
        </w:rPr>
        <w:t>Receivables - Advances to affiliate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Receivables - Other</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6 – Provision (Benefit) for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Williams’ </w:t>
      </w:r>
      <w:r>
        <w:rPr>
          <w:rFonts w:ascii="Times New Roman;serif" w:hAnsi="Times New Roman;serif"/>
          <w:b w:val="false"/>
          <w:i/>
          <w:color w:val="000000"/>
          <w:sz w:val="19"/>
        </w:rPr>
        <w:t>Provision (benefit) for income taxes</w:t>
      </w:r>
      <w:r>
        <w:rPr>
          <w:color w:val="000000"/>
        </w:rPr>
        <w:t xml:space="preserve"> </w:t>
      </w:r>
      <w:r>
        <w:rPr>
          <w:rFonts w:ascii="Times New Roman;serif" w:hAnsi="Times New Roman;serif"/>
          <w:b w:val="false"/>
          <w:color w:val="000000"/>
          <w:sz w:val="20"/>
        </w:rPr>
        <w:t>includes:</w:t>
      </w:r>
    </w:p>
    <w:tbl>
      <w:tblPr>
        <w:tblW w:w="7021" w:type="dxa"/>
        <w:jc w:val="left"/>
        <w:tblInd w:w="0" w:type="dxa"/>
        <w:tblLayout w:type="fixed"/>
        <w:tblCellMar>
          <w:top w:w="28" w:type="dxa"/>
          <w:left w:w="28" w:type="dxa"/>
          <w:bottom w:w="28" w:type="dxa"/>
          <w:right w:w="28" w:type="dxa"/>
        </w:tblCellMar>
      </w:tblPr>
      <w:tblGrid>
        <w:gridCol w:w="1091"/>
        <w:gridCol w:w="959"/>
        <w:gridCol w:w="979"/>
        <w:gridCol w:w="109"/>
        <w:gridCol w:w="109"/>
        <w:gridCol w:w="260"/>
        <w:gridCol w:w="260"/>
        <w:gridCol w:w="504"/>
        <w:gridCol w:w="1114"/>
        <w:gridCol w:w="260"/>
        <w:gridCol w:w="109"/>
        <w:gridCol w:w="109"/>
        <w:gridCol w:w="109"/>
        <w:gridCol w:w="211"/>
        <w:gridCol w:w="466"/>
        <w:gridCol w:w="109"/>
        <w:gridCol w:w="109"/>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March 31,</w:t>
            </w:r>
          </w:p>
        </w:tc>
        <w:tc>
          <w:tcPr>
            <w:tcW w:w="1376" w:type="dxa"/>
            <w:gridSpan w:val="8"/>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pPr>
      <w:r>
        <w:rPr>
          <w:rFonts w:ascii="Times New Roman;serif" w:hAnsi="Times New Roman;serif"/>
          <w:b w:val="false"/>
          <w:color w:val="000000"/>
          <w:sz w:val="20"/>
        </w:rPr>
        <w:t>The effective income tax rate for the total provision (benefit) for both the three months ended March 31, 2026</w:t>
      </w:r>
      <w:r>
        <w:rPr>
          <w:color w:val="000000"/>
        </w:rPr>
        <w:t xml:space="preserve"> </w:t>
      </w:r>
      <w:r>
        <w:rPr>
          <w:rFonts w:ascii="Times New Roman;serif" w:hAnsi="Times New Roman;serif"/>
          <w:b w:val="false"/>
          <w:color w:val="000000"/>
          <w:sz w:val="20"/>
        </w:rPr>
        <w:t>and 2025 approximates the federal statutory rate, primarily due to the largely offsetting effects of state income taxes and the benefit associated with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 Debt and Banking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Senior Unsecured Debt Activity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Issuances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Issuances in 2026 are as follows:</w:t>
      </w:r>
    </w:p>
    <w:tbl>
      <w:tblPr>
        <w:tblW w:w="6303" w:type="dxa"/>
        <w:jc w:val="left"/>
        <w:tblInd w:w="0" w:type="dxa"/>
        <w:tblLayout w:type="fixed"/>
        <w:tblCellMar>
          <w:top w:w="28" w:type="dxa"/>
          <w:left w:w="28" w:type="dxa"/>
          <w:bottom w:w="28" w:type="dxa"/>
          <w:right w:w="28" w:type="dxa"/>
        </w:tblCellMar>
      </w:tblPr>
      <w:tblGrid>
        <w:gridCol w:w="848"/>
        <w:gridCol w:w="745"/>
        <w:gridCol w:w="761"/>
        <w:gridCol w:w="109"/>
        <w:gridCol w:w="109"/>
        <w:gridCol w:w="109"/>
        <w:gridCol w:w="464"/>
        <w:gridCol w:w="464"/>
        <w:gridCol w:w="466"/>
        <w:gridCol w:w="109"/>
        <w:gridCol w:w="109"/>
        <w:gridCol w:w="109"/>
        <w:gridCol w:w="213"/>
        <w:gridCol w:w="471"/>
        <w:gridCol w:w="110"/>
        <w:gridCol w:w="109"/>
        <w:gridCol w:w="109"/>
        <w:gridCol w:w="109"/>
        <w:gridCol w:w="228"/>
        <w:gridCol w:w="228"/>
        <w:gridCol w:w="32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w:t>
            </w:r>
          </w:p>
        </w:tc>
      </w:tr>
      <w:tr>
        <w:trPr/>
        <w:tc>
          <w:tcPr>
            <w:tcW w:w="2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Williams’ Public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8, 2026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15,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5.650%</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5.150%</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15,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5.950%</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Additional issuance of the 5.65 percent senior notes due 2033 issued on March 2, 2023, and trade interchangeably with such notes.</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Retirements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Retirements in 2026 are as follows:</w:t>
      </w:r>
    </w:p>
    <w:tbl>
      <w:tblPr>
        <w:tblW w:w="5500"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429"/>
        <w:gridCol w:w="429"/>
        <w:gridCol w:w="431"/>
        <w:gridCol w:w="109"/>
        <w:gridCol w:w="109"/>
        <w:gridCol w:w="109"/>
        <w:gridCol w:w="211"/>
        <w:gridCol w:w="616"/>
        <w:gridCol w:w="109"/>
        <w:gridCol w:w="109"/>
        <w:gridCol w:w="109"/>
        <w:gridCol w:w="109"/>
        <w:gridCol w:w="228"/>
        <w:gridCol w:w="228"/>
        <w:gridCol w:w="32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 of 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w:t>
            </w:r>
          </w:p>
        </w:tc>
      </w:tr>
      <w:tr>
        <w:trPr/>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5.400%</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Transco Debt Registration Rights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20, 2025, Transco issued $1 billion of 5.1 percent senior unsecured notes due 2036 and $700 million of 5.75 percent senior unsecured notes due 2056. As part of the private debt placement, Transco entered into a registration rights agreement with the initial purchasers of the unsecured notes. Transco filed the registration statement in February 2026 and completed the exchange offer in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Williams, Transco and NWP are party to a credit agreement with aggregate commitments available of $3.75 billion. Transco and NWP are each able to borrow up to $500 million under the credit facility to the extent not otherwise utilized by the other co-borrowers. </w:t>
      </w:r>
    </w:p>
    <w:tbl>
      <w:tblPr>
        <w:tblW w:w="7286" w:type="dxa"/>
        <w:jc w:val="left"/>
        <w:tblInd w:w="0" w:type="dxa"/>
        <w:tblLayout w:type="fixed"/>
        <w:tblCellMar>
          <w:top w:w="28" w:type="dxa"/>
          <w:left w:w="28" w:type="dxa"/>
          <w:bottom w:w="28" w:type="dxa"/>
          <w:right w:w="28" w:type="dxa"/>
        </w:tblCellMar>
      </w:tblPr>
      <w:tblGrid>
        <w:gridCol w:w="1676"/>
        <w:gridCol w:w="1477"/>
        <w:gridCol w:w="1481"/>
        <w:gridCol w:w="287"/>
        <w:gridCol w:w="839"/>
        <w:gridCol w:w="148"/>
        <w:gridCol w:w="109"/>
        <w:gridCol w:w="109"/>
        <w:gridCol w:w="109"/>
        <w:gridCol w:w="287"/>
        <w:gridCol w:w="553"/>
        <w:gridCol w:w="211"/>
      </w:tblGrid>
      <w:tr>
        <w:trPr/>
        <w:tc>
          <w:tcPr>
            <w:tcW w:w="167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credit facility (1)</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Letters of credit under certain bilateral bank agreements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In managing its available liquidity, Williams does not expect a maximum outstanding amount in excess of the capacity of its credit facility inclusive of any outstanding amounts under the commercial paper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Commercial Paper Program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no commercial paper was outstanding under Williams’ $3.5 billion commercial paper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8 – Fair Value Measurements and Guarantees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level within the fair value hierarchy, certain of Williams’, Transco’s, and NWP’s significant financial assets and liabilities. The carrying values of cash and cash equivalents, accounts receivable, accounts payable, and commercial paper approximate fair value because of the short-term nature of these instruments. Therefore, these assets and liabilities are not presented in the following table.</w:t>
      </w:r>
    </w:p>
    <w:tbl>
      <w:tblPr>
        <w:tblW w:w="9648" w:type="dxa"/>
        <w:jc w:val="left"/>
        <w:tblInd w:w="0" w:type="dxa"/>
        <w:tblLayout w:type="fixed"/>
        <w:tblCellMar>
          <w:top w:w="28" w:type="dxa"/>
          <w:left w:w="28" w:type="dxa"/>
          <w:bottom w:w="28" w:type="dxa"/>
          <w:right w:w="28" w:type="dxa"/>
        </w:tblCellMar>
      </w:tblPr>
      <w:tblGrid>
        <w:gridCol w:w="1261"/>
        <w:gridCol w:w="1107"/>
        <w:gridCol w:w="1111"/>
        <w:gridCol w:w="247"/>
        <w:gridCol w:w="548"/>
        <w:gridCol w:w="109"/>
        <w:gridCol w:w="109"/>
        <w:gridCol w:w="109"/>
        <w:gridCol w:w="109"/>
        <w:gridCol w:w="247"/>
        <w:gridCol w:w="548"/>
        <w:gridCol w:w="109"/>
        <w:gridCol w:w="109"/>
        <w:gridCol w:w="109"/>
        <w:gridCol w:w="109"/>
        <w:gridCol w:w="262"/>
        <w:gridCol w:w="578"/>
        <w:gridCol w:w="136"/>
        <w:gridCol w:w="109"/>
        <w:gridCol w:w="109"/>
        <w:gridCol w:w="109"/>
        <w:gridCol w:w="272"/>
        <w:gridCol w:w="523"/>
        <w:gridCol w:w="141"/>
        <w:gridCol w:w="109"/>
        <w:gridCol w:w="109"/>
        <w:gridCol w:w="109"/>
        <w:gridCol w:w="312"/>
        <w:gridCol w:w="600"/>
        <w:gridCol w:w="22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Assets (liabilities) at March 31, 2026:</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Measured on a recurring basis: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ARO Trust - Transco</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Commodity derivative assets (1)</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Commodity derivative liabilities (1)</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disclosures: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Guarantees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Debt by issuer, including current portion:</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Williams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Transco</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NWP</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MountainWest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debt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(29,912)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Assets (liabilities) at December 31, 2025:</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Measured on a recurring basis: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ARO Trust - Transco</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Commodity derivative assets (1)</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Commodity derivative liabilities (1)</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disclosures: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Guarantees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Debt by issuer, including current portion:</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Williams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(21,556)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Transco</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NWP</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MountainWest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debt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(1)The carrying amount is presented net of counterparty offsetting arrangements and collateral (see Note 9 – Commodity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Fair Value Methods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in estimating the fair value of financial instruments: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ARO Trust</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Transco is entitled to collect rates in the amounts necessary to fund its future asset retirement obligations (AROs) and deposits a portion of the collected rates into an external trust (ARO Trust). The ARO Trust invests in a moderate risk portfolio of actively traded mutual funds that are measured at fair value on a recurring basis based on quoted prices in an active market and is reported in </w:t>
      </w:r>
      <w:r>
        <w:rPr>
          <w:rFonts w:ascii="Times New Roman;serif" w:hAnsi="Times New Roman;serif"/>
          <w:b w:val="false"/>
          <w:i/>
          <w:color w:val="000000"/>
          <w:sz w:val="20"/>
        </w:rPr>
        <w:t>Regulatory assets, deferred charges, and other</w:t>
      </w:r>
      <w:r>
        <w:rPr>
          <w:color w:val="000000"/>
        </w:rPr>
        <w:t xml:space="preserve"> </w:t>
      </w:r>
      <w:r>
        <w:rPr>
          <w:rFonts w:ascii="Times New Roman;serif" w:hAnsi="Times New Roman;serif"/>
          <w:b w:val="false"/>
          <w:color w:val="000000"/>
          <w:sz w:val="20"/>
        </w:rPr>
        <w:t xml:space="preserve">in Williams’ Consolidated Balance Sheet and in </w:t>
      </w:r>
      <w:r>
        <w:rPr>
          <w:rFonts w:ascii="Times New Roman;serif" w:hAnsi="Times New Roman;serif"/>
          <w:b w:val="false"/>
          <w:i/>
          <w:color w:val="000000"/>
          <w:sz w:val="20"/>
        </w:rPr>
        <w:t xml:space="preserve">Deferred charges and other </w:t>
      </w:r>
      <w:r>
        <w:rPr>
          <w:rFonts w:ascii="Times New Roman;serif" w:hAnsi="Times New Roman;serif"/>
          <w:b w:val="false"/>
          <w:color w:val="000000"/>
          <w:sz w:val="20"/>
        </w:rPr>
        <w:t xml:space="preserve">in the Transco Balance Sheet. The </w:t>
      </w:r>
      <w:r>
        <w:rPr>
          <w:rFonts w:ascii="Times New Roman;serif" w:hAnsi="Times New Roman;serif"/>
          <w:b w:val="false"/>
          <w:i/>
          <w:color w:val="000000"/>
          <w:sz w:val="20"/>
        </w:rPr>
        <w:t>Money market fund</w:t>
      </w:r>
      <w:r>
        <w:rPr>
          <w:color w:val="000000"/>
        </w:rPr>
        <w:t xml:space="preserve"> </w:t>
      </w:r>
      <w:r>
        <w:rPr>
          <w:rFonts w:ascii="Times New Roman;serif" w:hAnsi="Times New Roman;serif"/>
          <w:b w:val="false"/>
          <w:color w:val="000000"/>
          <w:sz w:val="20"/>
        </w:rPr>
        <w:t xml:space="preserve">held in the ARO Trust is considered an investment. Both realized and unrealized gains and losses are ultimately recorded to the ARO regulatory asset. The current annual funding obligation is approximately $51 million.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within the ARO Trust were as follows:</w:t>
      </w:r>
    </w:p>
    <w:tbl>
      <w:tblPr>
        <w:tblW w:w="8582" w:type="dxa"/>
        <w:jc w:val="left"/>
        <w:tblInd w:w="0" w:type="dxa"/>
        <w:tblLayout w:type="fixed"/>
        <w:tblCellMar>
          <w:top w:w="28" w:type="dxa"/>
          <w:left w:w="28" w:type="dxa"/>
          <w:bottom w:w="28" w:type="dxa"/>
          <w:right w:w="28" w:type="dxa"/>
        </w:tblCellMar>
      </w:tblPr>
      <w:tblGrid>
        <w:gridCol w:w="780"/>
        <w:gridCol w:w="689"/>
        <w:gridCol w:w="691"/>
        <w:gridCol w:w="109"/>
        <w:gridCol w:w="109"/>
        <w:gridCol w:w="109"/>
        <w:gridCol w:w="441"/>
        <w:gridCol w:w="978"/>
        <w:gridCol w:w="231"/>
        <w:gridCol w:w="109"/>
        <w:gridCol w:w="109"/>
        <w:gridCol w:w="109"/>
        <w:gridCol w:w="237"/>
        <w:gridCol w:w="525"/>
        <w:gridCol w:w="122"/>
        <w:gridCol w:w="109"/>
        <w:gridCol w:w="109"/>
        <w:gridCol w:w="109"/>
        <w:gridCol w:w="441"/>
        <w:gridCol w:w="978"/>
        <w:gridCol w:w="231"/>
        <w:gridCol w:w="109"/>
        <w:gridCol w:w="109"/>
        <w:gridCol w:w="109"/>
        <w:gridCol w:w="236"/>
        <w:gridCol w:w="522"/>
        <w:gridCol w:w="172"/>
      </w:tblGrid>
      <w:tr>
        <w:trPr/>
        <w:tc>
          <w:tcPr>
            <w:tcW w:w="7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equity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Municipal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Commodity derivatives</w:t>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commodity derivatives include exchange-traded contracts and over-the-counter (OTC) contracts, which consist of physical forwards, futures, and swaps that are measured at fair value on a recurring basis. Williams also has other derivatives related to asset management agreements and other contracts that require physical delivery. Derivatives classified as Level 1 are valued using New York Mercantile Exchange (NYMEX) futures prices. Derivatives classified as Level 2 are valued using basis transactions that represent the cost to transport natural gas from a NYMEX delivery point to the contract delivery point. These transactions are based on quotes obtained either through electronic trading platforms or directly from brokers. Derivatives classified as Level 3 are valued using a combination of observable and unobservable inputs. See Note 9 – Commodity Derivatives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Additional Fair Value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Guarantees primarily consist of a guarantee Williams has provided in the event of nonpayment by a previously owned communications subsidiary, Williams Communications Group, Inc., (WilTel), on a lease performance obligation that extends through 2042. Guarantees also include an indemnification related to a disposed operation.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To estimate the fair value of the WilTel guarantee, an estimated default rate is applied to the sum of the future contractual lease payments using an income approach. The estimated default rate is determined by obtaining the average cumulative issuer-weighted default rate based on the credit rating of WilTel’s current owner and the term of the underlying obligation. The default rate is published by Moody’s Investors Service. The carrying value of the WilTel guarantee is reported in </w:t>
      </w:r>
      <w:r>
        <w:rPr>
          <w:rFonts w:ascii="Times New Roman;serif" w:hAnsi="Times New Roman;serif"/>
          <w:b w:val="false"/>
          <w:i/>
          <w:color w:val="000000"/>
          <w:sz w:val="20"/>
        </w:rPr>
        <w:t>Other current liabilities</w:t>
      </w:r>
      <w:r>
        <w:rPr>
          <w:rFonts w:ascii="Times New Roman;serif" w:hAnsi="Times New Roman;serif"/>
          <w:b w:val="false"/>
          <w:color w:val="000000"/>
          <w:sz w:val="20"/>
        </w:rPr>
        <w:t xml:space="preserve">. The maximum potential undiscounted liquidity exposure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approximately $20 million at March 31, 2026. The exposure declines systematically through the remaining term of WilTel’s obligation.</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fair value of the guarantee associated with the indemnification related to a disposed operation was estimated using an income approach that considered probability-weighted scenarios of potential levels of future performance. The terms of the indemnification do not limit the maximum potential future payments associated with the guarantee. The carrying value of this guarantee is reported in </w:t>
      </w:r>
      <w:r>
        <w:rPr>
          <w:rFonts w:ascii="Times New Roman;serif" w:hAnsi="Times New Roman;serif"/>
          <w:b w:val="false"/>
          <w:i/>
          <w:color w:val="000000"/>
          <w:sz w:val="20"/>
        </w:rPr>
        <w:t>Regulatory liabilities, deferred income, and other</w:t>
      </w:r>
      <w:r>
        <w:rPr>
          <w:rFonts w:ascii="Times New Roman;serif" w:hAnsi="Times New Roman;serif"/>
          <w:b w:val="false"/>
          <w:color w:val="000000"/>
          <w:sz w:val="20"/>
        </w:rPr>
        <w:t xml:space="preser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is required by its revolving credit agreement to indemnify lenders for certain taxes required to be withheld from payments due to the lenders and for certain tax payments made by the lenders. The maximum potential amount of future payments under these indemnifications is based on the related borrowings and such future payments cannot currently be determined. These indemnifications generally continue indefinitely unless limited by the underlying tax regulations and have no carrying value. Williams has never been called upon to perform under these indemnifications and there is no current expectation of a future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Long-term debt, including current portion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disclosed fair value of long-term debt is determined primarily by a market approach using broker quoted indicative period-end bond prices. The quoted prices are based on observable transactions in less active markets for the debt or similar instruments. Transco includes financing obligations associated with certain completed projects, which were measured at fair value using an income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December 2025, Williams’ management approved a plan to sell certain gas gathering assets in the Mid-Continent region. These operations were designated as held for sale at December 31, 2025. Accordingly, the disposal group, inclusive of </w:t>
      </w:r>
      <w:r>
        <w:rPr>
          <w:rFonts w:ascii="Times New Roman;serif" w:hAnsi="Times New Roman;serif"/>
          <w:b w:val="false"/>
          <w:i/>
          <w:color w:val="000000"/>
          <w:sz w:val="20"/>
        </w:rPr>
        <w:t xml:space="preserve">Intangible assets – net, </w:t>
      </w:r>
      <w:r>
        <w:rPr>
          <w:rFonts w:ascii="Times New Roman;serif" w:hAnsi="Times New Roman;serif"/>
          <w:b w:val="false"/>
          <w:color w:val="000000"/>
          <w:sz w:val="20"/>
        </w:rPr>
        <w:t>was measured at fair value using the expected sales price under a third-party contract, resulting in a fourth quarter 2025</w:t>
      </w:r>
      <w:r>
        <w:rPr>
          <w:color w:val="000000"/>
        </w:rPr>
        <w:t xml:space="preserve"> </w:t>
      </w:r>
      <w:r>
        <w:rPr>
          <w:rFonts w:ascii="Times New Roman;serif" w:hAnsi="Times New Roman;serif"/>
          <w:b w:val="false"/>
          <w:color w:val="000000"/>
          <w:sz w:val="20"/>
        </w:rPr>
        <w:t xml:space="preserve">impairment charge of $176 million within the West segment. Using these inputs, the fair value of the disposal group was measured at $48 million and classified within Level 2 of the fair value hierarchy. The estimated fair value of the </w:t>
      </w:r>
      <w:r>
        <w:rPr>
          <w:rFonts w:ascii="Times New Roman;serif" w:hAnsi="Times New Roman;serif"/>
          <w:b w:val="false"/>
          <w:i/>
          <w:color w:val="000000"/>
          <w:sz w:val="20"/>
        </w:rPr>
        <w:t>Property, plant, and equipment – 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Intangible assets – net </w:t>
      </w:r>
      <w:r>
        <w:rPr>
          <w:rFonts w:ascii="Times New Roman;serif" w:hAnsi="Times New Roman;serif"/>
          <w:b w:val="false"/>
          <w:color w:val="000000"/>
          <w:sz w:val="20"/>
        </w:rPr>
        <w:t>were determined using a market approach incorporating indications of interest from third parties. This disposal group was sold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 Commodity Derivatives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Williams is exposed to commodity price risk and utilizes derivatives to manage a portion of that risk. Williams reports the fair value of commodity derivatives in </w:t>
      </w:r>
      <w:r>
        <w:rPr>
          <w:rFonts w:ascii="Times New Roman;serif" w:hAnsi="Times New Roman;serif"/>
          <w:b w:val="false"/>
          <w:i/>
          <w:color w:val="000000"/>
          <w:sz w:val="20"/>
        </w:rPr>
        <w:t>Derivative assets</w:t>
      </w:r>
      <w:r>
        <w:rPr>
          <w:rFonts w:ascii="Times New Roman;serif" w:hAnsi="Times New Roman;serif"/>
          <w:b w:val="false"/>
          <w:color w:val="000000"/>
          <w:sz w:val="20"/>
        </w:rPr>
        <w:t xml:space="preserve">; </w:t>
      </w:r>
      <w:r>
        <w:rPr>
          <w:rFonts w:ascii="Times New Roman;serif" w:hAnsi="Times New Roman;serif"/>
          <w:b w:val="false"/>
          <w:i/>
          <w:color w:val="000000"/>
          <w:sz w:val="20"/>
        </w:rPr>
        <w:t>Regulatory assets, deferred charges, and other</w:t>
      </w:r>
      <w:r>
        <w:rPr>
          <w:rFonts w:ascii="Times New Roman;serif" w:hAnsi="Times New Roman;serif"/>
          <w:b w:val="false"/>
          <w:color w:val="000000"/>
          <w:sz w:val="20"/>
        </w:rPr>
        <w:t xml:space="preserve">; </w:t>
      </w:r>
      <w:r>
        <w:rPr>
          <w:rFonts w:ascii="Times New Roman;serif" w:hAnsi="Times New Roman;serif"/>
          <w:b w:val="false"/>
          <w:i/>
          <w:color w:val="000000"/>
          <w:sz w:val="20"/>
        </w:rPr>
        <w:t>Derivative liabilities</w:t>
      </w:r>
      <w:r>
        <w:rPr>
          <w:rFonts w:ascii="Times New Roman;serif" w:hAnsi="Times New Roman;serif"/>
          <w:b w:val="false"/>
          <w:color w:val="000000"/>
          <w:sz w:val="20"/>
        </w:rPr>
        <w:t xml:space="preserve">; or </w:t>
      </w:r>
      <w:r>
        <w:rPr>
          <w:rFonts w:ascii="Times New Roman;serif" w:hAnsi="Times New Roman;serif"/>
          <w:b w:val="false"/>
          <w:i/>
          <w:color w:val="000000"/>
          <w:sz w:val="20"/>
        </w:rPr>
        <w:t>Regulatory liabilities, deferred income, and other</w:t>
      </w:r>
      <w:r>
        <w:rPr>
          <w:rFonts w:ascii="Times New Roman;serif" w:hAnsi="Times New Roman;serif"/>
          <w:b w:val="false"/>
          <w:color w:val="000000"/>
          <w:sz w:val="20"/>
        </w:rPr>
        <w:t>. The asset and liability derivative positions are netted by counterparty as permitted under the terms of the master netting arrangements and are also presented net of cash held on deposit in margin accounts that Williams has received or remitted to collateralize certain derivative positions. See Note 8 – Fair Value Measurements and Guarantees for additional fair value information. In Williams’ Consolidated Statement of Cash Flows, any cash impacts of settled commodity derivatives are recorded as operating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on the derivatives are generally offset by valuation changes in the economic value of the underlying production or transportation and storage capacity contracts, which are not recognized until the underlying transaction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Volumes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notional volume of the net long (short) positions for Williams’ commodity derivative contracts were as follows:</w:t>
      </w:r>
    </w:p>
    <w:tbl>
      <w:tblPr>
        <w:tblW w:w="8824" w:type="dxa"/>
        <w:jc w:val="left"/>
        <w:tblInd w:w="0" w:type="dxa"/>
        <w:tblLayout w:type="fixed"/>
        <w:tblCellMar>
          <w:top w:w="28" w:type="dxa"/>
          <w:left w:w="28" w:type="dxa"/>
          <w:bottom w:w="28" w:type="dxa"/>
          <w:right w:w="28" w:type="dxa"/>
        </w:tblCellMar>
      </w:tblPr>
      <w:tblGrid>
        <w:gridCol w:w="1019"/>
        <w:gridCol w:w="896"/>
        <w:gridCol w:w="904"/>
        <w:gridCol w:w="109"/>
        <w:gridCol w:w="109"/>
        <w:gridCol w:w="109"/>
        <w:gridCol w:w="574"/>
        <w:gridCol w:w="574"/>
        <w:gridCol w:w="577"/>
        <w:gridCol w:w="109"/>
        <w:gridCol w:w="109"/>
        <w:gridCol w:w="109"/>
        <w:gridCol w:w="424"/>
        <w:gridCol w:w="424"/>
        <w:gridCol w:w="426"/>
        <w:gridCol w:w="109"/>
        <w:gridCol w:w="109"/>
        <w:gridCol w:w="109"/>
        <w:gridCol w:w="593"/>
        <w:gridCol w:w="593"/>
        <w:gridCol w:w="839"/>
      </w:tblGrid>
      <w:tr>
        <w:trPr/>
        <w:tc>
          <w:tcPr>
            <w:tcW w:w="101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Long (Short) Position</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352"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Index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1,099,282,823</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Central Hub Risk - Henry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(4,855,591)</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Basis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576,639,724</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Central Hub Risk - Mont Belvieu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(5,200,000)</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Basis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Central Hub Risk -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(3,345,000)</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Financial Statement Presentation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commodity derivatives, which are not designated as hedging instruments for accounting purposes, is reflected as follows:</w:t>
      </w:r>
    </w:p>
    <w:tbl>
      <w:tblPr>
        <w:tblW w:w="9973" w:type="dxa"/>
        <w:jc w:val="left"/>
        <w:tblInd w:w="0" w:type="dxa"/>
        <w:tblLayout w:type="fixed"/>
        <w:tblCellMar>
          <w:top w:w="28" w:type="dxa"/>
          <w:left w:w="28" w:type="dxa"/>
          <w:bottom w:w="28" w:type="dxa"/>
          <w:right w:w="28" w:type="dxa"/>
        </w:tblCellMar>
      </w:tblPr>
      <w:tblGrid>
        <w:gridCol w:w="1878"/>
        <w:gridCol w:w="1654"/>
        <w:gridCol w:w="1658"/>
        <w:gridCol w:w="109"/>
        <w:gridCol w:w="109"/>
        <w:gridCol w:w="109"/>
        <w:gridCol w:w="211"/>
        <w:gridCol w:w="466"/>
        <w:gridCol w:w="109"/>
        <w:gridCol w:w="109"/>
        <w:gridCol w:w="109"/>
        <w:gridCol w:w="109"/>
        <w:gridCol w:w="239"/>
        <w:gridCol w:w="566"/>
        <w:gridCol w:w="124"/>
        <w:gridCol w:w="109"/>
        <w:gridCol w:w="109"/>
        <w:gridCol w:w="109"/>
        <w:gridCol w:w="211"/>
        <w:gridCol w:w="466"/>
        <w:gridCol w:w="109"/>
        <w:gridCol w:w="109"/>
        <w:gridCol w:w="109"/>
        <w:gridCol w:w="109"/>
        <w:gridCol w:w="237"/>
        <w:gridCol w:w="563"/>
        <w:gridCol w:w="174"/>
      </w:tblGrid>
      <w:tr>
        <w:trPr/>
        <w:tc>
          <w:tcPr>
            <w:tcW w:w="187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Commodity Derivatives Categories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5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Counterparty and collateral netting offset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recognized in Williams’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3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pre-tax impacts of Williams’ commodity derivatives, which are not designated as hedging instruments for accounting purposes, are reflected as follows:</w:t>
      </w:r>
    </w:p>
    <w:tbl>
      <w:tblPr>
        <w:tblW w:w="10205" w:type="dxa"/>
        <w:jc w:val="left"/>
        <w:tblInd w:w="0" w:type="dxa"/>
        <w:tblLayout w:type="fixed"/>
        <w:tblCellMar>
          <w:top w:w="28" w:type="dxa"/>
          <w:left w:w="28" w:type="dxa"/>
          <w:bottom w:w="28" w:type="dxa"/>
          <w:right w:w="28" w:type="dxa"/>
        </w:tblCellMar>
      </w:tblPr>
      <w:tblGrid>
        <w:gridCol w:w="1418"/>
        <w:gridCol w:w="1229"/>
        <w:gridCol w:w="1229"/>
        <w:gridCol w:w="1109"/>
        <w:gridCol w:w="1109"/>
        <w:gridCol w:w="1115"/>
        <w:gridCol w:w="167"/>
        <w:gridCol w:w="167"/>
        <w:gridCol w:w="323"/>
        <w:gridCol w:w="826"/>
        <w:gridCol w:w="167"/>
        <w:gridCol w:w="109"/>
        <w:gridCol w:w="109"/>
        <w:gridCol w:w="109"/>
        <w:gridCol w:w="211"/>
        <w:gridCol w:w="432"/>
        <w:gridCol w:w="109"/>
        <w:gridCol w:w="109"/>
        <w:gridCol w:w="158"/>
      </w:tblGrid>
      <w:tr>
        <w:trPr/>
        <w:tc>
          <w:tcPr>
            <w:tcW w:w="14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346" w:type="dxa"/>
            <w:gridSpan w:val="8"/>
            <w:tcBorders/>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7" w:type="dxa"/>
            <w:gridSpan w:val="2"/>
            <w:tcBorders/>
          </w:tcPr>
          <w:p>
            <w:pPr>
              <w:pStyle w:val="TableContents"/>
              <w:bidi w:val="0"/>
              <w:spacing w:before="0" w:after="283"/>
              <w:jc w:val="left"/>
              <w:rPr>
                <w:sz w:val="4"/>
                <w:szCs w:val="4"/>
              </w:rPr>
            </w:pPr>
            <w:r>
              <w:rPr>
                <w:sz w:val="4"/>
                <w:szCs w:val="4"/>
              </w:rPr>
            </w:r>
          </w:p>
        </w:tc>
      </w:tr>
      <w:tr>
        <w:trPr/>
        <w:tc>
          <w:tcPr>
            <w:tcW w:w="720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color w:val="000000"/>
                <w:sz w:val="19"/>
              </w:rPr>
              <w:t>Net gain (loss) from commodity derivatives</w:t>
            </w:r>
            <w:r>
              <w:rPr>
                <w:color w:val="000000"/>
              </w:rPr>
              <w:t xml:space="preserve"> </w:t>
            </w:r>
            <w:r>
              <w:rPr>
                <w:rFonts w:ascii="Times New Roman;serif" w:hAnsi="Times New Roman;serif"/>
                <w:b w:val="false"/>
                <w:color w:val="000000"/>
                <w:sz w:val="19"/>
              </w:rPr>
              <w:t xml:space="preserve">within </w:t>
            </w:r>
            <w:r>
              <w:rPr>
                <w:rFonts w:ascii="Times New Roman;serif" w:hAnsi="Times New Roman;serif"/>
                <w:b w:val="false"/>
                <w:i/>
                <w:color w:val="000000"/>
                <w:sz w:val="19"/>
              </w:rPr>
              <w:t>Total revenues</w:t>
            </w:r>
            <w:r>
              <w:rPr>
                <w:rFonts w:ascii="Times New Roman;serif" w:hAnsi="Times New Roman;serif"/>
                <w:b w:val="false"/>
                <w:color w:val="000000"/>
                <w:sz w:val="19"/>
              </w:rPr>
              <w:t>:</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62" w:type="dxa"/>
            <w:gridSpan w:val="11"/>
            <w:tcBorders/>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Realized</w:t>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Unrealized</w:t>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0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9"/>
              </w:rPr>
              <w:t xml:space="preserve">Net gain (loss) from commodity derivatives within </w:t>
            </w:r>
            <w:r>
              <w:rPr>
                <w:rFonts w:ascii="Times New Roman;serif" w:hAnsi="Times New Roman;serif"/>
                <w:b w:val="false"/>
                <w:i/>
                <w:color w:val="000000"/>
                <w:sz w:val="19"/>
              </w:rPr>
              <w:t>Net processing commodity expenses</w:t>
            </w:r>
            <w:r>
              <w:rPr>
                <w:rFonts w:ascii="Times New Roman;serif" w:hAnsi="Times New Roman;serif"/>
                <w:b w:val="false"/>
                <w:color w:val="000000"/>
                <w:sz w:val="19"/>
              </w:rPr>
              <w:t>:</w:t>
            </w:r>
          </w:p>
        </w:tc>
        <w:tc>
          <w:tcPr>
            <w:tcW w:w="2996" w:type="dxa"/>
            <w:gridSpan w:val="13"/>
            <w:tcBorders/>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Realized</w:t>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Unrealized</w:t>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Total net gain (loss) from commodity derivatives</w:t>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Contingent Features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collateral may be provided in the form of a parent guaranty, letter of credit, or cash. If collateral is required, fair value amounts recognized for the right to reclaim cash collateral or the obligation to return cash collateral are offset against fair value amounts recognized for derivatives executed with the same counterparty.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has specific trade and credit contracts that contain minimum credit rating requirements. These credit rating requirements typically give counterparties the right to suspend or terminate credit if Williams’ credit ratings are downgraded to non-investment grade status. Under such circumstances, Williams would need to post collateral to continue transacting business with these counterparties. At March 31, 2026, the contractually required collateral in the event of a credit rating downgrade to non-investment grade status was $81 million.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maintains accounts with brokers or the clearing houses of certain exchanges to facilitate financial derivative transactions. Based on the value of the positions in these accounts and the associated margin requirements, Williams may be required to deposit cash into these accounts. At March 31, 2026 and December 31, 2025, net cash collateral held on deposit in broker margin accounts was $327 million and $189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10 – Contingencies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Royalty Matters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customers, including Expand Energy Corporation (formerly Chesapeake Energy Corporation or Chesapeake), have been named in various lawsuits alleging underpayment of royalties and claiming, among other things, violations of anti-trust laws and the Racketeer Influenced and Corrupt Organizations Act. Williams has also been named as a defendant in certain of these cases filed in Pennsylvania based on allegations that Williams improperly participated with Chesapeake in causing the alleged royalty underpayments. Williams believes that the claims asserted are subject to indemnity obligations owed to Williams by Chesapeake, which obligations survived Chesapeake’s bankruptcy proceedings. Prior to its bankruptcy, Chesapeake reached a settlement to resolve substantially all Pennsylvania royalty cases pending. During the pendency of the bankruptcy, that settlement was renegotiated. The settlement applied to both Chesapeake and Williams and did not require any contribution from Williams. On August 23, 2021, after referral to the United States District Court for the Southern District of Texas by the bankruptcy court, the court approved the settlement. Two objectors filed an appeal with the United States Court of Appeals for the Fifth Circuit. On June 8, 2023, the Court of Appeals vacated the settlement approval and remanded to the United States District Court for the Southern District of Texas with instructions to dismiss the settlement proceedings for lack of jurisdiction. On August 31, 2023, the bankruptcy court entered an order finding the settlement agreements to be null and void. Certain plaintiffs filed a notice of dismissal of their claims against Chesapeake that arose prior to February 8, 2021, in the United States District Court for the Middle District of Pennsylvania lawsuits. The notice stated that plaintiffs are not releasing their claims against the other defendants, including Williams, or claims against Chesapeake that arose after February 9, 2021. Chesapeake has been dismissed from the lawsuits. Williams continues to believe the claims against Williams are subject to indemnity obligations owed to Williams by Chesapeake.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Rate Matters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On August 30, 2024, Transco filed a general rate case with the FERC for an overall increase in rates and to comply with the terms of the settlement of its prior rate case. On September 30, 2024, the FERC issued an order accepting and suspending Transco’s general rate filing to be effective March 1, 2025, subject to refund and the outcome of hearing procedures established by the FERC. The order also accepted rate decreases for certain services to be effective as of October 1, 2024. During the third quarter of 2025, Transco reached an agreement in principle with its customers and the other participants to settle all aspects of the rate case and has accrued a related liability for rate refunds. Transco filed with the FERC in October 2025 for approval of the settlement. On December 30, 2025, the FERC approved the settlement which became effective March 1, 2026. The reserve for rate refunds was reclassified from </w:t>
      </w:r>
      <w:r>
        <w:rPr>
          <w:rFonts w:ascii="Times New Roman;serif" w:hAnsi="Times New Roman;serif"/>
          <w:b w:val="false"/>
          <w:i/>
          <w:color w:val="000000"/>
          <w:sz w:val="20"/>
        </w:rPr>
        <w:t>Reserve for rate refunds</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i/>
          <w:color w:val="000000"/>
          <w:sz w:val="20"/>
        </w:rPr>
        <w:t>Payables: Trade</w:t>
      </w:r>
      <w:r>
        <w:rPr>
          <w:color w:val="000000"/>
        </w:rPr>
        <w:t xml:space="preserve"> </w:t>
      </w:r>
      <w:r>
        <w:rPr>
          <w:rFonts w:ascii="Times New Roman;serif" w:hAnsi="Times New Roman;serif"/>
          <w:b w:val="false"/>
          <w:color w:val="000000"/>
          <w:sz w:val="20"/>
        </w:rPr>
        <w:t xml:space="preserve">on Transco’s Balance Sheet and from </w:t>
      </w:r>
      <w:r>
        <w:rPr>
          <w:rFonts w:ascii="Times New Roman;serif" w:hAnsi="Times New Roman;serif"/>
          <w:b w:val="false"/>
          <w:i/>
          <w:color w:val="000000"/>
          <w:sz w:val="20"/>
        </w:rPr>
        <w:t xml:space="preserve">Other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jc w:val="both"/>
        <w:rPr/>
      </w:pPr>
      <w:r>
        <w:rPr>
          <w:rFonts w:ascii="Times New Roman;serif" w:hAnsi="Times New Roman;serif"/>
          <w:b w:val="false"/>
          <w:i/>
          <w:color w:val="000000"/>
          <w:sz w:val="20"/>
        </w:rPr>
        <w:t>liabilities</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i/>
          <w:color w:val="000000"/>
          <w:sz w:val="20"/>
        </w:rPr>
        <w:t>Accounts payable</w:t>
      </w:r>
      <w:r>
        <w:rPr>
          <w:color w:val="000000"/>
        </w:rPr>
        <w:t xml:space="preserve"> </w:t>
      </w:r>
      <w:r>
        <w:rPr>
          <w:rFonts w:ascii="Times New Roman;serif" w:hAnsi="Times New Roman;serif"/>
          <w:b w:val="false"/>
          <w:color w:val="000000"/>
          <w:sz w:val="20"/>
        </w:rPr>
        <w:t>on Williams’ Consolidated Balance Sheet</w:t>
      </w:r>
      <w:r>
        <w:rPr>
          <w:color w:val="000000"/>
        </w:rPr>
        <w:t xml:space="preserve"> </w:t>
      </w:r>
      <w:r>
        <w:rPr>
          <w:rFonts w:ascii="Times New Roman;serif" w:hAnsi="Times New Roman;serif"/>
          <w:b w:val="false"/>
          <w:color w:val="000000"/>
          <w:sz w:val="20"/>
        </w:rPr>
        <w:t xml:space="preserve">at March 31, 2026. A total net amount of $221 million was refunded in April 2026. </w:t>
      </w:r>
    </w:p>
    <w:p>
      <w:pPr>
        <w:pStyle w:val="TextBody"/>
        <w:bidi w:val="0"/>
        <w:spacing w:lineRule="auto" w:line="288" w:before="200" w:after="283"/>
        <w:jc w:val="both"/>
        <w:rPr/>
      </w:pPr>
      <w:r>
        <w:rPr>
          <w:rFonts w:ascii="Times New Roman;serif" w:hAnsi="Times New Roman;serif"/>
          <w:b/>
          <w:color w:val="000000"/>
          <w:sz w:val="20"/>
        </w:rPr>
        <w:t>Construction Litigation</w:t>
      </w:r>
      <w:r>
        <w:rPr>
          <w:color w:val="000000"/>
        </w:rPr>
        <w:t xml:space="preser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Transco received an adverse judgment related to litigation in the United States Bankruptcy Court for the District of Delaware involving a contractor that performed construction services for Transco’s Atlantic Sunrise project, which was completed in 2018. The total judgment award included amounts for unpaid invoices, interest, and attorney fees. During the fourth quarter of 2025, Transco reached an agreement in principle with the contractor to settle all aspects of the case. Transco accrued a related liability, capitalizing the amount of the settlement in principle. Transco expects to recover approximately 29 percent of the settlement amount paid from the co-owner of the project. On March 27, 2026, the court approved the settlement and on April 14, 2026, the settlement was paid.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U.S. Environmental Protection Agency (EPA), other federal agencies, and various state regulatory agencies routinely propose and promulgate new rules, issue updated guidance to rules, or revise existing rules. These rulemakings include, but are not limited to, reviews and updates to the National Ambient Air Quality Standards, and promulgation of rules for new and existing source performance standards for certain equipment emitting volatile organic compounds and methane as well as limitations on emissions of greenhouse gas compounds. Regulatory changes are continuously monitored including how they may impact operations. Implementation of new or revised regulations may result in impacts to operations and increase the cost of additions to </w:t>
      </w:r>
      <w:r>
        <w:rPr>
          <w:rFonts w:ascii="Times New Roman;serif" w:hAnsi="Times New Roman;serif"/>
          <w:b w:val="false"/>
          <w:i/>
          <w:color w:val="000000"/>
          <w:sz w:val="20"/>
        </w:rPr>
        <w:t>Property, plant, and equipment – net</w:t>
      </w:r>
      <w:r>
        <w:rPr>
          <w:color w:val="000000"/>
        </w:rPr>
        <w:t xml:space="preserve"> </w:t>
      </w:r>
      <w:r>
        <w:rPr>
          <w:rFonts w:ascii="Times New Roman;serif" w:hAnsi="Times New Roman;serif"/>
          <w:b w:val="false"/>
          <w:color w:val="000000"/>
          <w:sz w:val="20"/>
        </w:rPr>
        <w:t>for both new and existing facilities in affected areas; however, due to regulatory uncertainty on final rule content or guidance and applicability timeframes, the cost of these regulatory impacts is not known at this time.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Williams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Williams is a participant in certain environmental activities in various stages including assessment studies, cleanup operations, and/or remedial processes at certain sites, some of which Williams currently does not own. Williams is monitoring these sites in a coordinated effort with other potentially responsible parties, the EPA, or other governmental authorities. Williams is jointly and severally liable along with unrelated third parties in some of these activities and solely responsible in others. Certain of Williams’ subsidiaries have been identified as potentially responsible parties at various Superfund and state waste disposal sites. In addition, these subsidiaries have incurred, or are alleged to have incurred, various other hazardous materials removal or remediation obligations under environmental laws. At March 31, 2026, Williams has accrued liabilities totaling $40 million for these matters, as discussed below. Estimates of the most likely costs of cleanup are generally based on completed assessment studies, preliminary results of studies, or Williams’ experience with other similar cleanup operations. At March 31, 2026, certain assessment studies were still 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 </w:t>
      </w: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Continuing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interstate gas pipelines are involved in remediation and monitoring activities related to certain facilities and locations for polychlorinated biphenyls (PCBs), mercury, and other hazardous substances. These activities have involved the EPA and various state environmental authorities, resulting in Williams’ identification as a potentially responsible party (PRP) at various Superfund waste sites. At March 31, 2026, Williams has accrued liabilities of $11 million (see Transco and NWP below) for these costs and expects to recover approximately $3 million through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also accrues environmental remediation costs for natural gas underground storage facilities, primarily related to soil and groundwater contamination. At March 31, 2026, Williams has accrued liabilities totaling $8 million for these costs.</w:t>
      </w:r>
    </w:p>
    <w:p>
      <w:pPr>
        <w:pStyle w:val="TextBody"/>
        <w:bidi w:val="0"/>
        <w:spacing w:lineRule="auto" w:line="288" w:before="20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Former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has potential obligations in connection with assets and businesses it no longer operates. These potential obligations include remediation activities at the direction of federal and state environmental authorities and the indemnification of the purchasers of certain of these assets and businesses for environmental and other liabilities existing at the time the sale was consummated. At March 31, 2026, Williams has accrued environmental liabilities of $21 million related to these matters.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Transco</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Transco has had studies underway for many years to test some of its facilities for the presence of toxic and hazardous substances such as PCBs and mercury to determine to what extent, if any, remediation may be necessary. Transco has also similarly evaluated past on-site disposal of hydrocarbons at a number of its facilities. Transco has worked closely with and responded to data requests from the EPA and state agencies regarding such potential contamination of certain of its sites. Transco is conducting environmental assessments and implementing a variety of remedial measures that may result in increases or decreases in the total estimated costs. Transco also has a program for monitoring certain environmental activities at its Eminence storage facility. At March 31, 2026, Transco has accrued liabilities of approximately $10 million for the expected ongoing remediation and monitoring costs.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Transco has been identified as a PRP at various Superfund and state waste disposal sites. Based on present volumetric estimates and other factors, its estimated aggregate exposure for remediation of these sites is less than $1 million. The estimated remediation costs for all of these sites are included in the environmental liabilities discussed above. Liability under the Comprehensive Environmental Response, Compensation and Liability Act and applicable state law can be joint and several with other PRPs. Although volumetric allocation is a factor in assessing liability, it is not necessarily determinative; thus, the ultimate liability could be substantially greater than the amounts described above.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Transco considers prudently incurred environmental assessment and remediation costs and the costs associated with compliance with environmental standards to be recoverable through rates. Historically, with limited exceptions, it has been permitted recovery of environmental costs, and it is Transco’s intent to continue seeking recovery of such costs through future rate filings.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NWP</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the mid-1980s, NWP evaluated many of its facilities for the presence of toxic and hazardous substances to determine to what extent, if any, remediation might be necessary. NWP identified PCB contamination in air compressor systems, soils, and related properties at certain compressor station sites. Similarly, it identified hydrocarbon impacts at these facilities due to the former use of earthen pits, lubricating oil leaks or spills, and excess pipe coating released to the environment. In addition, heavy metals have been identified at these sites due to the former use of mercury containing meters and paint and welding rods containing lead, cadmium, and arsenic. The PCBs were remediated pursuant to a Consent Decree with the EPA in the late 1980s, and NWP conducted a voluntary clean-up of the hydrocarbon and mercury impacts in the early 1990s. In 2005, the Washington Department of Ecology required NWP to re-evaluate previous clean-ups in Washington. During 2006 to 2015, 129 meter stations were evaluated, of which 82 required remediation. As of March 31, 2026, six meter stations are still being remediated. During 2006 to 2018, 14 compressor stations were evaluated, of which 11 required remediation. As of March 31, 2026, four compressor stations are still being remediated. NWP had accrued liabilities totaling approximately $1 million at March 31, 2026 for the ongoing remediation. NWP is conducting environmental assessments and implementing a variety of remedial measures that may result in increases or decreases in the total estimated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Environmental expenditures are expensed or capitalized depending on their future economic benefit and potential for rate recovery. NWP believes that, with respect to any expenditures required to meet applicable standards and regulations, the FERC would grant the requisite rate relief so that substantially all of such expenditures would be permitted to be recovered through rates.</w:t>
      </w: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Washington State Climate Commitment Act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the state of Washington passed its Climate Commitment Act establishing a market-based cap-and-invest program to reduce carbon emissions. This program took effect on January 1, 2023, and sets a limit, or cap, on overall carbon emissions in the state and requires businesses like NWP to obtain allowances equal to its annual covered carbon emissions. The state’s cap will be reduced over time to meet the state’s carbon emissions reduction targets, which means fewer carbon emissions allowances will be available to purchase each year. These allowances can be purchased through quarterly auctions hosted by the state or bought and sold on a secondary market. In 2023, NWP began purchasing allowances for the carbon emissions from nine of its thirteen compressor stations within the state whose annual carbon emissions have exceeded 25,000 metric tons of carbon dioxide equivalent at least once since 2015. Additionally, NWP has program obligations as a natural gas supplier and began purchasing allowances for NWP’s delivery of natural gas to certain of its customers and certain of its facilities in the state whose annual carbon emissions are insufficient to require its direct participation in the program. NWP’s latest rate case settlement allows it to recover the costs of purchasing allowances under the program in its next rate case.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At March 31, 2026 and December 31, 2025, totals of $79 million and $72 million, respectively, were included in </w:t>
      </w:r>
      <w:r>
        <w:rPr>
          <w:rFonts w:ascii="Times New Roman;serif" w:hAnsi="Times New Roman;serif"/>
          <w:b w:val="false"/>
          <w:i/>
          <w:color w:val="000000"/>
          <w:sz w:val="20"/>
        </w:rPr>
        <w:t>Regulatory assets</w:t>
      </w:r>
      <w:r>
        <w:rPr>
          <w:color w:val="000000"/>
        </w:rPr>
        <w:t xml:space="preserve"> </w:t>
      </w:r>
      <w:r>
        <w:rPr>
          <w:rFonts w:ascii="Times New Roman;serif" w:hAnsi="Times New Roman;serif"/>
          <w:b w:val="false"/>
          <w:color w:val="000000"/>
          <w:sz w:val="20"/>
        </w:rPr>
        <w:t xml:space="preserve">and were comprised of the cost of the purchased allowances held, the estimated difference between the allowances held and the allowances required, and the interest income component of the regulatory asset. At March 31, 2026 and December 31, 2025, $4 million and $6 million respectively, were recorded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as the estimated difference. Interest income of $1 million for the three months ended March 31, 2026 and 2025, were reflected in </w:t>
      </w:r>
      <w:r>
        <w:rPr>
          <w:rFonts w:ascii="Times New Roman;serif" w:hAnsi="Times New Roman;serif"/>
          <w:b w:val="false"/>
          <w:i/>
          <w:color w:val="000000"/>
          <w:sz w:val="20"/>
        </w:rPr>
        <w:t>Other income (expense) – net</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Other Divestiture Indemnifications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various purchase and sale agreements relating to divested businesses and assets, Williams has indemnified certain purchasers against liabilities that they may incur with respect to the businesses and assets acquired. The indemnities provided to the purchasers are customary in sale transactions and are contingent upon the purchasers incurring liabilities that are not otherwise recoverable from third parties.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other than as previously disclosed, Williams is not aware of any material claims against it involving the above-described indemnities. Any claim for indemnity brought against Williams in the future may have a material adverse effect on Williams’ results of operations in the period in which the claim is made.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various other proceedings are pending against Williams that are incidental to its operations, none of which are expected to be material to Williams’ expected future annual results of operations, liquidity, and financial position.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Transco, and NWP have disclosed estimated ranges of reasonably possible losses for certain matters above, as well as all significant matters for which they are unable to reasonably estimate a range of possible loss. Williams, Transco, and NWP estimate that for all other matters for which they are able to reasonably estimate a range of loss, the aggregate reasonably possible losses beyond amounts accrued are immaterial to expected future annual results of operations, liquidity, and financial position. These calculations have been made without consideration of any potential recovery from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11 – Segment Disclosures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Williams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reportable segments are Transmission, Power &amp; Gulf; Northeast G&amp;P; West; and Gas &amp; NGL Marketing Services. All remaining business activities are included in Other. (See Note 1 – Description of Business and Basis of Presentation.)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Performance Measurement</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Williams’ CODM is the Chief Executive Officer. Williams’ CODM primarily utilizes </w:t>
      </w:r>
      <w:r>
        <w:rPr>
          <w:rFonts w:ascii="Times New Roman;serif" w:hAnsi="Times New Roman;serif"/>
          <w:b w:val="false"/>
          <w:i/>
          <w:color w:val="000000"/>
          <w:sz w:val="20"/>
        </w:rPr>
        <w:t>Modified EBITDA</w:t>
      </w:r>
      <w:r>
        <w:rPr>
          <w:rFonts w:ascii="Times New Roman;serif" w:hAnsi="Times New Roman;serif"/>
          <w:b w:val="false"/>
          <w:color w:val="000000"/>
          <w:sz w:val="20"/>
        </w:rPr>
        <w:t xml:space="preserve">, its measure of segment profit and loss, to evaluate performance and make decisions on capital allocation and human resources. Such evaluation includes periodic comparisons of actual performance versus historical and budget, as well as projections of </w:t>
      </w:r>
      <w:r>
        <w:rPr>
          <w:rFonts w:ascii="Times New Roman;serif" w:hAnsi="Times New Roman;serif"/>
          <w:b w:val="false"/>
          <w:i/>
          <w:color w:val="000000"/>
          <w:sz w:val="20"/>
        </w:rPr>
        <w:t>Modified EBITDA</w:t>
      </w:r>
      <w:r>
        <w:rPr>
          <w:rFonts w:ascii="Times New Roman;serif" w:hAnsi="Times New Roman;serif"/>
          <w:b w:val="false"/>
          <w:color w:val="000000"/>
          <w:sz w:val="20"/>
        </w:rPr>
        <w:t xml:space="preserve">.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Williams defines </w:t>
      </w:r>
      <w:r>
        <w:rPr>
          <w:rFonts w:ascii="Times New Roman;serif" w:hAnsi="Times New Roman;serif"/>
          <w:b w:val="false"/>
          <w:i/>
          <w:color w:val="000000"/>
          <w:sz w:val="20"/>
        </w:rPr>
        <w:t xml:space="preserve">Modified EBITDA </w:t>
      </w:r>
      <w:r>
        <w:rPr>
          <w:rFonts w:ascii="Times New Roman;serif" w:hAnsi="Times New Roman;serif"/>
          <w:b w:val="false"/>
          <w:color w:val="000000"/>
          <w:sz w:val="20"/>
        </w:rPr>
        <w:t>of reportable segments</w:t>
      </w:r>
      <w:r>
        <w:rPr>
          <w:color w:val="000000"/>
        </w:rPr>
        <w:t xml:space="preserve"> </w:t>
      </w:r>
      <w:r>
        <w:rPr>
          <w:rFonts w:ascii="Times New Roman;serif" w:hAnsi="Times New Roman;serif"/>
          <w:b w:val="false"/>
          <w:color w:val="000000"/>
          <w:sz w:val="20"/>
        </w:rPr>
        <w:t>as follows:</w:t>
      </w:r>
    </w:p>
    <w:p>
      <w:pPr>
        <w:pStyle w:val="TextBody"/>
        <w:bidi w:val="0"/>
        <w:spacing w:lineRule="auto" w:line="288" w:before="200" w:after="283"/>
        <w:ind w:left="0" w:right="0" w:firstLine="360"/>
        <w:jc w:val="both"/>
        <w:rPr/>
      </w:pPr>
      <w:r>
        <w:rPr>
          <w:color w:val="000000"/>
        </w:rPr>
        <w:t>•</w:t>
      </w:r>
      <w:r>
        <w:rPr>
          <w:rFonts w:ascii="Times New Roman;serif" w:hAnsi="Times New Roman;serif"/>
          <w:b w:val="false"/>
          <w:i/>
          <w:color w:val="000000"/>
          <w:sz w:val="20"/>
        </w:rPr>
        <w:t>Income (loss) before income taxes</w:t>
      </w:r>
      <w:r>
        <w:rPr>
          <w:color w:val="000000"/>
        </w:rPr>
        <w:t xml:space="preserve"> </w:t>
      </w:r>
      <w:r>
        <w:rPr>
          <w:rFonts w:ascii="Times New Roman;serif" w:hAnsi="Times New Roman;serif"/>
          <w:b w:val="false"/>
          <w:color w:val="000000"/>
          <w:sz w:val="20"/>
        </w:rPr>
        <w:t>excluding:</w:t>
      </w:r>
    </w:p>
    <w:p>
      <w:pPr>
        <w:pStyle w:val="TextBody"/>
        <w:bidi w:val="0"/>
        <w:spacing w:lineRule="auto" w:line="288" w:before="200" w:after="120"/>
        <w:ind w:left="0" w:right="0" w:hanging="360"/>
        <w:jc w:val="both"/>
        <w:rPr/>
      </w:pPr>
      <w:r>
        <w:rPr>
          <w:color w:val="000000"/>
        </w:rPr>
        <w:t>◦</w:t>
      </w:r>
      <w:r>
        <w:rPr>
          <w:rFonts w:ascii="Times New Roman;serif" w:hAnsi="Times New Roman;serif"/>
          <w:b w:val="false"/>
          <w:color w:val="000000"/>
          <w:sz w:val="20"/>
        </w:rPr>
        <w:t>Contributions from upstream operations, corporate, and other business activities, including the gain on the sale of certain upstream assets;</w:t>
      </w:r>
    </w:p>
    <w:p>
      <w:pPr>
        <w:pStyle w:val="TextBody"/>
        <w:bidi w:val="0"/>
        <w:spacing w:lineRule="auto" w:line="288" w:before="140" w:after="120"/>
        <w:ind w:left="0" w:right="0" w:hanging="360"/>
        <w:jc w:val="both"/>
        <w:rPr/>
      </w:pPr>
      <w:r>
        <w:rPr>
          <w:color w:val="000000"/>
        </w:rPr>
        <w:t>◦</w:t>
      </w:r>
      <w:r>
        <w:rPr>
          <w:rFonts w:ascii="Times New Roman;serif" w:hAnsi="Times New Roman;serif"/>
          <w:b w:val="false"/>
          <w:color w:val="000000"/>
          <w:sz w:val="20"/>
        </w:rPr>
        <w:t>Depreciation, depletion, and amortization expenses;</w:t>
      </w:r>
    </w:p>
    <w:p>
      <w:pPr>
        <w:pStyle w:val="TextBody"/>
        <w:bidi w:val="0"/>
        <w:spacing w:lineRule="auto" w:line="288" w:before="200" w:after="120"/>
        <w:ind w:left="0" w:right="0" w:hanging="360"/>
        <w:jc w:val="both"/>
        <w:rPr/>
      </w:pPr>
      <w:r>
        <w:rPr>
          <w:color w:val="000000"/>
        </w:rPr>
        <w:t>◦</w:t>
      </w:r>
      <w:r>
        <w:rPr>
          <w:rFonts w:ascii="Times New Roman;serif" w:hAnsi="Times New Roman;serif"/>
          <w:b w:val="false"/>
          <w:color w:val="000000"/>
          <w:sz w:val="20"/>
        </w:rPr>
        <w:t>Equity earnings (losses);</w:t>
      </w:r>
    </w:p>
    <w:p>
      <w:pPr>
        <w:pStyle w:val="TextBody"/>
        <w:bidi w:val="0"/>
        <w:spacing w:lineRule="auto" w:line="288" w:before="200" w:after="120"/>
        <w:ind w:left="0" w:right="0" w:hanging="360"/>
        <w:jc w:val="both"/>
        <w:rPr/>
      </w:pPr>
      <w:r>
        <w:rPr>
          <w:color w:val="000000"/>
        </w:rPr>
        <w:t>◦</w:t>
      </w:r>
      <w:r>
        <w:rPr>
          <w:rFonts w:ascii="Times New Roman;serif" w:hAnsi="Times New Roman;serif"/>
          <w:b w:val="false"/>
          <w:color w:val="000000"/>
          <w:sz w:val="20"/>
        </w:rPr>
        <w:t xml:space="preserve">Other investing income (loss) </w:t>
      </w:r>
      <w:r>
        <w:rPr>
          <w:color w:val="000000"/>
        </w:rPr>
        <w:t xml:space="preserve">– </w:t>
      </w:r>
      <w:r>
        <w:rPr>
          <w:rFonts w:ascii="Times New Roman;serif" w:hAnsi="Times New Roman;serif"/>
          <w:b w:val="false"/>
          <w:color w:val="000000"/>
          <w:sz w:val="20"/>
        </w:rPr>
        <w:t>net;</w:t>
      </w:r>
    </w:p>
    <w:p>
      <w:pPr>
        <w:pStyle w:val="TextBody"/>
        <w:bidi w:val="0"/>
        <w:spacing w:lineRule="auto" w:line="288" w:before="200" w:after="120"/>
        <w:ind w:left="0" w:right="0" w:hanging="360"/>
        <w:jc w:val="both"/>
        <w:rPr/>
      </w:pPr>
      <w:r>
        <w:rPr>
          <w:color w:val="000000"/>
        </w:rPr>
        <w:t>◦</w:t>
      </w:r>
      <w:r>
        <w:rPr>
          <w:rFonts w:ascii="Times New Roman;serif" w:hAnsi="Times New Roman;serif"/>
          <w:b w:val="false"/>
          <w:color w:val="000000"/>
          <w:sz w:val="20"/>
        </w:rPr>
        <w:t>Interest expense; and</w:t>
      </w:r>
    </w:p>
    <w:p>
      <w:pPr>
        <w:pStyle w:val="TextBody"/>
        <w:bidi w:val="0"/>
        <w:spacing w:lineRule="auto" w:line="288" w:before="200" w:after="120"/>
        <w:ind w:left="0" w:right="0" w:hanging="360"/>
        <w:jc w:val="both"/>
        <w:rPr/>
      </w:pPr>
      <w:r>
        <w:rPr>
          <w:color w:val="000000"/>
        </w:rPr>
        <w:t>◦</w:t>
      </w:r>
      <w:r>
        <w:rPr>
          <w:rFonts w:ascii="Times New Roman;serif" w:hAnsi="Times New Roman;serif"/>
          <w:b w:val="false"/>
          <w:color w:val="000000"/>
          <w:sz w:val="20"/>
        </w:rPr>
        <w:t>Accretion expense associated with AROs for nonregulated operations.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This measure is further adjusted to include Williams’ proportionate share (based on ownership interest) of </w:t>
      </w:r>
      <w:r>
        <w:rPr>
          <w:rFonts w:ascii="Times New Roman;serif" w:hAnsi="Times New Roman;serif"/>
          <w:b w:val="false"/>
          <w:i/>
          <w:color w:val="000000"/>
          <w:sz w:val="20"/>
        </w:rPr>
        <w:t>Modified EBITDA</w:t>
      </w:r>
      <w:r>
        <w:rPr>
          <w:color w:val="000000"/>
        </w:rPr>
        <w:t xml:space="preserve"> </w:t>
      </w:r>
      <w:r>
        <w:rPr>
          <w:rFonts w:ascii="Times New Roman;serif" w:hAnsi="Times New Roman;serif"/>
          <w:b w:val="false"/>
          <w:color w:val="000000"/>
          <w:sz w:val="20"/>
        </w:rPr>
        <w:t>from its equity-method investments, including its indirect share from interests owned by equity-method investees, calculated consistently with the definition described above.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Significant noncash items which are components of </w:t>
      </w:r>
      <w:r>
        <w:rPr>
          <w:rFonts w:ascii="Times New Roman;serif" w:hAnsi="Times New Roman;serif"/>
          <w:b w:val="false"/>
          <w:i/>
          <w:color w:val="000000"/>
          <w:sz w:val="20"/>
        </w:rPr>
        <w:t xml:space="preserve">Modified EBITDA </w:t>
      </w:r>
      <w:r>
        <w:rPr>
          <w:rFonts w:ascii="Times New Roman;serif" w:hAnsi="Times New Roman;serif"/>
          <w:b w:val="false"/>
          <w:color w:val="000000"/>
          <w:sz w:val="20"/>
        </w:rPr>
        <w:t xml:space="preserve">may include net unrealized gain (loss) from commodity derivatives within </w:t>
      </w:r>
      <w:r>
        <w:rPr>
          <w:rFonts w:ascii="Times New Roman;serif" w:hAnsi="Times New Roman;serif"/>
          <w:b w:val="false"/>
          <w:i/>
          <w:color w:val="000000"/>
          <w:sz w:val="20"/>
        </w:rPr>
        <w:t xml:space="preserve">Total revenues, </w:t>
      </w:r>
      <w:r>
        <w:rPr>
          <w:rFonts w:ascii="Times New Roman;serif" w:hAnsi="Times New Roman;serif"/>
          <w:b w:val="false"/>
          <w:color w:val="000000"/>
          <w:sz w:val="20"/>
        </w:rPr>
        <w:t xml:space="preserve">net unrealized gain (loss) from commodity derivatives within </w:t>
      </w:r>
      <w:r>
        <w:rPr>
          <w:rFonts w:ascii="Times New Roman;serif" w:hAnsi="Times New Roman;serif"/>
          <w:b w:val="false"/>
          <w:i/>
          <w:color w:val="000000"/>
          <w:sz w:val="20"/>
        </w:rPr>
        <w:t>Net processing commodity expenses</w:t>
      </w:r>
      <w:r>
        <w:rPr>
          <w:color w:val="000000"/>
        </w:rPr>
        <w:t xml:space="preserve"> </w:t>
      </w:r>
      <w:r>
        <w:rPr>
          <w:rFonts w:ascii="Times New Roman;serif" w:hAnsi="Times New Roman;serif"/>
          <w:b w:val="false"/>
          <w:color w:val="000000"/>
          <w:sz w:val="20"/>
        </w:rPr>
        <w:t xml:space="preserve">for Williams’ Gas &amp; NGL Marketing Services segment, charges associated with lower of cost or net realizable value adjustments to the Gas &amp; NGL Marketing Services segment inventory within </w:t>
      </w:r>
      <w:r>
        <w:rPr>
          <w:rFonts w:ascii="Times New Roman;serif" w:hAnsi="Times New Roman;serif"/>
          <w:b w:val="false"/>
          <w:i/>
          <w:color w:val="000000"/>
          <w:sz w:val="20"/>
        </w:rPr>
        <w:t>Product sales</w:t>
      </w:r>
      <w:r>
        <w:rPr>
          <w:color w:val="000000"/>
        </w:rPr>
        <w:t xml:space="preserve"> </w:t>
      </w:r>
      <w:r>
        <w:rPr>
          <w:rFonts w:ascii="Times New Roman;serif" w:hAnsi="Times New Roman;serif"/>
          <w:b w:val="false"/>
          <w:color w:val="000000"/>
          <w:sz w:val="20"/>
        </w:rPr>
        <w:t xml:space="preserve">(for natural gas marketing inventory as these sales are presented net of the related costs) and </w:t>
      </w:r>
      <w:r>
        <w:rPr>
          <w:rFonts w:ascii="Times New Roman;serif" w:hAnsi="Times New Roman;serif"/>
          <w:b w:val="false"/>
          <w:i/>
          <w:color w:val="000000"/>
          <w:sz w:val="20"/>
        </w:rPr>
        <w:t xml:space="preserve">Product costs </w:t>
      </w:r>
      <w:r>
        <w:rPr>
          <w:rFonts w:ascii="Times New Roman;serif" w:hAnsi="Times New Roman;serif"/>
          <w:b w:val="false"/>
          <w:color w:val="000000"/>
          <w:sz w:val="20"/>
        </w:rPr>
        <w:t xml:space="preserve">(for NGL marketing inventory), and impairments or write-offs of certain assets within </w:t>
      </w:r>
      <w:r>
        <w:rPr>
          <w:rFonts w:ascii="Times New Roman;serif" w:hAnsi="Times New Roman;serif"/>
          <w:b w:val="false"/>
          <w:i/>
          <w:color w:val="000000"/>
          <w:sz w:val="20"/>
        </w:rPr>
        <w:t>Other operating (income) expense – net</w:t>
      </w:r>
      <w:r>
        <w:rPr>
          <w:rFonts w:ascii="Times New Roman;serif" w:hAnsi="Times New Roman;serif"/>
          <w:b w:val="false"/>
          <w:color w:val="000000"/>
          <w:sz w:val="20"/>
        </w:rPr>
        <w:t>.</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Intersegment </w:t>
      </w:r>
      <w:r>
        <w:rPr>
          <w:rFonts w:ascii="Times New Roman;serif" w:hAnsi="Times New Roman;serif"/>
          <w:b w:val="false"/>
          <w:i/>
          <w:color w:val="000000"/>
          <w:sz w:val="20"/>
        </w:rPr>
        <w:t>Service revenues</w:t>
      </w:r>
      <w:r>
        <w:rPr>
          <w:color w:val="000000"/>
        </w:rPr>
        <w:t xml:space="preserve"> </w:t>
      </w:r>
      <w:r>
        <w:rPr>
          <w:rFonts w:ascii="Times New Roman;serif" w:hAnsi="Times New Roman;serif"/>
          <w:b w:val="false"/>
          <w:color w:val="000000"/>
          <w:sz w:val="20"/>
        </w:rPr>
        <w:t xml:space="preserve">primarily represent transportation services provided to Williams’ marketing business and gathering services provided to its upstream oil and gas properties. Intersegment </w:t>
      </w:r>
      <w:r>
        <w:rPr>
          <w:rFonts w:ascii="Times New Roman;serif" w:hAnsi="Times New Roman;serif"/>
          <w:b w:val="false"/>
          <w:i/>
          <w:color w:val="000000"/>
          <w:sz w:val="20"/>
        </w:rPr>
        <w:t>Product sales</w:t>
      </w:r>
      <w:r>
        <w:rPr>
          <w:color w:val="000000"/>
        </w:rPr>
        <w:t xml:space="preserve"> </w:t>
      </w:r>
      <w:r>
        <w:rPr>
          <w:rFonts w:ascii="Times New Roman;serif" w:hAnsi="Times New Roman;serif"/>
          <w:b w:val="false"/>
          <w:color w:val="000000"/>
          <w:sz w:val="20"/>
        </w:rPr>
        <w:t>primarily represent the sale of natural gas and NGLs from Williams’ natural gas processing plants and its oil and gas properties to its marketing business.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Segment assets include </w:t>
      </w:r>
      <w:r>
        <w:rPr>
          <w:rFonts w:ascii="Times New Roman;serif" w:hAnsi="Times New Roman;serif"/>
          <w:b w:val="false"/>
          <w:i/>
          <w:color w:val="000000"/>
          <w:sz w:val="20"/>
        </w:rPr>
        <w:t>Investments</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Property, plant, and equipment – net, </w:t>
      </w:r>
      <w:r>
        <w:rPr>
          <w:rFonts w:ascii="Times New Roman;serif" w:hAnsi="Times New Roman;serif"/>
          <w:b w:val="false"/>
          <w:color w:val="000000"/>
          <w:sz w:val="20"/>
        </w:rPr>
        <w:t xml:space="preserve">and </w:t>
      </w:r>
      <w:r>
        <w:rPr>
          <w:rFonts w:ascii="Times New Roman;serif" w:hAnsi="Times New Roman;serif"/>
          <w:b w:val="false"/>
          <w:i/>
          <w:color w:val="000000"/>
          <w:sz w:val="20"/>
        </w:rPr>
        <w:t>Intangible assets – net</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following tables present revenues, </w:t>
      </w:r>
      <w:r>
        <w:rPr>
          <w:rFonts w:ascii="Times New Roman;serif" w:hAnsi="Times New Roman;serif"/>
          <w:b w:val="false"/>
          <w:i/>
          <w:color w:val="000000"/>
          <w:sz w:val="20"/>
        </w:rPr>
        <w:t>Modified EBITDA</w:t>
      </w:r>
      <w:r>
        <w:rPr>
          <w:rFonts w:ascii="Times New Roman;serif" w:hAnsi="Times New Roman;serif"/>
          <w:b w:val="false"/>
          <w:color w:val="000000"/>
          <w:sz w:val="20"/>
        </w:rPr>
        <w:t>, significant expenses, and certain segment assets measures:</w:t>
      </w:r>
    </w:p>
    <w:tbl>
      <w:tblPr>
        <w:tblW w:w="10205" w:type="dxa"/>
        <w:jc w:val="left"/>
        <w:tblInd w:w="0" w:type="dxa"/>
        <w:tblLayout w:type="fixed"/>
        <w:tblCellMar>
          <w:top w:w="28" w:type="dxa"/>
          <w:left w:w="28" w:type="dxa"/>
          <w:bottom w:w="28" w:type="dxa"/>
          <w:right w:w="28" w:type="dxa"/>
        </w:tblCellMar>
      </w:tblPr>
      <w:tblGrid>
        <w:gridCol w:w="1384"/>
        <w:gridCol w:w="1003"/>
        <w:gridCol w:w="1012"/>
        <w:gridCol w:w="355"/>
        <w:gridCol w:w="1013"/>
        <w:gridCol w:w="199"/>
        <w:gridCol w:w="109"/>
        <w:gridCol w:w="109"/>
        <w:gridCol w:w="109"/>
        <w:gridCol w:w="235"/>
        <w:gridCol w:w="506"/>
        <w:gridCol w:w="131"/>
        <w:gridCol w:w="109"/>
        <w:gridCol w:w="109"/>
        <w:gridCol w:w="109"/>
        <w:gridCol w:w="196"/>
        <w:gridCol w:w="421"/>
        <w:gridCol w:w="109"/>
        <w:gridCol w:w="109"/>
        <w:gridCol w:w="109"/>
        <w:gridCol w:w="109"/>
        <w:gridCol w:w="382"/>
        <w:gridCol w:w="823"/>
        <w:gridCol w:w="216"/>
        <w:gridCol w:w="109"/>
        <w:gridCol w:w="109"/>
        <w:gridCol w:w="109"/>
        <w:gridCol w:w="196"/>
        <w:gridCol w:w="556"/>
        <w:gridCol w:w="160"/>
      </w:tblGrid>
      <w:tr>
        <w:trPr/>
        <w:tc>
          <w:tcPr>
            <w:tcW w:w="138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Transmission, Power &amp; Gulf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Northeast G&amp;P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Gas &amp; NGL Marketing Services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3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(Millions)</w:t>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49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revenues</w:t>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External</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 revenues</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 revenues – commodity consideration</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sales</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External</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product sales</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from commodity derivatives</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gain (loss) from commodity derivatives (2)</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of reportable segments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20"/>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costs and expenses and Proportional Modified EBITDA of equity-method investments:</w:t>
            </w:r>
          </w:p>
        </w:tc>
        <w:tc>
          <w:tcPr>
            <w:tcW w:w="1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costs and net realized processing commodity expenses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administrative expenses (3)</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Recoverable power, transportation, and storage costs (4)</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income (expenses) - net (5)</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Proportional Modified EBITDA of equity-method investments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Total Modified EBITDA of reportable segments</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Modified EBITDA:</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Contributions from upstream operations, corporate, and other business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sale of certain upstream assets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depletion,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earnings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income (loss)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CCEEFF" w:val="clear"/>
            <w:tcMar>
              <w:top w:w="0" w:type="dxa"/>
              <w:left w:w="0" w:type="dxa"/>
              <w:bottom w:w="0" w:type="dxa"/>
              <w:right w:w="0" w:type="dxa"/>
            </w:tcMar>
            <w:vAlign w:val="center"/>
          </w:tcPr>
          <w:p>
            <w:pPr>
              <w:pStyle w:val="TableContents"/>
              <w:bidi w:val="0"/>
              <w:spacing w:lineRule="auto" w:line="240" w:before="140" w:after="120"/>
              <w:jc w:val="left"/>
              <w:rPr>
                <w:rFonts w:ascii="Times New Roman;serif" w:hAnsi="Times New Roman;serif"/>
                <w:b w:val="false"/>
                <w:color w:val="000000"/>
                <w:sz w:val="16"/>
              </w:rPr>
            </w:pPr>
            <w:r>
              <w:rPr>
                <w:rFonts w:ascii="Times New Roman;serif" w:hAnsi="Times New Roman;serif"/>
                <w:b w:val="false"/>
                <w:color w:val="000000"/>
                <w:sz w:val="16"/>
              </w:rPr>
              <w:t>Accretion expense associated with AROs for nonregulated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6"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Proportional Modified EBITDA of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966"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long-lived segment assets</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2"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tbl>
      <w:tblPr>
        <w:tblW w:w="10205" w:type="dxa"/>
        <w:jc w:val="left"/>
        <w:tblInd w:w="0" w:type="dxa"/>
        <w:tblLayout w:type="fixed"/>
        <w:tblCellMar>
          <w:top w:w="28" w:type="dxa"/>
          <w:left w:w="28" w:type="dxa"/>
          <w:bottom w:w="28" w:type="dxa"/>
          <w:right w:w="28" w:type="dxa"/>
        </w:tblCellMar>
      </w:tblPr>
      <w:tblGrid>
        <w:gridCol w:w="1317"/>
        <w:gridCol w:w="905"/>
        <w:gridCol w:w="914"/>
        <w:gridCol w:w="305"/>
        <w:gridCol w:w="1009"/>
        <w:gridCol w:w="171"/>
        <w:gridCol w:w="109"/>
        <w:gridCol w:w="109"/>
        <w:gridCol w:w="109"/>
        <w:gridCol w:w="205"/>
        <w:gridCol w:w="679"/>
        <w:gridCol w:w="114"/>
        <w:gridCol w:w="109"/>
        <w:gridCol w:w="109"/>
        <w:gridCol w:w="109"/>
        <w:gridCol w:w="196"/>
        <w:gridCol w:w="646"/>
        <w:gridCol w:w="109"/>
        <w:gridCol w:w="109"/>
        <w:gridCol w:w="109"/>
        <w:gridCol w:w="109"/>
        <w:gridCol w:w="356"/>
        <w:gridCol w:w="767"/>
        <w:gridCol w:w="201"/>
        <w:gridCol w:w="109"/>
        <w:gridCol w:w="109"/>
        <w:gridCol w:w="109"/>
        <w:gridCol w:w="196"/>
        <w:gridCol w:w="646"/>
        <w:gridCol w:w="161"/>
      </w:tblGrid>
      <w:tr>
        <w:trPr/>
        <w:tc>
          <w:tcPr>
            <w:tcW w:w="131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Transmission, Power &amp; Gulf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Northeast G&amp;P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Gas &amp; NGL Marketing Services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(Millions)</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revenues</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External</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 revenues</w:t>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 revenues – commodity consideration</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sales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External</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product sales</w:t>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from commodity derivatives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gain (loss) from commodity derivatives (2)</w:t>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revenues of reportable segments</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20"/>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costs and expenses and Proportional Modified EBITDA of equity-method investments: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costs and net realized processing commodity expenses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(loss) from commodity derivatives within Net processing commodity expenses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Operating and administrative expenses (3)</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Recoverable power, transportation, and storage costs (4)</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segment income (expenses) - net (5)</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Proportional Modified EBITDA of equity-method investments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Total Modified EBITDA of reportable segments</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Modified EBITDA:</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Contributions from upstream operations, corporate, and other business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887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depletion,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earnings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income (loss)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5" w:type="dxa"/>
            <w:gridSpan w:val="24"/>
            <w:tcBorders/>
            <w:shd w:fill="CCEEFF" w:val="clear"/>
            <w:tcMar>
              <w:top w:w="0" w:type="dxa"/>
              <w:left w:w="0" w:type="dxa"/>
              <w:bottom w:w="0" w:type="dxa"/>
              <w:right w:w="0" w:type="dxa"/>
            </w:tcMar>
            <w:vAlign w:val="center"/>
          </w:tcPr>
          <w:p>
            <w:pPr>
              <w:pStyle w:val="TableContents"/>
              <w:bidi w:val="0"/>
              <w:spacing w:lineRule="auto" w:line="240" w:before="140" w:after="120"/>
              <w:jc w:val="left"/>
              <w:rPr>
                <w:rFonts w:ascii="Times New Roman;serif" w:hAnsi="Times New Roman;serif"/>
                <w:b w:val="false"/>
                <w:color w:val="000000"/>
                <w:sz w:val="16"/>
              </w:rPr>
            </w:pPr>
            <w:r>
              <w:rPr>
                <w:rFonts w:ascii="Times New Roman;serif" w:hAnsi="Times New Roman;serif"/>
                <w:b w:val="false"/>
                <w:color w:val="000000"/>
                <w:sz w:val="16"/>
              </w:rPr>
              <w:t>Accretion expense associated with AROs for nonregulated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Proportional Modified EBITDA of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87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Additions to long-lived segment assets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Equity-method investments by reportable segment</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assets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Equity-method investments by reportable segment</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assets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7"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0"/>
        </w:rPr>
      </w:pPr>
      <w:r>
        <w:rPr>
          <w:rFonts w:ascii="Times New Roman;serif" w:hAnsi="Times New Roman;serif"/>
          <w:b w:val="false"/>
          <w:color w:val="000000"/>
          <w:sz w:val="10"/>
        </w:rPr>
        <w:t>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As Williams is acting as agent for natural gas marketing customers or engages in energy trading activities, the resulting revenues are presented net of the related costs of those activities.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Williams records transactions that qualify as commodity derivatives at fair value with changes in fair value recognized in earnings in the period of change and characterized as unrealized gains or losses. Gains and losses from commodity derivatives held for energy trading purposes are presented on a net basis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(Continued)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Segment operating and administrative expenses primarily include payroll, maintenance and operating costs and taxes, and general and administrative expenses, including acquisition and transition-related expenses. It also includes project execution, information technology, finance and accounting, real estate and aviation, central engineering services, safety and operational discipline, supply chain and digital transformation, corporate strategic development, human resources, legal and government affairs, and executive and audit support services costs which are centrally managed and allocated to segments.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Recoverable power, transportation and storage costs are charges incurred which are reimbursable pursuant to FERC stipulations or customer contracts.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Other segment income (expenses) - net primarily includes equity AFUDC and regulatory credits and charges related to Williams’ regulated operations.</w:t>
      </w: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Transco</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Transco manages and evaluates its business as a single reportable segment. Transco’s CODM is the Senior Vice President, Transmission, Power &amp; Gulf. Transco’s CODM determines resource allocation and evaluates segment operating performance based upon </w:t>
      </w:r>
      <w:r>
        <w:rPr>
          <w:rFonts w:ascii="Times New Roman;serif" w:hAnsi="Times New Roman;serif"/>
          <w:b w:val="false"/>
          <w:i/>
          <w:color w:val="000000"/>
          <w:sz w:val="20"/>
        </w:rPr>
        <w:t>Net income (loss)</w:t>
      </w:r>
      <w:r>
        <w:rPr>
          <w:color w:val="000000"/>
        </w:rPr>
        <w:t xml:space="preserve"> </w:t>
      </w:r>
      <w:r>
        <w:rPr>
          <w:rFonts w:ascii="Times New Roman;serif" w:hAnsi="Times New Roman;serif"/>
          <w:b w:val="false"/>
          <w:color w:val="000000"/>
          <w:sz w:val="20"/>
        </w:rPr>
        <w:t>as reported on the Statement of Net Income.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Significant expenses within net income include </w:t>
      </w:r>
      <w:r>
        <w:rPr>
          <w:rFonts w:ascii="Times New Roman;serif" w:hAnsi="Times New Roman;serif"/>
          <w:b w:val="false"/>
          <w:i/>
          <w:color w:val="000000"/>
          <w:sz w:val="20"/>
        </w:rPr>
        <w:t>Operating and maintenance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which are each separately presented on Transco’s Statement of Net Income. Other segment items within net income include natural gas product costs; depreciation and amortization expenses; taxes, other than income taxes; other operating (income) expense – net; interest expense; interest income; other income (expense) – net; and AFUDC.</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Transco’s segment assets include </w:t>
      </w:r>
      <w:r>
        <w:rPr>
          <w:rFonts w:ascii="Times New Roman;serif" w:hAnsi="Times New Roman;serif"/>
          <w:b w:val="false"/>
          <w:i/>
          <w:color w:val="000000"/>
          <w:sz w:val="20"/>
        </w:rPr>
        <w:t>Property, plant, and equipment – net</w:t>
      </w:r>
      <w:r>
        <w:rPr>
          <w:color w:val="000000"/>
        </w:rPr>
        <w:t xml:space="preserve"> </w:t>
      </w:r>
      <w:r>
        <w:rPr>
          <w:rFonts w:ascii="Times New Roman;serif" w:hAnsi="Times New Roman;serif"/>
          <w:b w:val="false"/>
          <w:color w:val="000000"/>
          <w:sz w:val="20"/>
        </w:rPr>
        <w:t>as presented on the Balance Sheet.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NWP</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NWP manages and evaluates its business as a single reportable segment. NWP’s CODM is the Senior Vice President, Transmission, Power &amp; Gulf. NWP’s CODM determines resource allocation and evaluates segment operating performance based upon </w:t>
      </w:r>
      <w:r>
        <w:rPr>
          <w:rFonts w:ascii="Times New Roman;serif" w:hAnsi="Times New Roman;serif"/>
          <w:b w:val="false"/>
          <w:i/>
          <w:color w:val="000000"/>
          <w:sz w:val="20"/>
        </w:rPr>
        <w:t>Net income (loss)</w:t>
      </w:r>
      <w:r>
        <w:rPr>
          <w:color w:val="000000"/>
        </w:rPr>
        <w:t xml:space="preserve"> </w:t>
      </w:r>
      <w:r>
        <w:rPr>
          <w:rFonts w:ascii="Times New Roman;serif" w:hAnsi="Times New Roman;serif"/>
          <w:b w:val="false"/>
          <w:color w:val="000000"/>
          <w:sz w:val="20"/>
        </w:rPr>
        <w:t>as reported on the Statement of Net Income.</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Significant expenses within net income include </w:t>
      </w:r>
      <w:r>
        <w:rPr>
          <w:rFonts w:ascii="Times New Roman;serif" w:hAnsi="Times New Roman;serif"/>
          <w:b w:val="false"/>
          <w:i/>
          <w:color w:val="000000"/>
          <w:sz w:val="20"/>
        </w:rPr>
        <w:t>Operating and maintenance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which are each separately presented on NWP’s Statement of Net Income. Other segment items within net income include depreciation and amortization expenses; taxes, other than income taxes; other operating (income) expense – net; interest expense; other income (expense) – net; and AFUDC.</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NWP’s segment assets include </w:t>
      </w:r>
      <w:r>
        <w:rPr>
          <w:rFonts w:ascii="Times New Roman;serif" w:hAnsi="Times New Roman;serif"/>
          <w:b w:val="false"/>
          <w:i/>
          <w:color w:val="000000"/>
          <w:sz w:val="20"/>
        </w:rPr>
        <w:t>Property, plant, and equipment – net</w:t>
      </w:r>
      <w:r>
        <w:rPr>
          <w:color w:val="000000"/>
        </w:rPr>
        <w:t xml:space="preserve"> </w:t>
      </w:r>
      <w:r>
        <w:rPr>
          <w:rFonts w:ascii="Times New Roman;serif" w:hAnsi="Times New Roman;serif"/>
          <w:b w:val="false"/>
          <w:color w:val="000000"/>
          <w:sz w:val="20"/>
        </w:rPr>
        <w:t>as presented on the Balance Sheet.</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21" w:type="dxa"/>
        <w:jc w:val="left"/>
        <w:tblInd w:w="0" w:type="dxa"/>
        <w:tblLayout w:type="fixed"/>
        <w:tblCellMar>
          <w:top w:w="28" w:type="dxa"/>
          <w:left w:w="28" w:type="dxa"/>
          <w:bottom w:w="28" w:type="dxa"/>
          <w:right w:w="28" w:type="dxa"/>
        </w:tblCellMar>
      </w:tblPr>
      <w:tblGrid>
        <w:gridCol w:w="2996"/>
        <w:gridCol w:w="2639"/>
        <w:gridCol w:w="2645"/>
        <w:gridCol w:w="158"/>
        <w:gridCol w:w="158"/>
        <w:gridCol w:w="225"/>
      </w:tblGrid>
      <w:tr>
        <w:trPr/>
        <w:tc>
          <w:tcPr>
            <w:tcW w:w="2996"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Management’s Discussion and Analysis of Financial Condition and Results of Operations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115">
              <w:r>
                <w:rPr>
                  <w:rStyle w:val="InternetLink"/>
                  <w:rFonts w:ascii="Times New Roman;serif" w:hAnsi="Times New Roman;serif"/>
                  <w:b w:val="false"/>
                  <w:color w:val="0000FF"/>
                  <w:sz w:val="20"/>
                  <w:u w:val="single"/>
                </w:rPr>
                <w:t>General</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bd7035a7cd84f278d78b92579794295_115">
              <w:r>
                <w:rPr>
                  <w:rStyle w:val="InternetLink"/>
                  <w:rFonts w:ascii="Times New Roman;serif" w:hAnsi="Times New Roman;serif"/>
                  <w:b w:val="false"/>
                  <w:color w:val="0000FF"/>
                  <w:sz w:val="20"/>
                  <w:u w:val="single"/>
                </w:rPr>
                <w:t>44</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124">
              <w:r>
                <w:rPr>
                  <w:rStyle w:val="InternetLink"/>
                  <w:rFonts w:ascii="Times New Roman;serif" w:hAnsi="Times New Roman;serif"/>
                  <w:b w:val="false"/>
                  <w:color w:val="0000FF"/>
                  <w:sz w:val="20"/>
                  <w:u w:val="single"/>
                </w:rPr>
                <w:t>Company Outlook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124">
              <w:r>
                <w:rPr>
                  <w:rStyle w:val="InternetLink"/>
                  <w:rFonts w:ascii="Times New Roman;serif" w:hAnsi="Times New Roman;serif"/>
                  <w:b w:val="false"/>
                  <w:color w:val="0000FF"/>
                  <w:sz w:val="20"/>
                  <w:u w:val="single"/>
                </w:rPr>
                <w:t>45</w:t>
              </w:r>
            </w:hyperlink>
          </w:p>
        </w:tc>
      </w:tr>
      <w:tr>
        <w:trPr/>
        <w:tc>
          <w:tcPr>
            <w:tcW w:w="828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142">
              <w:r>
                <w:rPr>
                  <w:rStyle w:val="InternetLink"/>
                  <w:rFonts w:ascii="Times New Roman;serif" w:hAnsi="Times New Roman;serif"/>
                  <w:b w:val="false"/>
                  <w:color w:val="0000FF"/>
                  <w:sz w:val="20"/>
                  <w:u w:val="single"/>
                </w:rPr>
                <w:t>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142">
              <w:r>
                <w:rPr>
                  <w:rStyle w:val="InternetLink"/>
                  <w:rFonts w:ascii="Times New Roman;serif" w:hAnsi="Times New Roman;serif"/>
                  <w:b w:val="false"/>
                  <w:color w:val="0000FF"/>
                  <w:sz w:val="20"/>
                  <w:u w:val="single"/>
                </w:rPr>
                <w:t>50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8bd7035a7cd84f278d78b92579794295_145">
              <w:r>
                <w:rPr>
                  <w:rStyle w:val="InternetLink"/>
                  <w:rFonts w:ascii="Times New Roman;serif" w:hAnsi="Times New Roman;serif"/>
                  <w:b w:val="false"/>
                  <w:color w:val="0000FF"/>
                  <w:sz w:val="20"/>
                  <w:u w:val="single"/>
                </w:rPr>
                <w:t>Williams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145">
              <w:r>
                <w:rPr>
                  <w:rStyle w:val="InternetLink"/>
                  <w:rFonts w:ascii="Times New Roman;serif" w:hAnsi="Times New Roman;serif"/>
                  <w:b w:val="false"/>
                  <w:color w:val="0000FF"/>
                  <w:sz w:val="20"/>
                  <w:u w:val="single"/>
                </w:rPr>
                <w:t>50</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8bd7035a7cd84f278d78b92579794295_220">
              <w:r>
                <w:rPr>
                  <w:rStyle w:val="InternetLink"/>
                  <w:rFonts w:ascii="Times New Roman;serif" w:hAnsi="Times New Roman;serif"/>
                  <w:b w:val="false"/>
                  <w:color w:val="0000FF"/>
                  <w:sz w:val="20"/>
                  <w:u w:val="single"/>
                </w:rPr>
                <w:t>Transco</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20">
              <w:r>
                <w:rPr>
                  <w:rStyle w:val="InternetLink"/>
                  <w:rFonts w:ascii="Times New Roman;serif" w:hAnsi="Times New Roman;serif"/>
                  <w:b w:val="false"/>
                  <w:color w:val="0000FF"/>
                  <w:sz w:val="20"/>
                  <w:u w:val="single"/>
                </w:rPr>
                <w:t>57</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8bd7035a7cd84f278d78b92579794295_223">
              <w:r>
                <w:rPr>
                  <w:rStyle w:val="InternetLink"/>
                  <w:rFonts w:ascii="Times New Roman;serif" w:hAnsi="Times New Roman;serif"/>
                  <w:b w:val="false"/>
                  <w:color w:val="0000FF"/>
                  <w:sz w:val="20"/>
                  <w:u w:val="single"/>
                </w:rPr>
                <w:t>NWP</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23">
              <w:r>
                <w:rPr>
                  <w:rStyle w:val="InternetLink"/>
                  <w:rFonts w:ascii="Times New Roman;serif" w:hAnsi="Times New Roman;serif"/>
                  <w:b w:val="false"/>
                  <w:color w:val="0000FF"/>
                  <w:sz w:val="20"/>
                  <w:u w:val="single"/>
                </w:rPr>
                <w:t>59</w:t>
              </w:r>
            </w:hyperlink>
          </w:p>
        </w:tc>
      </w:tr>
      <w:tr>
        <w:trPr/>
        <w:tc>
          <w:tcPr>
            <w:tcW w:w="8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d7035a7cd84f278d78b92579794295_226">
              <w:r>
                <w:rPr>
                  <w:rStyle w:val="InternetLink"/>
                  <w:rFonts w:ascii="Times New Roman;serif" w:hAnsi="Times New Roman;serif"/>
                  <w:b w:val="false"/>
                  <w:color w:val="0000FF"/>
                  <w:sz w:val="20"/>
                  <w:u w:val="single"/>
                </w:rPr>
                <w:t>Management’s Discussion and Analysis of Financial Condition and Liquidity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d7035a7cd84f278d78b92579794295_226">
              <w:r>
                <w:rPr>
                  <w:rStyle w:val="InternetLink"/>
                  <w:rFonts w:ascii="Times New Roman;serif" w:hAnsi="Times New Roman;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is an energy company committed to being the leader in providing infrastructure that safely delivers natural gas products to reliably fuel the clean energy economy. Its operations are located in the United States.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interstate natural gas pipeline strategy is to create value by maximizing the utilization of its pipeline capacity by providing high-quality, low-cost transportation of natural gas to large and growing markets. Williams’ gas pipeline businesses’ interstate transmission and storage activities are subject to regulation by the FERC. As such, Williams’ rates and charges for the transportation of natural gas in interstate commerce; the extension, expansion, or abandonment of jurisdictional facilities; and accounting, among other things, are subject to regulation. The rates are established primarily through the FERC’s ratemaking process, but Williams may also negotiate rates with its customers pursuant to the terms of its tariffs and FERC policy. Changes in commodity prices and volumes transported have limited near-term impact on these revenues because the majority of the cost of service is recovered through firm capacity reservation charges in transportation rates.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ongoing strategy of Williams’ midstream operations is to safely and reliably operate large-scale midstream infrastructure where its assets can be fully utilized and drive low per-unit costs. Williams focuses on consistently attracting new business by providing highly reliable service to its customers. These services include natural gas gathering and processing, treating, compression and storage; NGL fractionation, transportation and storage; and crude oil production handling and transportation, as well as marketing services for NGL, crude oil, and natural gas.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the manner in which Williams’ CODM evaluates performance and allocates resources, Williams’ operations are conducted, managed, and presented within the following reportable segments: Transmission, Power &amp; Gulf; Northeast G&amp;P; West; and Gas &amp; NGL Marketing Services. All remaining business activities, including upstream operations and corporate activities, are included in Other. See Note 1 – Description of Business and Basis of Presentation for a full description of each segment.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indicated otherwise, the following discussion and analysis of results of operations and financial condition and liquidity relates to Williams’ current continuing operations and should be read in conjunction with the financial statements and combined notes thereto of this Form 10-Q and the Annual Report on Form 10-K for the year ended December 31, 2025, as filed with the SEC on 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Williams paid a regular quarterly dividend of $0.525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 of Three Months Ended March 31, 2026</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Net income (loss) attributable to The Williams Companies, Inc.</w:t>
      </w:r>
      <w:r>
        <w:rPr>
          <w:color w:val="000000"/>
        </w:rPr>
        <w:t xml:space="preserve"> </w:t>
      </w:r>
      <w:r>
        <w:rPr>
          <w:rFonts w:ascii="Times New Roman;serif" w:hAnsi="Times New Roman;serif"/>
          <w:b w:val="false"/>
          <w:color w:val="000000"/>
          <w:sz w:val="20"/>
        </w:rPr>
        <w:t>for the three months ended March 31, 2026, increased $174 million compared to the three months ended March 31, 2025. Further discussion of the results is found in this report in the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Transco FERC Rate Case Filing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Transco filed a general rate case with the FERC for an overall increase in rates and to comply with the terms of the settlement of its prior rate case. On September 30, 2024, the FERC issued an order accepting and suspending Transco’s general rate filing to be effective March 1, 2025, subject to refund and the outcome of hearing procedures established by the FERC. The order also accepted rate decreases for certain services to be effective as of October 1, 2024. During the third quarter of 2025, Transco reached an agreement in principle with its customers and the other participants to settle all aspects of the rate case and has accrued a related liability for rate refunds. Transco filed with the FERC in October 2025 for approval of the settlement. On December 30, 2025, the FERC approved the settlement which became effective March 1, 2026. The refunds were paid in April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Sale of Mid-Continent Gathering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Williams’ closed on the sale of certain gas gathering assets in the Mid-Continent region. These operations were designated as held for sale at December 31, 2025 and an impairment, within the West segment, was recognized. See Note 8 – Fair Value Measurements and Guarantees.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 of South Mansfield Upstream Interests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Williams closed on the sale of its interests in certain upstream ventures in the South Mansfield area of the Haynesville Shale region, included in Other, for consideration of $398 million with additional contingent consideration to possibly be received through 2029. Upon closing, Williams recognized a gain of $182 million in the first quarter of 2026. See Note 3 – Divestitures.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Expansion Project Updates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Expansion projects placed into service for the current year are described below. Ongoing major expansion projects are discussed later in Company Outlook.</w:t>
      </w:r>
    </w:p>
    <w:p>
      <w:pPr>
        <w:pStyle w:val="TextBody"/>
        <w:bidi w:val="0"/>
        <w:spacing w:lineRule="auto" w:line="288" w:before="18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Transmission, Power &amp; Gulf</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Naughton Coal-to-Gas Conversion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project involves an expansion of NWP’s existing natural gas transmission system to provide year-round transportation capacity to a power plant in southwest Wyoming. NWP placed the project into service in April 2026, increasing NWP’s capacity by 98 Mdth/d.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Company Outlook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strategy is to provide a large-scale, reliable, and clean energy infrastructure designed to maximize the opportunities created by the vast supply of natural gas and natural gas products that exists in the United States. Williams accomplishes this by connecting the growing demand for cleaner fuels and feedstocks with our major positions in the premier natural gas and natural gas products supply basins. Williams continues to maintain a strong commitment to safety, environmental stewardship including seeking opportunities for renewable energy ventures, operational excellence, and customer satisfaction. Williams believes that accomplishing these goals will position it to deliver safe, reliable, clean energy services to its customers and an attractive return to shareholders. Williams’ business plan for 2026 includes a continued focus on earnings and cash flow growth.</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2026, Williams’ operating results are expected to benefit from the continued growth in the Transmission, Power &amp; Gulf segment, primarily reflecting the impacts of the Socrates Power Innovation project, as well as numerous expansion projects at Transco and the Gulf of America. Growth in 2026 will benefit from a full year of the Louisiana Energy Gateway expansion project as well as expected increases in Haynesville Shale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Williams expects higher gathering and processing results in the Northeast. These increases are partially offset by the divestiture of the South Mansfield upstream joint venture, and lower expected Eagle Ford results in our West segment which relate to contractual step-downs in minimum volume commitments.</w:t>
      </w:r>
    </w:p>
    <w:p>
      <w:pPr>
        <w:pStyle w:val="TextBody"/>
        <w:bidi w:val="0"/>
        <w:spacing w:lineRule="auto" w:line="276"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seeks to maintain a strong financial position and liquidity, as well as manage a diversified portfolio of safe, clean, and reliable energy infrastructure assets that continue to serve key growth markets and supply basins in the United States. Williams’ growth capital and investment expenditures in 2026 are expected to range from $7.0 billion to $7.6 billion, excluding acquisitions and certain long-lead time equipment for power innovation projects which are backed by reimbursement from the customer if the equipment order is cancelled. Growth capital spending in 2026 primarily includes the Power Innovation projects, Transco expansions, all of which are fully contracted with firm transportation agreements, projects supporting growth in the Haynesville Shale basin, and projects supporting the Northeast G&amp;P business. Williams is investing capital in the Louisiana LNG and Driftwood Pipeline projects, as well as the development of its Wamsutter upstream oil and gas properties. In addition to growth capital and investment expenditures, Williams also remains committed to projects that maintain its assets for safe and reliable operations, as well as projects that reduce emissions, and meet legal, regulatory, and/or contractual commitments.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Potential risks and obstacles that could impact the execution of Williams’ plan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global recession, which could result in downturns in financial markets and commodity prices, as well as impact demand for natural gas and related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Opposition to, and regulations affecting, our infrastructure projects, including the risk of delay or denial in permits and approvals needed for our projects;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Counterparty credit and performance risk;</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Unexpected significant increases in capital expenditures or delays in capital project execution, including increases from inflation or delays caused by supply chain disruptions;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Unexpected changes in customer drilling and production activities, which could negatively impact gathering and processing volumes;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Lower than anticipated demand for natural gas and natural gas products which could result in lower-than-expected volumes, energy commodity prices, and margins;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General economic, financial markets, or industry downturns, including increased inflation, interest rates, or tariffs;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Physical damages to facilities, including damage to offshore facilities by weather-related events;</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Other risks set forth under Part I, Item 1A. Risk Factors in the Annual Report on Form 10-K for the year ended December 31, 2025, as filed with the SEC on February 24, 2026, as may be supplemented by disclosure in Part II, Item 1A. Risk Factors in subsequent Quarterly Reports on Form 10</w:t>
        <w:noBreakHyphen/>
        <w:t>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Expansion Projects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ongoing major expansion projects include the following:</w:t>
      </w:r>
    </w:p>
    <w:p>
      <w:pPr>
        <w:pStyle w:val="TextBody"/>
        <w:bidi w:val="0"/>
        <w:spacing w:lineRule="auto" w:line="288" w:before="18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Transmission, Power &amp; Gulf</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Gillis West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Transco filed a prior notice application with the FERC for the project, which involves an expansion of Transco’s existing natural gas transmission system to provide incremental firm transportation capacity from receipt points in Louisiana to delivery points in Texas. Transco plans to place the project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service as early as the fourth quarter of 2026, assuming timely receipt of all necessary regulatory approvals. The project is expected to increase capacity by 115 Mdth/d.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Southeast Supply Enhancement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Transco received FERC approval for the project, which involves an expansion of Transco’s existing natural gas transmission system to provide incremental firm transportation capacity from receipt points in Virginia to delivery points in Virginia, North Carolina, South Carolina, Georgia, and Alabama. Transco plans to place the project into service as early as the third quarter of 2027, assuming timely receipt of all necessary regulatory approvals. The project is expected to increase capacity by 1,597 Mdth/d. </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Northeast Supply Enhancement</w:t>
      </w:r>
    </w:p>
    <w:p>
      <w:pPr>
        <w:pStyle w:val="TextBody"/>
        <w:bidi w:val="0"/>
        <w:spacing w:lineRule="auto" w:line="288" w:before="200" w:after="283"/>
        <w:ind w:left="0" w:right="0" w:firstLine="360"/>
        <w:jc w:val="both"/>
        <w:rPr/>
      </w:pPr>
      <w:r>
        <w:rPr>
          <w:rFonts w:ascii="Times New Roman;serif" w:hAnsi="Times New Roman;serif"/>
          <w:b w:val="false"/>
          <w:color w:val="000000"/>
          <w:sz w:val="20"/>
        </w:rPr>
        <w:t>In August 2025, the FERC issued an order granting Transco’s petition for reissuance of the certificate authorization for the project, which involves an expansion of Transco’s existing natural gas transmission system to provide incremental firm transportation capacity from Transco’s Compressor Station 195 in Pennsylvania to the Rockaway Delivery Lateral transfer point in New York. In October and November 2025, Transco’s applications for Clean Water Act and related permits with the states of Pennsylvania, New York and New Jersey were approved. In August 2025, Transco executed precedent agreements with customers subscribing to all of the capacity under the project. Transco plans to place the project into service as early as the fourth quarter of 2027, assuming timely receipt of all necessary regulatory approvals. The project is expected to increase capacity by 400 Mdth</w:t>
      </w:r>
      <w:r>
        <w:rPr>
          <w:color w:val="000000"/>
        </w:rPr>
        <w:t>⁄</w:t>
      </w:r>
      <w:r>
        <w:rPr>
          <w:rFonts w:ascii="Times New Roman;serif" w:hAnsi="Times New Roman;serif"/>
          <w:b w:val="false"/>
          <w:color w:val="000000"/>
          <w:sz w:val="20"/>
        </w:rPr>
        <w:t>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Line 200</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2023, Driftwood received FERC approval for Line 200, which will connect multiple pipelines to the Louisiana LNG facility. Williams will be the operator of the pipeline and plans to place the project into service as early as the second quarter of 2028. The pipeline has an expected capacity of 3,100 Mdth/d.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Pine Prairie Phase IV Expansion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2025, Williams filed a certificate application with the FERC for the project, which will involve an expansion of storage capacity and the injection and withdrawal capabilities of one of its existing storage facilities in the Gulf Coast region. Williams plans to place the project into service during the fourth quarter of 2028, assuming timely receipt of all necessary regulatory approvals. The project is expected to increase working gas storage capacity by 10 Bcf.</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Dalton Lateral II</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Transco plans to file a certificate application for the project with the FERC in 2027. The project involves an expansion of Transco’s existing natural gas transmission system to provide incremental firm transportation capacity from Transco’s main line near existing Station 115 to an existing power plant in Georgia. Transco plans to place the project into service as early as the fourth quarter of 2029, assuming timely receipt of all necessary regulatory approvals. The project is expected to increase capacity up to 460 Mdth/d.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Power Express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Transco plans to file an application with the FERC as early as the second quarter 2027 for the project, which involves an expansion of Transco’s existing natural gas transmission system to provide incremental firm transportation capacity in Virginia. Transco plans to place the project into service as early as the third quarter of 2030, assuming timely receipt of all necessary regulatory approvals. The project is expected to increase capacity by 750 Mdth/d.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Ryckman Creek Loop</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NWP received FERC approval for the project, which involves an expansion of NWP’s existing natural gas transmission system to provide incremental firm transportation capacity from a receipt point in northeast Oregon to multiple delivery points in southwest Wyoming. NWP plans to place the project into service as early as the fourth quarter of 2026. The project is expected to increase capacity by 50 Mdth/d. </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Huntingdon Connector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NWP filed a prior notice application with the FERC for the project, which involves an expansion of NWP’s existing natural gas transmission system that will provide year-round transportation capacity from the Sumas receipt point to various delivery points in Washington. NWP plans to place the project into service during the fourth quarter of 2026, assuming timely receipt of all necessary regulatory approvals. The project is expected to increase capacity by 78 Mdth/d.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Wild Trail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NWP received FERC approval for the project, which involves an expansion of NWP’s existing natural gas transmission system that will provide year-round transportation capacity from the White River Hub receipt point in western Colorado to various delivery points in southwest Wyoming and southern Colorado. The Wild Trail project is fully subscribed by an affiliate of NWP. NWP plans to place the project into service during the fourth quarter of 2027, assuming timely receipt of all necessary regulatory approvals. The project is expected to increase capacity by 83 Mdth/d.</w:t>
      </w:r>
    </w:p>
    <w:p>
      <w:pPr>
        <w:pStyle w:val="TextBody"/>
        <w:bidi w:val="0"/>
        <w:spacing w:lineRule="auto" w:line="288" w:before="200" w:after="283"/>
        <w:jc w:val="both"/>
        <w:rPr/>
      </w:pPr>
      <w:r>
        <w:rPr>
          <w:rFonts w:ascii="Times New Roman;serif" w:hAnsi="Times New Roman;serif"/>
          <w:b w:val="false"/>
          <w:color w:val="000000"/>
          <w:sz w:val="20"/>
          <w:u w:val="single"/>
        </w:rPr>
        <w:t>Kelso-Beaver Reliability</w:t>
      </w:r>
      <w:r>
        <w:rPr>
          <w:color w:val="000000"/>
        </w:rPr>
        <w:t xml:space="preserv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NWP received FERC approval for the project, which will provide year-round transportation capacity to various receipt and delivery points in Oregon. NWP plans to place the project into service during the fourth quarter of 2028, assuming timely receipt of all necessary regulatory approvals. The project is expected to increase capacity by 183 Mdth/d. In May 2026, NWP purchased the 17-mile Kelso-Beaver pipeline, a key milestone for this project.</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Silver Spur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NWP plans to file an application with the FERC as early as the second half of 2027 for the project, which will provide year-round transportation capacity from the Rockies Supply hub at Opal, Wyoming to various delivery points in Idaho. NWP plans to place the project into service as early as the first half of 2030, assuming timely receipt of all necessary regulatory approvals. The project is expected to increase capacity by 275 Mdth/d.</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Power Innovation</w:t>
      </w:r>
    </w:p>
    <w:p>
      <w:pPr>
        <w:pStyle w:val="TextBody"/>
        <w:bidi w:val="0"/>
        <w:spacing w:lineRule="auto" w:line="288" w:before="2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Socrates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Socrates project involves the construction of the Socrates North and South power generation facilities and associated gas pipeline infrastructure in New Albany, Ohio, which together have an expected 556 MW of capacity. The project is backed by a 10 year, primarily fixed-price power purchase agreement, with an option for the customer to extend the term of the agreement. Williams has received necessary approvals from the Ohio Power Siting Board. Williams plans to place the project into service in the third and fourth quarter of 2026.</w:t>
      </w:r>
    </w:p>
    <w:p>
      <w:pPr>
        <w:pStyle w:val="TextBody"/>
        <w:bidi w:val="0"/>
        <w:spacing w:lineRule="auto" w:line="288" w:before="2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Additional Projects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Williams has agreed to provide committed power generation and associated gas pipeline infrastructure for four additional Power Innovation projects, Apollo, Aquila, Socrates the Younger, and Neo. The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are backed by primarily fixed-price power purchase agreements, with options for the customer to extend the term of the agreements. The Apollo project, in Ohio, has a term of 12.5 years, and Williams expects the project to be placed into service in the second half of 2027 and to provide 490 MW of capacity. The Aquila project, in Utah, also has a term of 12.5 years, and Williams expects the project to be placed into service in the second half of 2027 and the first half of 2028 and to provide 520 MW of capacity. The Socrates the Younger project, in Ohio, has a term of 10 years, and Williams expects the project to be placed into service the second half of 2028 and to provide 340 MW of capacity. The Neo project, in Ohio, has a term of 12.5 years, and Williams expects the project to be placed into service in the second half of 2028 and to provide 682 MW of capacity. All expected in-service dates assume timely receipt of permits.</w:t>
      </w:r>
    </w:p>
    <w:p>
      <w:pPr>
        <w:pStyle w:val="TextBody"/>
        <w:bidi w:val="0"/>
        <w:spacing w:lineRule="auto" w:line="288" w:before="200" w:after="283"/>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West</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Dorne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will construct and operate a greenfield treating and dehydration facility with a capacity of 400 MMcf/d. This project is expected to be placed into service in the third quarter of 2027.</w:t>
      </w:r>
    </w:p>
    <w:p>
      <w:pPr>
        <w:pStyle w:val="TextBody"/>
        <w:bidi w:val="0"/>
        <w:spacing w:lineRule="auto" w:line="288" w:before="200" w:after="283"/>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Lakeland Solar Project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is constructing and will operate a 75 MW alternating current solar power facility interconnecting with Lakeland Electric in Florida. This project is expected to be placed in service in the fourth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Williams’ Consolidated Overview</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is a summary of Williams’ consolidated results of operations for the three months ended March 31, 2026, compared to the three months ended March 31, 2025, and should be read in conjunction with the results of operations by segment, as discussed in further detail following this consolidated overview discussion.</w:t>
      </w:r>
    </w:p>
    <w:tbl>
      <w:tblPr>
        <w:tblW w:w="10205" w:type="dxa"/>
        <w:jc w:val="left"/>
        <w:tblInd w:w="0" w:type="dxa"/>
        <w:tblLayout w:type="fixed"/>
        <w:tblCellMar>
          <w:top w:w="28" w:type="dxa"/>
          <w:left w:w="28" w:type="dxa"/>
          <w:bottom w:w="28" w:type="dxa"/>
          <w:right w:w="28" w:type="dxa"/>
        </w:tblCellMar>
      </w:tblPr>
      <w:tblGrid>
        <w:gridCol w:w="1165"/>
        <w:gridCol w:w="925"/>
        <w:gridCol w:w="894"/>
        <w:gridCol w:w="109"/>
        <w:gridCol w:w="109"/>
        <w:gridCol w:w="109"/>
        <w:gridCol w:w="109"/>
        <w:gridCol w:w="399"/>
        <w:gridCol w:w="399"/>
        <w:gridCol w:w="400"/>
        <w:gridCol w:w="109"/>
        <w:gridCol w:w="196"/>
        <w:gridCol w:w="556"/>
        <w:gridCol w:w="109"/>
        <w:gridCol w:w="109"/>
        <w:gridCol w:w="109"/>
        <w:gridCol w:w="109"/>
        <w:gridCol w:w="196"/>
        <w:gridCol w:w="556"/>
        <w:gridCol w:w="109"/>
        <w:gridCol w:w="109"/>
        <w:gridCol w:w="109"/>
        <w:gridCol w:w="109"/>
        <w:gridCol w:w="263"/>
        <w:gridCol w:w="263"/>
        <w:gridCol w:w="109"/>
        <w:gridCol w:w="109"/>
        <w:gridCol w:w="109"/>
        <w:gridCol w:w="109"/>
        <w:gridCol w:w="263"/>
        <w:gridCol w:w="263"/>
        <w:gridCol w:w="256"/>
        <w:gridCol w:w="109"/>
        <w:gridCol w:w="109"/>
        <w:gridCol w:w="109"/>
        <w:gridCol w:w="109"/>
        <w:gridCol w:w="109"/>
        <w:gridCol w:w="109"/>
        <w:gridCol w:w="109"/>
        <w:gridCol w:w="109"/>
        <w:gridCol w:w="109"/>
        <w:gridCol w:w="109"/>
        <w:gridCol w:w="109"/>
        <w:gridCol w:w="159"/>
      </w:tblGrid>
      <w:tr>
        <w:trPr/>
        <w:tc>
          <w:tcPr>
            <w:tcW w:w="116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617" w:type="dxa"/>
            <w:gridSpan w:val="30"/>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6"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429" w:type="dxa"/>
            <w:gridSpan w:val="24"/>
            <w:tcBorders/>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and service revenues – commodity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costs and net processing commodity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on sale of certain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income (loss)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The Williams Companies,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 = Favorable change; - = Unfavorable change; NM = A percentage calculation is not meaningful due to a change in signs, a zero-value denominator, or a percentage change greater than 200.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three months ended March 31, 2025</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Service revenues</w:t>
      </w:r>
      <w:r>
        <w:rPr>
          <w:color w:val="000000"/>
        </w:rPr>
        <w:t xml:space="preserve"> </w:t>
      </w:r>
      <w:r>
        <w:rPr>
          <w:rFonts w:ascii="Times New Roman;serif" w:hAnsi="Times New Roman;serif"/>
          <w:b w:val="false"/>
          <w:color w:val="000000"/>
          <w:sz w:val="20"/>
        </w:rPr>
        <w:t xml:space="preserve">increased primarily due to: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Higher revenues associated with expansion projects at the Transmission, Power &amp; Gulf and the West segments;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Transco transportation and storage rates and Gulf Coast Storage rates at the Transmission, Power &amp; Gulf segment.</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net sum of </w:t>
      </w:r>
      <w:r>
        <w:rPr>
          <w:rFonts w:ascii="Times New Roman;serif" w:hAnsi="Times New Roman;serif"/>
          <w:b w:val="false"/>
          <w:i/>
          <w:color w:val="000000"/>
          <w:sz w:val="20"/>
        </w:rPr>
        <w:t>Product sales and service revenues – commodity consideration</w:t>
      </w:r>
      <w:r>
        <w:rPr>
          <w:rFonts w:ascii="Times New Roman;serif" w:hAnsi="Times New Roman;serif"/>
          <w:b w:val="false"/>
          <w:color w:val="000000"/>
          <w:sz w:val="20"/>
        </w:rPr>
        <w:t xml:space="preserve">, </w:t>
      </w:r>
      <w:r>
        <w:rPr>
          <w:rFonts w:ascii="Times New Roman;serif" w:hAnsi="Times New Roman;serif"/>
          <w:b w:val="false"/>
          <w:i/>
          <w:color w:val="000000"/>
          <w:sz w:val="20"/>
        </w:rPr>
        <w:t>Product costs and net processing commodity expenses,</w:t>
      </w:r>
      <w:r>
        <w:rPr>
          <w:color w:val="000000"/>
        </w:rPr>
        <w:t xml:space="preserve"> </w:t>
      </w:r>
      <w:r>
        <w:rPr>
          <w:rFonts w:ascii="Times New Roman;serif" w:hAnsi="Times New Roman;serif"/>
          <w:b w:val="false"/>
          <w:color w:val="000000"/>
          <w:sz w:val="20"/>
        </w:rPr>
        <w:t xml:space="preserve">and net realized gains and losses on commodity derivatives related to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283"/>
        <w:jc w:val="both"/>
        <w:rPr/>
      </w:pPr>
      <w:r>
        <w:rPr>
          <w:rFonts w:ascii="Times New Roman;serif" w:hAnsi="Times New Roman;serif"/>
          <w:b w:val="false"/>
          <w:color w:val="000000"/>
          <w:sz w:val="20"/>
        </w:rPr>
        <w:t xml:space="preserve">product and shrink gas purchases for processing plants for the reportable segments comprise </w:t>
      </w:r>
      <w:r>
        <w:rPr>
          <w:rFonts w:ascii="Times New Roman;serif" w:hAnsi="Times New Roman;serif"/>
          <w:b w:val="false"/>
          <w:i/>
          <w:color w:val="000000"/>
          <w:sz w:val="20"/>
        </w:rPr>
        <w:t>Commodity Margins</w:t>
      </w:r>
      <w:r>
        <w:rPr>
          <w:rFonts w:ascii="Times New Roman;serif" w:hAnsi="Times New Roman;serif"/>
          <w:b w:val="false"/>
          <w:color w:val="000000"/>
          <w:sz w:val="20"/>
        </w:rPr>
        <w:t xml:space="preserve">. </w:t>
      </w:r>
      <w:r>
        <w:rPr>
          <w:rFonts w:ascii="Times New Roman;serif" w:hAnsi="Times New Roman;serif"/>
          <w:b w:val="false"/>
          <w:i/>
          <w:color w:val="000000"/>
          <w:sz w:val="20"/>
        </w:rPr>
        <w:t>Service revenues - commodity consideration</w:t>
      </w:r>
      <w:r>
        <w:rPr>
          <w:color w:val="000000"/>
        </w:rPr>
        <w:t xml:space="preserve"> </w:t>
      </w:r>
      <w:r>
        <w:rPr>
          <w:rFonts w:ascii="Times New Roman;serif" w:hAnsi="Times New Roman;serif"/>
          <w:b w:val="false"/>
          <w:color w:val="000000"/>
          <w:sz w:val="20"/>
        </w:rPr>
        <w:t xml:space="preserve">represent payments received in the form of commodities for processing services provided. Most of these commodity volumes are sold during the month processed and are offset within </w:t>
      </w:r>
      <w:r>
        <w:rPr>
          <w:rFonts w:ascii="Times New Roman;serif" w:hAnsi="Times New Roman;serif"/>
          <w:b w:val="false"/>
          <w:i/>
          <w:color w:val="000000"/>
          <w:sz w:val="20"/>
        </w:rPr>
        <w:t>Product costs and net processing commodity expenses</w:t>
      </w:r>
      <w:r>
        <w:rPr>
          <w:rFonts w:ascii="Times New Roman;serif" w:hAnsi="Times New Roman;serif"/>
          <w:b w:val="false"/>
          <w:color w:val="000000"/>
          <w:sz w:val="20"/>
        </w:rPr>
        <w:t xml:space="preserve">. The sum of </w:t>
      </w:r>
      <w:r>
        <w:rPr>
          <w:rFonts w:ascii="Times New Roman;serif" w:hAnsi="Times New Roman;serif"/>
          <w:b w:val="false"/>
          <w:i/>
          <w:color w:val="000000"/>
          <w:sz w:val="20"/>
        </w:rPr>
        <w:t>Product sales</w:t>
      </w:r>
      <w:r>
        <w:rPr>
          <w:color w:val="000000"/>
        </w:rPr>
        <w:t xml:space="preserve"> </w:t>
      </w:r>
      <w:r>
        <w:rPr>
          <w:rFonts w:ascii="Times New Roman;serif" w:hAnsi="Times New Roman;serif"/>
          <w:b w:val="false"/>
          <w:color w:val="000000"/>
          <w:sz w:val="20"/>
        </w:rPr>
        <w:t xml:space="preserve">and net realized gains and losses on commodity derivatives related to the upstream operations comprise </w:t>
      </w:r>
      <w:r>
        <w:rPr>
          <w:rFonts w:ascii="Times New Roman;serif" w:hAnsi="Times New Roman;serif"/>
          <w:b w:val="false"/>
          <w:i/>
          <w:color w:val="000000"/>
          <w:sz w:val="20"/>
        </w:rPr>
        <w:t>Net realized product sales</w:t>
      </w:r>
      <w:r>
        <w:rPr>
          <w:rFonts w:ascii="Times New Roman;serif" w:hAnsi="Times New Roman;serif"/>
          <w:b w:val="false"/>
          <w:color w:val="000000"/>
          <w:sz w:val="20"/>
        </w:rPr>
        <w:t>.</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Product sales and service revenues – commodity consideration</w:t>
      </w:r>
      <w:r>
        <w:rPr>
          <w:color w:val="000000"/>
        </w:rPr>
        <w:t xml:space="preserve"> </w:t>
      </w:r>
      <w:r>
        <w:rPr>
          <w:rFonts w:ascii="Times New Roman;serif" w:hAnsi="Times New Roman;serif"/>
          <w:b w:val="false"/>
          <w:color w:val="000000"/>
          <w:sz w:val="20"/>
        </w:rPr>
        <w:t>increase primarily consists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Higher marketing sales activities primarily related to higher net gas marketing sales activities, partially offset by lower NGL marketing sales activities at the Gas &amp; NGL Marketing Services segment;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Lower product sales from upstream operations primarily related to lower volumes, including the first quarter 2026 sale of interests in certain upstream ventures in the South Mansfield area of the Haynesville Shale region (See Note 3 – Divestitures), at Other.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Williams is acting as agent for natural gas marketing customers, its natural gas marketing product sales are presented net of the related costs of those activities within the Gas &amp; NGL Marketing Services segment.</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Net gain (loss) from commodity derivatives </w:t>
      </w:r>
      <w:r>
        <w:rPr>
          <w:rFonts w:ascii="Times New Roman;serif" w:hAnsi="Times New Roman;serif"/>
          <w:b w:val="false"/>
          <w:color w:val="000000"/>
          <w:sz w:val="20"/>
        </w:rPr>
        <w:t xml:space="preserve">includes realized and unrealized gains and losses from derivative instruments reflected within </w:t>
      </w:r>
      <w:r>
        <w:rPr>
          <w:rFonts w:ascii="Times New Roman;serif" w:hAnsi="Times New Roman;serif"/>
          <w:b w:val="false"/>
          <w:i/>
          <w:color w:val="000000"/>
          <w:sz w:val="20"/>
        </w:rPr>
        <w:t>Total revenues</w:t>
      </w:r>
      <w:r>
        <w:rPr>
          <w:color w:val="000000"/>
        </w:rPr>
        <w:t xml:space="preserve"> </w:t>
      </w:r>
      <w:r>
        <w:rPr>
          <w:rFonts w:ascii="Times New Roman;serif" w:hAnsi="Times New Roman;serif"/>
          <w:b w:val="false"/>
          <w:color w:val="000000"/>
          <w:sz w:val="20"/>
        </w:rPr>
        <w:t>primarily in the Gas &amp; NGL Marketing Services segment, as well as upstream operations at Other (see Note 9 – Commodity Derivatives).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on the derivatives are generally offset by valuation changes in the economic value of the underlying production or transportation and storage capacity contracts, which are not recognized until the underlying transaction occurs.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Product costs and net processing commodity expenses</w:t>
      </w:r>
      <w:r>
        <w:rPr>
          <w:color w:val="000000"/>
        </w:rPr>
        <w:t xml:space="preserve"> </w:t>
      </w:r>
      <w:r>
        <w:rPr>
          <w:rFonts w:ascii="Times New Roman;serif" w:hAnsi="Times New Roman;serif"/>
          <w:b w:val="false"/>
          <w:color w:val="000000"/>
          <w:sz w:val="20"/>
        </w:rPr>
        <w:t xml:space="preserve">decrease primarily consists of lower marketing activities related to NGLs at the Gas &amp; NGL Marketing Services segment.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Operating and maintenance expenses </w:t>
      </w:r>
      <w:r>
        <w:rPr>
          <w:rFonts w:ascii="Times New Roman;serif" w:hAnsi="Times New Roman;serif"/>
          <w:b w:val="false"/>
          <w:color w:val="000000"/>
          <w:sz w:val="20"/>
        </w:rPr>
        <w:t>increased primarily due to higher operating taxes.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Depreciation, depletion, and amortization expenses </w:t>
      </w:r>
      <w:r>
        <w:rPr>
          <w:rFonts w:ascii="Times New Roman;serif" w:hAnsi="Times New Roman;serif"/>
          <w:b w:val="false"/>
          <w:color w:val="000000"/>
          <w:sz w:val="20"/>
        </w:rPr>
        <w:t>decreased primarily related to the sale of certain upstream ventures in the South Mansfield area of the Haynesville Shale region at Other, substantially offset by assets placed in service at the West segment.</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Gain on sale of certain assets </w:t>
      </w:r>
      <w:r>
        <w:rPr>
          <w:rFonts w:ascii="Times New Roman;serif" w:hAnsi="Times New Roman;serif"/>
          <w:b w:val="false"/>
          <w:color w:val="000000"/>
          <w:sz w:val="20"/>
        </w:rPr>
        <w:t>reflects a gain from the sale of certain upstream ventures in the South Mansfield area of the Haynesville Shale region in 2026, at Other.</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was primarily impacted by 2025 and 2026 debt issuances and retirements (see Note 7 – Debt and Banking Arrangements), partially offset by higher interest capitalized due to ongoing expansion projects.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 xml:space="preserve">changed unfavorably primarily due to higher pre-tax income. See Note 6 – Provision (Benefit) for Income Taxes for a discussion of the effective tax rate compared to the federal statutory rate for both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Period-Over-Period Operating Results – Williams’ Segments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Williams’ CODM evaluates segment operating performance based upon </w:t>
      </w:r>
      <w:r>
        <w:rPr>
          <w:rFonts w:ascii="Times New Roman;serif" w:hAnsi="Times New Roman;serif"/>
          <w:b w:val="false"/>
          <w:i/>
          <w:color w:val="000000"/>
          <w:sz w:val="20"/>
        </w:rPr>
        <w:t>Modified EBITDA</w:t>
      </w:r>
      <w:r>
        <w:rPr>
          <w:rFonts w:ascii="Times New Roman;serif" w:hAnsi="Times New Roman;serif"/>
          <w:b w:val="false"/>
          <w:color w:val="000000"/>
          <w:sz w:val="20"/>
        </w:rPr>
        <w:t xml:space="preserve">. Note 11 – Segment Disclosures includes a reconciliation of this non-GAAP measure to </w:t>
      </w:r>
      <w:r>
        <w:rPr>
          <w:rFonts w:ascii="Times New Roman;serif" w:hAnsi="Times New Roman;serif"/>
          <w:b w:val="false"/>
          <w:i/>
          <w:color w:val="000000"/>
          <w:sz w:val="20"/>
        </w:rPr>
        <w:t>Income (loss) before income taxes</w:t>
      </w:r>
      <w:r>
        <w:rPr>
          <w:rFonts w:ascii="Times New Roman;serif" w:hAnsi="Times New Roman;serif"/>
          <w:b w:val="false"/>
          <w:color w:val="000000"/>
          <w:sz w:val="20"/>
        </w:rPr>
        <w:t xml:space="preserve">. Management uses </w:t>
      </w:r>
      <w:r>
        <w:rPr>
          <w:rFonts w:ascii="Times New Roman;serif" w:hAnsi="Times New Roman;serif"/>
          <w:b w:val="false"/>
          <w:i/>
          <w:color w:val="000000"/>
          <w:sz w:val="20"/>
        </w:rPr>
        <w:t>Modified EBITDA</w:t>
      </w:r>
      <w:r>
        <w:rPr>
          <w:color w:val="000000"/>
        </w:rPr>
        <w:t xml:space="preserve"> </w:t>
      </w:r>
      <w:r>
        <w:rPr>
          <w:rFonts w:ascii="Times New Roman;serif" w:hAnsi="Times New Roman;serif"/>
          <w:b w:val="false"/>
          <w:color w:val="000000"/>
          <w:sz w:val="20"/>
        </w:rPr>
        <w:t xml:space="preserve">because it is an accepted financial indicator used by investors to compare company performance. In addition, management believes that this measure provides investors an enhanced perspective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283"/>
        <w:jc w:val="both"/>
        <w:rPr/>
      </w:pPr>
      <w:r>
        <w:rPr>
          <w:rFonts w:ascii="Times New Roman;serif" w:hAnsi="Times New Roman;serif"/>
          <w:b w:val="false"/>
          <w:color w:val="000000"/>
          <w:sz w:val="20"/>
        </w:rPr>
        <w:t xml:space="preserve">operating performance of Williams’ assets. </w:t>
      </w:r>
      <w:r>
        <w:rPr>
          <w:rFonts w:ascii="Times New Roman;serif" w:hAnsi="Times New Roman;serif"/>
          <w:b w:val="false"/>
          <w:i/>
          <w:color w:val="000000"/>
          <w:sz w:val="20"/>
        </w:rPr>
        <w:t>Modified EBITDA</w:t>
      </w:r>
      <w:r>
        <w:rPr>
          <w:color w:val="000000"/>
        </w:rPr>
        <w:t xml:space="preserve"> </w:t>
      </w:r>
      <w:r>
        <w:rPr>
          <w:rFonts w:ascii="Times New Roman;serif" w:hAnsi="Times New Roman;serif"/>
          <w:b w:val="false"/>
          <w:color w:val="000000"/>
          <w:sz w:val="20"/>
        </w:rPr>
        <w:t>should not be considered in isolation or as a substitute for a measure of performance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i/>
          <w:color w:val="000000"/>
          <w:sz w:val="20"/>
        </w:rPr>
        <w:t>Transmission</w:t>
      </w:r>
      <w:r>
        <w:rPr>
          <w:rFonts w:ascii="Times New Roman;serif" w:hAnsi="Times New Roman;serif"/>
          <w:b w:val="false"/>
          <w:color w:val="000000"/>
          <w:sz w:val="20"/>
        </w:rPr>
        <w:t>,</w:t>
      </w:r>
      <w:r>
        <w:rPr>
          <w:color w:val="000000"/>
        </w:rPr>
        <w:t xml:space="preserve"> </w:t>
      </w:r>
      <w:r>
        <w:rPr>
          <w:rFonts w:ascii="Times New Roman;serif" w:hAnsi="Times New Roman;serif"/>
          <w:b/>
          <w:i/>
          <w:color w:val="000000"/>
          <w:sz w:val="20"/>
        </w:rPr>
        <w:t xml:space="preserve">Power &amp; Gulf </w:t>
      </w:r>
    </w:p>
    <w:tbl>
      <w:tblPr>
        <w:tblW w:w="8898" w:type="dxa"/>
        <w:jc w:val="left"/>
        <w:tblInd w:w="0" w:type="dxa"/>
        <w:tblLayout w:type="fixed"/>
        <w:tblCellMar>
          <w:top w:w="28" w:type="dxa"/>
          <w:left w:w="28" w:type="dxa"/>
          <w:bottom w:w="28" w:type="dxa"/>
          <w:right w:w="28" w:type="dxa"/>
        </w:tblCellMar>
      </w:tblPr>
      <w:tblGrid>
        <w:gridCol w:w="1974"/>
        <w:gridCol w:w="1739"/>
        <w:gridCol w:w="1746"/>
        <w:gridCol w:w="109"/>
        <w:gridCol w:w="109"/>
        <w:gridCol w:w="160"/>
        <w:gridCol w:w="160"/>
        <w:gridCol w:w="310"/>
        <w:gridCol w:w="905"/>
        <w:gridCol w:w="160"/>
        <w:gridCol w:w="109"/>
        <w:gridCol w:w="109"/>
        <w:gridCol w:w="109"/>
        <w:gridCol w:w="211"/>
        <w:gridCol w:w="616"/>
        <w:gridCol w:w="109"/>
        <w:gridCol w:w="109"/>
        <w:gridCol w:w="154"/>
      </w:tblGrid>
      <w:tr>
        <w:trPr/>
        <w:tc>
          <w:tcPr>
            <w:tcW w:w="197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and service revenues – commodity consideration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from commodity derivatives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net processing commodity expenses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Proportional Modified EBITDA of equity-method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Power &amp; Gulf Modified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margins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(1)Included as a component of </w:t>
      </w:r>
      <w:r>
        <w:rPr>
          <w:rFonts w:ascii="Times New Roman;serif" w:hAnsi="Times New Roman;serif"/>
          <w:b w:val="false"/>
          <w:i/>
          <w:color w:val="000000"/>
          <w:sz w:val="20"/>
        </w:rPr>
        <w:t>Commodity margins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three months ended March 31, 2025</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Transmission, Power &amp; Gulf Modified EBITDA</w:t>
      </w:r>
      <w:r>
        <w:rPr>
          <w:color w:val="000000"/>
        </w:rPr>
        <w:t xml:space="preserve"> </w:t>
      </w:r>
      <w:r>
        <w:rPr>
          <w:rFonts w:ascii="Times New Roman;serif" w:hAnsi="Times New Roman;serif"/>
          <w:b w:val="false"/>
          <w:color w:val="000000"/>
          <w:sz w:val="20"/>
        </w:rPr>
        <w:t xml:space="preserve">increased primarily due to higher </w:t>
      </w:r>
      <w:r>
        <w:rPr>
          <w:rFonts w:ascii="Times New Roman;serif" w:hAnsi="Times New Roman;serif"/>
          <w:b w:val="false"/>
          <w:i/>
          <w:color w:val="000000"/>
          <w:sz w:val="20"/>
        </w:rPr>
        <w:t xml:space="preserve">Service revenues, </w:t>
      </w:r>
      <w:r>
        <w:rPr>
          <w:rFonts w:ascii="Times New Roman;serif" w:hAnsi="Times New Roman;serif"/>
          <w:b w:val="false"/>
          <w:color w:val="000000"/>
          <w:sz w:val="20"/>
        </w:rPr>
        <w:t>partially offset by</w:t>
      </w:r>
      <w:r>
        <w:rPr>
          <w:color w:val="000000"/>
        </w:rPr>
        <w:t xml:space="preserve"> </w:t>
      </w:r>
      <w:r>
        <w:rPr>
          <w:rFonts w:ascii="Times New Roman;serif" w:hAnsi="Times New Roman;serif"/>
          <w:b w:val="false"/>
          <w:color w:val="000000"/>
          <w:sz w:val="20"/>
        </w:rPr>
        <w:t xml:space="preserve">higher </w:t>
      </w:r>
      <w:r>
        <w:rPr>
          <w:rFonts w:ascii="Times New Roman;serif" w:hAnsi="Times New Roman;serif"/>
          <w:b w:val="false"/>
          <w:i/>
          <w:color w:val="000000"/>
          <w:sz w:val="20"/>
        </w:rPr>
        <w:t>Other segment costs and expenses.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Service revenues</w:t>
      </w:r>
      <w:r>
        <w:rPr>
          <w:color w:val="000000"/>
        </w:rPr>
        <w:t xml:space="preserve"> </w:t>
      </w:r>
      <w:r>
        <w:rPr>
          <w:rFonts w:ascii="Times New Roman;serif" w:hAnsi="Times New Roman;serif"/>
          <w:b w:val="false"/>
          <w:color w:val="000000"/>
          <w:sz w:val="20"/>
        </w:rPr>
        <w:t>increased primarily due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$68 million increase in Transco’s revenues primarily associated with expansion projects placed in service, notably Texas Louisiana Energy Pathway in April 2025, Southeast Energy Connector in April 2025, Commonwealth Energy Connector in November 2025, and Alabama Georgia Connector in October 2025; and transportation and storage rate increases;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$25 million increase in Gulf Coast Storage’s revenues primarily associated with higher park and loan services and higher storage rates;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$19 million increase in Discovery’s revenues primarily in natural gas gathering revenues due to volumes from the Shenandoah expansion project that went in-service in July 2025;</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$13 million increase in the Western Gulf Coast region primarily due to higher natural gas gathering and crude oil transportation volumes from the Whale expansion project that went in-service in January 2025;</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$10 million increase in the Eastern Gulf Coast region primarily due to higher crude oil transportation and natural gas gathering volumes from new wells at Blind Faith in the Ballymore field;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 $8 million increase in NWP’s revenues primarily due to transportation rate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Other segment costs and expenses</w:t>
      </w:r>
      <w:r>
        <w:rPr>
          <w:color w:val="000000"/>
        </w:rPr>
        <w:t xml:space="preserve"> </w:t>
      </w:r>
      <w:r>
        <w:rPr>
          <w:rFonts w:ascii="Times New Roman;serif" w:hAnsi="Times New Roman;serif"/>
          <w:b w:val="false"/>
          <w:color w:val="000000"/>
          <w:sz w:val="20"/>
        </w:rPr>
        <w:t>increased primarily due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Higher operating expenses and administrative costs including higher employee-related costs as well as increased corporate allocations and property taxes; partially offset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Favorable change in equity AFUDC primarily from Driftwood Pipeline’s Line 200 and other capital projects within the regulated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Northeast G&amp;P</w:t>
      </w:r>
    </w:p>
    <w:tbl>
      <w:tblPr>
        <w:tblW w:w="8748" w:type="dxa"/>
        <w:jc w:val="left"/>
        <w:tblInd w:w="0" w:type="dxa"/>
        <w:tblLayout w:type="fixed"/>
        <w:tblCellMar>
          <w:top w:w="28" w:type="dxa"/>
          <w:left w:w="28" w:type="dxa"/>
          <w:bottom w:w="28" w:type="dxa"/>
          <w:right w:w="28" w:type="dxa"/>
        </w:tblCellMar>
      </w:tblPr>
      <w:tblGrid>
        <w:gridCol w:w="1974"/>
        <w:gridCol w:w="1739"/>
        <w:gridCol w:w="1746"/>
        <w:gridCol w:w="109"/>
        <w:gridCol w:w="109"/>
        <w:gridCol w:w="184"/>
        <w:gridCol w:w="184"/>
        <w:gridCol w:w="356"/>
        <w:gridCol w:w="787"/>
        <w:gridCol w:w="184"/>
        <w:gridCol w:w="109"/>
        <w:gridCol w:w="109"/>
        <w:gridCol w:w="109"/>
        <w:gridCol w:w="211"/>
        <w:gridCol w:w="466"/>
        <w:gridCol w:w="109"/>
        <w:gridCol w:w="109"/>
        <w:gridCol w:w="154"/>
      </w:tblGrid>
      <w:tr>
        <w:trPr/>
        <w:tc>
          <w:tcPr>
            <w:tcW w:w="197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376" w:type="dxa"/>
            <w:gridSpan w:val="8"/>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and service revenues – commodity consideration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net processing commodity expenses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Proportional Modified EBITDA of equity-method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Northeast G&amp;P Modified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margins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(1)Included as a component of </w:t>
      </w:r>
      <w:r>
        <w:rPr>
          <w:rFonts w:ascii="Times New Roman;serif" w:hAnsi="Times New Roman;serif"/>
          <w:b w:val="false"/>
          <w:i/>
          <w:color w:val="000000"/>
          <w:sz w:val="20"/>
        </w:rPr>
        <w:t>Commodity margins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three months ended March 31, 2025</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Northeast G&amp;P Modified EBITDA</w:t>
      </w:r>
      <w:r>
        <w:rPr>
          <w:color w:val="000000"/>
        </w:rPr>
        <w:t xml:space="preserve"> </w:t>
      </w:r>
      <w:r>
        <w:rPr>
          <w:rFonts w:ascii="Times New Roman;serif" w:hAnsi="Times New Roman;serif"/>
          <w:b w:val="false"/>
          <w:color w:val="000000"/>
          <w:sz w:val="20"/>
        </w:rPr>
        <w:t xml:space="preserve">increased primarily due to higher </w:t>
      </w:r>
      <w:r>
        <w:rPr>
          <w:rFonts w:ascii="Times New Roman;serif" w:hAnsi="Times New Roman;serif"/>
          <w:b w:val="false"/>
          <w:i/>
          <w:color w:val="000000"/>
          <w:sz w:val="20"/>
        </w:rPr>
        <w:t>Proportional Modified EBITDA of equity-method investments</w:t>
      </w:r>
      <w:r>
        <w:rPr>
          <w:color w:val="000000"/>
        </w:rPr>
        <w:t xml:space="preserve"> </w:t>
      </w:r>
      <w:r>
        <w:rPr>
          <w:rFonts w:ascii="Times New Roman;serif" w:hAnsi="Times New Roman;serif"/>
          <w:b w:val="false"/>
          <w:color w:val="000000"/>
          <w:sz w:val="20"/>
        </w:rPr>
        <w:t xml:space="preserve">and higher </w:t>
      </w:r>
      <w:r>
        <w:rPr>
          <w:rFonts w:ascii="Times New Roman;serif" w:hAnsi="Times New Roman;serif"/>
          <w:b w:val="false"/>
          <w:i/>
          <w:color w:val="000000"/>
          <w:sz w:val="20"/>
        </w:rPr>
        <w:t>Service revenues.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Service revenues</w:t>
      </w:r>
      <w:r>
        <w:rPr>
          <w:color w:val="000000"/>
        </w:rPr>
        <w:t xml:space="preserve"> </w:t>
      </w:r>
      <w:r>
        <w:rPr>
          <w:rFonts w:ascii="Times New Roman;serif" w:hAnsi="Times New Roman;serif"/>
          <w:b w:val="false"/>
          <w:color w:val="000000"/>
          <w:sz w:val="20"/>
        </w:rPr>
        <w:t>increased primarily due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$16 million increase in revenues at the Northeast JV primarily related to higher transportation &amp; fractionation volumes, higher gathering volumes, and higher processing rates;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An $8 million increase in revenues associated with reimbursable expenses, which is offset by similar changes in the charges included in </w:t>
      </w:r>
      <w:r>
        <w:rPr>
          <w:rFonts w:ascii="Times New Roman;serif" w:hAnsi="Times New Roman;serif"/>
          <w:b w:val="false"/>
          <w:i/>
          <w:color w:val="000000"/>
          <w:sz w:val="20"/>
        </w:rPr>
        <w:t>Other segment costs and expenses</w:t>
      </w:r>
      <w:r>
        <w:rPr>
          <w:rFonts w:ascii="Times New Roman;serif" w:hAnsi="Times New Roman;serif"/>
          <w:b w:val="false"/>
          <w:color w:val="000000"/>
          <w:sz w:val="20"/>
        </w:rPr>
        <w:t>; partially offset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 $17 million decrease in gathering revenues at Susquehanna Supply Hub primarily related to lower volumes.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Proportional Modified EBITDA of equity-method investments</w:t>
      </w:r>
      <w:r>
        <w:rPr>
          <w:color w:val="000000"/>
        </w:rPr>
        <w:t xml:space="preserve"> </w:t>
      </w:r>
      <w:r>
        <w:rPr>
          <w:rFonts w:ascii="Times New Roman;serif" w:hAnsi="Times New Roman;serif"/>
          <w:b w:val="false"/>
          <w:color w:val="000000"/>
          <w:sz w:val="20"/>
        </w:rPr>
        <w:t xml:space="preserve">increased at Appalachia Midstream Investments primarily driven by escalated gathering rates and higher gathering volumes.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West</w:t>
      </w:r>
    </w:p>
    <w:tbl>
      <w:tblPr>
        <w:tblW w:w="9874" w:type="dxa"/>
        <w:jc w:val="left"/>
        <w:tblInd w:w="0" w:type="dxa"/>
        <w:tblLayout w:type="fixed"/>
        <w:tblCellMar>
          <w:top w:w="28" w:type="dxa"/>
          <w:left w:w="28" w:type="dxa"/>
          <w:bottom w:w="28" w:type="dxa"/>
          <w:right w:w="28" w:type="dxa"/>
        </w:tblCellMar>
      </w:tblPr>
      <w:tblGrid>
        <w:gridCol w:w="2381"/>
        <w:gridCol w:w="2098"/>
        <w:gridCol w:w="2106"/>
        <w:gridCol w:w="109"/>
        <w:gridCol w:w="109"/>
        <w:gridCol w:w="184"/>
        <w:gridCol w:w="184"/>
        <w:gridCol w:w="356"/>
        <w:gridCol w:w="787"/>
        <w:gridCol w:w="184"/>
        <w:gridCol w:w="109"/>
        <w:gridCol w:w="109"/>
        <w:gridCol w:w="109"/>
        <w:gridCol w:w="211"/>
        <w:gridCol w:w="466"/>
        <w:gridCol w:w="109"/>
        <w:gridCol w:w="109"/>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376" w:type="dxa"/>
            <w:gridSpan w:val="8"/>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 sales and service revenues – commodity consideration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gain (loss) from commodity derivatives relating to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gain (loss) from commodity derivatives relating to product sales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gain (loss)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 costs and net processing commodity expenses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segment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Proportional Modified EBITDA of equity-method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West Modified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margins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(1)    Included as a component of </w:t>
      </w:r>
      <w:r>
        <w:rPr>
          <w:rFonts w:ascii="Times New Roman;serif" w:hAnsi="Times New Roman;serif"/>
          <w:b w:val="false"/>
          <w:i/>
          <w:color w:val="000000"/>
          <w:sz w:val="20"/>
        </w:rPr>
        <w:t>Commodity margins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three months ended March 31, 2025</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West Modified EBITDA</w:t>
      </w:r>
      <w:r>
        <w:rPr>
          <w:color w:val="000000"/>
        </w:rPr>
        <w:t xml:space="preserve"> </w:t>
      </w:r>
      <w:r>
        <w:rPr>
          <w:rFonts w:ascii="Times New Roman;serif" w:hAnsi="Times New Roman;serif"/>
          <w:b w:val="false"/>
          <w:color w:val="000000"/>
          <w:sz w:val="20"/>
        </w:rPr>
        <w:t xml:space="preserve">increased primarily due to higher </w:t>
      </w:r>
      <w:r>
        <w:rPr>
          <w:rFonts w:ascii="Times New Roman;serif" w:hAnsi="Times New Roman;serif"/>
          <w:b w:val="false"/>
          <w:i/>
          <w:color w:val="000000"/>
          <w:sz w:val="20"/>
        </w:rPr>
        <w:t>Service revenues</w:t>
      </w:r>
      <w:r>
        <w:rPr>
          <w:rFonts w:ascii="Times New Roman;serif" w:hAnsi="Times New Roman;serif"/>
          <w:b w:val="false"/>
          <w:i/>
          <w:color w:val="000000"/>
          <w:sz w:val="19"/>
        </w:rPr>
        <w:t xml:space="preserve">, </w:t>
      </w:r>
      <w:r>
        <w:rPr>
          <w:rFonts w:ascii="Times New Roman;serif" w:hAnsi="Times New Roman;serif"/>
          <w:b w:val="false"/>
          <w:color w:val="000000"/>
          <w:sz w:val="19"/>
        </w:rPr>
        <w:t xml:space="preserve">partially offset by </w:t>
      </w:r>
      <w:r>
        <w:rPr>
          <w:rFonts w:ascii="Times New Roman;serif" w:hAnsi="Times New Roman;serif"/>
          <w:b w:val="false"/>
          <w:color w:val="000000"/>
          <w:sz w:val="20"/>
        </w:rPr>
        <w:t xml:space="preserve">higher </w:t>
      </w:r>
      <w:r>
        <w:rPr>
          <w:rFonts w:ascii="Times New Roman;serif" w:hAnsi="Times New Roman;serif"/>
          <w:b w:val="false"/>
          <w:i/>
          <w:color w:val="000000"/>
          <w:sz w:val="20"/>
        </w:rPr>
        <w:t>Other segment costs and expenses.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Service revenues</w:t>
      </w:r>
      <w:r>
        <w:rPr>
          <w:color w:val="000000"/>
        </w:rPr>
        <w:t xml:space="preserve"> </w:t>
      </w:r>
      <w:r>
        <w:rPr>
          <w:rFonts w:ascii="Times New Roman;serif" w:hAnsi="Times New Roman;serif"/>
          <w:b w:val="false"/>
          <w:color w:val="000000"/>
          <w:sz w:val="20"/>
        </w:rPr>
        <w:t>increased primarily due to:</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 xml:space="preserve">A $54 million increase in the Haynesville Shale region primarily due to higher gathering volumes including those resulting from Louisiana Energy Gateway which was placed into service in third-quarter 2025 and the acquisition of Saber Midstream, LLC in June 2025; </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An $11 million increase in the DJ Basin region primarily due to higher gathering volumes, including those associated with the acquisition of natural gas gathering and processing assets from Rimrock Energy Partners, LLC on January 31, 2025; partially offset by</w:t>
      </w:r>
    </w:p>
    <w:p>
      <w:pPr>
        <w:pStyle w:val="TextBody"/>
        <w:bidi w:val="0"/>
        <w:spacing w:lineRule="auto" w:line="288" w:before="140" w:after="283"/>
        <w:ind w:left="0" w:right="0" w:hanging="360"/>
        <w:jc w:val="both"/>
        <w:rPr/>
      </w:pPr>
      <w:r>
        <w:rPr>
          <w:color w:val="000000"/>
        </w:rPr>
        <w:t>•</w:t>
      </w:r>
      <w:r>
        <w:rPr>
          <w:rFonts w:ascii="Times New Roman;serif" w:hAnsi="Times New Roman;serif"/>
          <w:b w:val="false"/>
          <w:color w:val="000000"/>
          <w:sz w:val="20"/>
        </w:rPr>
        <w:t>A $10 million decrease in the Eagle Ford Shale region primarily due to lower MVC revenue.</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Other segment costs and expenses</w:t>
      </w:r>
      <w:r>
        <w:rPr>
          <w:color w:val="000000"/>
        </w:rPr>
        <w:t xml:space="preserve"> </w:t>
      </w:r>
      <w:r>
        <w:rPr>
          <w:rFonts w:ascii="Times New Roman;serif" w:hAnsi="Times New Roman;serif"/>
          <w:b w:val="false"/>
          <w:color w:val="000000"/>
          <w:sz w:val="20"/>
        </w:rPr>
        <w:t>increased primarily due to higher operating expenses, including operating taxes, associated with Louisiana Energy Gateway.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Gas &amp; NGL Marketing Services</w:t>
      </w:r>
    </w:p>
    <w:tbl>
      <w:tblPr>
        <w:tblW w:w="10205" w:type="dxa"/>
        <w:jc w:val="left"/>
        <w:tblInd w:w="0" w:type="dxa"/>
        <w:tblLayout w:type="fixed"/>
        <w:tblCellMar>
          <w:top w:w="28" w:type="dxa"/>
          <w:left w:w="28" w:type="dxa"/>
          <w:bottom w:w="28" w:type="dxa"/>
          <w:right w:w="28" w:type="dxa"/>
        </w:tblCellMar>
      </w:tblPr>
      <w:tblGrid>
        <w:gridCol w:w="2642"/>
        <w:gridCol w:w="2225"/>
        <w:gridCol w:w="2219"/>
        <w:gridCol w:w="109"/>
        <w:gridCol w:w="109"/>
        <w:gridCol w:w="165"/>
        <w:gridCol w:w="165"/>
        <w:gridCol w:w="320"/>
        <w:gridCol w:w="707"/>
        <w:gridCol w:w="165"/>
        <w:gridCol w:w="109"/>
        <w:gridCol w:w="109"/>
        <w:gridCol w:w="109"/>
        <w:gridCol w:w="211"/>
        <w:gridCol w:w="466"/>
        <w:gridCol w:w="109"/>
        <w:gridCol w:w="109"/>
        <w:gridCol w:w="157"/>
      </w:tblGrid>
      <w:tr>
        <w:trPr/>
        <w:tc>
          <w:tcPr>
            <w:tcW w:w="264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379" w:type="dxa"/>
            <w:gridSpan w:val="8"/>
            <w:tcBorders/>
          </w:tcPr>
          <w:p>
            <w:pPr>
              <w:pStyle w:val="TableContents"/>
              <w:bidi w:val="0"/>
              <w:spacing w:before="0" w:after="283"/>
              <w:jc w:val="left"/>
              <w:rPr>
                <w:sz w:val="4"/>
                <w:szCs w:val="4"/>
              </w:rPr>
            </w:pPr>
            <w:r>
              <w:rPr>
                <w:sz w:val="4"/>
                <w:szCs w:val="4"/>
              </w:rPr>
            </w:r>
          </w:p>
        </w:tc>
      </w:tr>
      <w:tr>
        <w:trPr/>
        <w:tc>
          <w:tcPr>
            <w:tcW w:w="7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6" w:type="dxa"/>
            <w:gridSpan w:val="2"/>
            <w:tcBorders/>
          </w:tcPr>
          <w:p>
            <w:pPr>
              <w:pStyle w:val="TableContents"/>
              <w:bidi w:val="0"/>
              <w:spacing w:before="0" w:after="283"/>
              <w:jc w:val="left"/>
              <w:rPr>
                <w:sz w:val="4"/>
                <w:szCs w:val="4"/>
              </w:rPr>
            </w:pPr>
            <w:r>
              <w:rPr>
                <w:sz w:val="4"/>
                <w:szCs w:val="4"/>
              </w:rPr>
            </w:r>
          </w:p>
        </w:tc>
      </w:tr>
      <w:tr>
        <w:trPr/>
        <w:tc>
          <w:tcPr>
            <w:tcW w:w="7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 sales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gain (loss) from commodity derivative instruments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unrealized gain (loss) from commodity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(loss)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 costs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19"/>
              </w:rPr>
              <w:t>Net unrealized gain (loss) from commodity derivative instruments within</w:t>
            </w:r>
            <w:r>
              <w:rPr>
                <w:color w:val="000000"/>
              </w:rPr>
              <w:t xml:space="preserve"> </w:t>
            </w:r>
            <w:r>
              <w:rPr>
                <w:rFonts w:ascii="Times New Roman;serif" w:hAnsi="Times New Roman;serif"/>
                <w:b w:val="false"/>
                <w:i/>
                <w:color w:val="000000"/>
                <w:sz w:val="19"/>
              </w:rPr>
              <w:t>Net processing commodity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segment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Proportional Modified EBITDA of equity-method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Gas &amp; NGL Marketing Services Modified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margins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(1)    Included as a component of </w:t>
      </w:r>
      <w:r>
        <w:rPr>
          <w:rFonts w:ascii="Times New Roman;serif" w:hAnsi="Times New Roman;serif"/>
          <w:b w:val="false"/>
          <w:i/>
          <w:color w:val="000000"/>
          <w:sz w:val="20"/>
        </w:rPr>
        <w:t>Commodity margins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three months ended March 31, 2025</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Gas &amp; NGL Marketing Services Modified EBITDA</w:t>
      </w:r>
      <w:r>
        <w:rPr>
          <w:color w:val="000000"/>
        </w:rPr>
        <w:t xml:space="preserve"> </w:t>
      </w:r>
      <w:r>
        <w:rPr>
          <w:rFonts w:ascii="Times New Roman;serif" w:hAnsi="Times New Roman;serif"/>
          <w:b w:val="false"/>
          <w:color w:val="000000"/>
          <w:sz w:val="20"/>
        </w:rPr>
        <w:t xml:space="preserve">decreased primarily due to an unfavorable change in </w:t>
      </w:r>
      <w:r>
        <w:rPr>
          <w:rFonts w:ascii="Times New Roman;serif" w:hAnsi="Times New Roman;serif"/>
          <w:b w:val="false"/>
          <w:i/>
          <w:color w:val="000000"/>
          <w:sz w:val="20"/>
        </w:rPr>
        <w:t>Net unrealized gain (loss) from commodity derivative instruments</w:t>
      </w:r>
      <w:r>
        <w:rPr>
          <w:rFonts w:ascii="Times New Roman;serif" w:hAnsi="Times New Roman;serif"/>
          <w:b w:val="false"/>
          <w:color w:val="000000"/>
          <w:sz w:val="20"/>
        </w:rPr>
        <w:t xml:space="preserve">, partially offset by higher </w:t>
      </w:r>
      <w:r>
        <w:rPr>
          <w:rFonts w:ascii="Times New Roman;serif" w:hAnsi="Times New Roman;serif"/>
          <w:b w:val="false"/>
          <w:i/>
          <w:color w:val="000000"/>
          <w:sz w:val="20"/>
        </w:rPr>
        <w:t xml:space="preserve">Commodity margins </w:t>
      </w:r>
      <w:r>
        <w:rPr>
          <w:rFonts w:ascii="Times New Roman;serif" w:hAnsi="Times New Roman;serif"/>
          <w:b w:val="false"/>
          <w:color w:val="000000"/>
          <w:sz w:val="20"/>
        </w:rPr>
        <w:t xml:space="preserve">and </w:t>
      </w:r>
      <w:r>
        <w:rPr>
          <w:rFonts w:ascii="Times New Roman;serif" w:hAnsi="Times New Roman;serif"/>
          <w:b w:val="false"/>
          <w:i/>
          <w:color w:val="000000"/>
          <w:sz w:val="20"/>
        </w:rPr>
        <w:t>Proportional Modified EBITDA of equity-method investments</w:t>
      </w:r>
      <w:r>
        <w:rPr>
          <w:rFonts w:ascii="Times New Roman;serif" w:hAnsi="Times New Roman;serif"/>
          <w:b w:val="false"/>
          <w:color w:val="000000"/>
          <w:sz w:val="20"/>
        </w:rPr>
        <w:t xml:space="preserve">.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Commodity margins</w:t>
      </w:r>
      <w:r>
        <w:rPr>
          <w:color w:val="000000"/>
        </w:rPr>
        <w:t xml:space="preserve"> </w:t>
      </w:r>
      <w:r>
        <w:rPr>
          <w:rFonts w:ascii="Times New Roman;serif" w:hAnsi="Times New Roman;serif"/>
          <w:b w:val="false"/>
          <w:color w:val="000000"/>
          <w:sz w:val="20"/>
        </w:rPr>
        <w:t xml:space="preserve">increased $57 million primarily due to a $50 million increase in natural gas marketing margins, including $32 million of higher natural gas transportation capacity marketing margins and $18 million of higher natural gas storage marketing margins, both primarily driven by favorable net realized pricing spreads.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Net unrealized gain (loss) from commodity derivative instruments</w:t>
      </w:r>
      <w:r>
        <w:rPr>
          <w:color w:val="000000"/>
        </w:rPr>
        <w:t xml:space="preserve"> </w:t>
      </w:r>
      <w:r>
        <w:rPr>
          <w:rFonts w:ascii="Times New Roman;serif" w:hAnsi="Times New Roman;serif"/>
          <w:b w:val="false"/>
          <w:color w:val="000000"/>
          <w:sz w:val="20"/>
        </w:rPr>
        <w:t xml:space="preserve">within </w:t>
      </w:r>
      <w:r>
        <w:rPr>
          <w:rFonts w:ascii="Times New Roman;serif" w:hAnsi="Times New Roman;serif"/>
          <w:b w:val="false"/>
          <w:i/>
          <w:color w:val="000000"/>
          <w:sz w:val="20"/>
        </w:rPr>
        <w:t>Segment revenues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 processing commodity expenses</w:t>
      </w:r>
      <w:r>
        <w:rPr>
          <w:color w:val="000000"/>
        </w:rPr>
        <w:t xml:space="preserve"> </w:t>
      </w:r>
      <w:r>
        <w:rPr>
          <w:rFonts w:ascii="Times New Roman;serif" w:hAnsi="Times New Roman;serif"/>
          <w:b w:val="false"/>
          <w:color w:val="000000"/>
          <w:sz w:val="20"/>
        </w:rPr>
        <w:t>relates to derivative contracts that are not designated as hedges for accounting purposes. The change from 2025 is primarily due to a change in forward commodity prices relative to hedge positions in 2026 compared to 2025.</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Proportional Modified EBITDA of equity-method investments</w:t>
      </w:r>
      <w:r>
        <w:rPr>
          <w:color w:val="000000"/>
        </w:rPr>
        <w:t xml:space="preserve"> </w:t>
      </w:r>
      <w:r>
        <w:rPr>
          <w:rFonts w:ascii="Times New Roman;serif" w:hAnsi="Times New Roman;serif"/>
          <w:b w:val="false"/>
          <w:color w:val="000000"/>
          <w:sz w:val="20"/>
        </w:rPr>
        <w:t>increased driven by the investment in Cogentrix, which was purchased in March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260" w:after="283"/>
        <w:jc w:val="left"/>
        <w:rPr>
          <w:rFonts w:ascii="Times New Roman;serif" w:hAnsi="Times New Roman;serif"/>
          <w:b/>
          <w:i/>
          <w:color w:val="000000"/>
          <w:sz w:val="20"/>
        </w:rPr>
      </w:pPr>
      <w:r>
        <w:rPr>
          <w:rFonts w:ascii="Times New Roman;serif" w:hAnsi="Times New Roman;serif"/>
          <w:b/>
          <w:i/>
          <w:color w:val="000000"/>
          <w:sz w:val="20"/>
        </w:rPr>
        <w:t>Other</w:t>
      </w:r>
    </w:p>
    <w:tbl>
      <w:tblPr>
        <w:tblW w:w="10205" w:type="dxa"/>
        <w:jc w:val="left"/>
        <w:tblInd w:w="0" w:type="dxa"/>
        <w:tblLayout w:type="fixed"/>
        <w:tblCellMar>
          <w:top w:w="28" w:type="dxa"/>
          <w:left w:w="28" w:type="dxa"/>
          <w:bottom w:w="28" w:type="dxa"/>
          <w:right w:w="28" w:type="dxa"/>
        </w:tblCellMar>
      </w:tblPr>
      <w:tblGrid>
        <w:gridCol w:w="2504"/>
        <w:gridCol w:w="2204"/>
        <w:gridCol w:w="2213"/>
        <w:gridCol w:w="109"/>
        <w:gridCol w:w="109"/>
        <w:gridCol w:w="183"/>
        <w:gridCol w:w="183"/>
        <w:gridCol w:w="354"/>
        <w:gridCol w:w="784"/>
        <w:gridCol w:w="183"/>
        <w:gridCol w:w="109"/>
        <w:gridCol w:w="109"/>
        <w:gridCol w:w="109"/>
        <w:gridCol w:w="211"/>
        <w:gridCol w:w="466"/>
        <w:gridCol w:w="109"/>
        <w:gridCol w:w="109"/>
        <w:gridCol w:w="157"/>
      </w:tblGrid>
      <w:tr>
        <w:trPr/>
        <w:tc>
          <w:tcPr>
            <w:tcW w:w="25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379" w:type="dxa"/>
            <w:gridSpan w:val="8"/>
            <w:tcBorders/>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6" w:type="dxa"/>
            <w:gridSpan w:val="2"/>
            <w:tcBorders/>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4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from derivative instruments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40"/>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from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from upstream operations, corporate, and other business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certain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Modified EBITDA from upstream operations, corporate, and other business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(1)    Included as a component of </w:t>
      </w:r>
      <w:r>
        <w:rPr>
          <w:rFonts w:ascii="Times New Roman;serif" w:hAnsi="Times New Roman;serif"/>
          <w:b w:val="false"/>
          <w:i/>
          <w:color w:val="000000"/>
          <w:sz w:val="20"/>
        </w:rPr>
        <w:t>Net realized product sales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March 31, 2026 vs. three months ended March 31, 2025</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Modified EBITDA from upstream operations, corporate, and other business activities</w:t>
      </w:r>
      <w:r>
        <w:rPr>
          <w:color w:val="000000"/>
        </w:rPr>
        <w:t xml:space="preserve"> </w:t>
      </w:r>
      <w:r>
        <w:rPr>
          <w:rFonts w:ascii="Times New Roman;serif" w:hAnsi="Times New Roman;serif"/>
          <w:b w:val="false"/>
          <w:color w:val="000000"/>
          <w:sz w:val="20"/>
        </w:rPr>
        <w:t>increased primarily due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 $182 million </w:t>
      </w:r>
      <w:r>
        <w:rPr>
          <w:rFonts w:ascii="Times New Roman;serif" w:hAnsi="Times New Roman;serif"/>
          <w:b w:val="false"/>
          <w:i/>
          <w:color w:val="000000"/>
          <w:sz w:val="20"/>
        </w:rPr>
        <w:t>Gain on sale of certain assets</w:t>
      </w:r>
      <w:r>
        <w:rPr>
          <w:color w:val="000000"/>
        </w:rPr>
        <w:t xml:space="preserve"> </w:t>
      </w:r>
      <w:r>
        <w:rPr>
          <w:rFonts w:ascii="Times New Roman;serif" w:hAnsi="Times New Roman;serif"/>
          <w:b w:val="false"/>
          <w:color w:val="000000"/>
          <w:sz w:val="20"/>
        </w:rPr>
        <w:t xml:space="preserve">from the sale of certain South Mansfield upstream interests, which was completed in January 2026.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 $15 million decrease in </w:t>
      </w:r>
      <w:r>
        <w:rPr>
          <w:rFonts w:ascii="Times New Roman;serif" w:hAnsi="Times New Roman;serif"/>
          <w:b w:val="false"/>
          <w:i/>
          <w:color w:val="000000"/>
          <w:sz w:val="20"/>
        </w:rPr>
        <w:t>Net realized product sales</w:t>
      </w:r>
      <w:r>
        <w:rPr>
          <w:color w:val="000000"/>
        </w:rPr>
        <w:t xml:space="preserve"> </w:t>
      </w:r>
      <w:r>
        <w:rPr>
          <w:rFonts w:ascii="Times New Roman;serif" w:hAnsi="Times New Roman;serif"/>
          <w:b w:val="false"/>
          <w:color w:val="000000"/>
          <w:sz w:val="20"/>
        </w:rPr>
        <w:t>from upstream operations driven by the sale of the South Mansfield interests.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An increase of $6 million in </w:t>
      </w:r>
      <w:r>
        <w:rPr>
          <w:rFonts w:ascii="Times New Roman;serif" w:hAnsi="Times New Roman;serif"/>
          <w:b w:val="false"/>
          <w:i/>
          <w:color w:val="000000"/>
          <w:sz w:val="20"/>
        </w:rPr>
        <w:t xml:space="preserve">Other costs and expenses </w:t>
      </w:r>
      <w:r>
        <w:rPr>
          <w:rFonts w:ascii="Times New Roman;serif" w:hAnsi="Times New Roman;serif"/>
          <w:b w:val="false"/>
          <w:color w:val="000000"/>
          <w:sz w:val="20"/>
        </w:rPr>
        <w:t>primarily due to higher upstream operating expenses in the Wamsutter region, including of higher production expenses and higher ad valorem and production taxes both driven by increased volumes during 2026. These increases were partially offset by a decrease in upstream operating expenses associated with the sale South Mansfield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Transco - Results of Operations </w:t>
      </w:r>
    </w:p>
    <w:tbl>
      <w:tblPr>
        <w:tblW w:w="10205" w:type="dxa"/>
        <w:jc w:val="left"/>
        <w:tblInd w:w="0" w:type="dxa"/>
        <w:tblLayout w:type="fixed"/>
        <w:tblCellMar>
          <w:top w:w="28" w:type="dxa"/>
          <w:left w:w="28" w:type="dxa"/>
          <w:bottom w:w="28" w:type="dxa"/>
          <w:right w:w="28" w:type="dxa"/>
        </w:tblCellMar>
      </w:tblPr>
      <w:tblGrid>
        <w:gridCol w:w="1971"/>
        <w:gridCol w:w="1720"/>
        <w:gridCol w:w="1737"/>
        <w:gridCol w:w="109"/>
        <w:gridCol w:w="109"/>
        <w:gridCol w:w="109"/>
        <w:gridCol w:w="211"/>
        <w:gridCol w:w="466"/>
        <w:gridCol w:w="109"/>
        <w:gridCol w:w="109"/>
        <w:gridCol w:w="109"/>
        <w:gridCol w:w="109"/>
        <w:gridCol w:w="265"/>
        <w:gridCol w:w="265"/>
        <w:gridCol w:w="266"/>
        <w:gridCol w:w="109"/>
        <w:gridCol w:w="109"/>
        <w:gridCol w:w="109"/>
        <w:gridCol w:w="285"/>
        <w:gridCol w:w="286"/>
        <w:gridCol w:w="483"/>
        <w:gridCol w:w="109"/>
        <w:gridCol w:w="109"/>
        <w:gridCol w:w="109"/>
        <w:gridCol w:w="211"/>
        <w:gridCol w:w="466"/>
        <w:gridCol w:w="156"/>
      </w:tblGrid>
      <w:tr>
        <w:trPr/>
        <w:tc>
          <w:tcPr>
            <w:tcW w:w="197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transportation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storage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equity and borrowed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 = Favorable change; - = Unfavorable change; NM = A percentage calculation is not meaningful due to a change in signs, a zero-value denominator, or a percentage change greater than 200.</w:t>
      </w:r>
    </w:p>
    <w:p>
      <w:pPr>
        <w:pStyle w:val="TextBody"/>
        <w:bidi w:val="0"/>
        <w:spacing w:lineRule="auto" w:line="288" w:before="20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March 31, 2026 vs. three months ended March 31, 2025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Variances due to the changes in natural gas prices and transportation volumes have little impact on revenues because, under our rate design methodology, the majority of overall cost of service is recovered through firm capacity reservation charges in Transco’s transportation rates.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Transco has cash out sales, which settle gas imbalances with shippers. In the course of providing transportation services to customers, Transco may receive different quantities of gas from shippers than the quantities delivered on behalf of those shippers. Additionally, Transco transports gas on various pipeline systems, which may deliver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different quantities of gas on Transco’s behalf than the quantities of gas received from Transco. These transactions result in gas transportation and exchange imbalance receivables and payables. Transco’s tariff includes a method whereby the majority of transportation imbalances are settled on a monthly basis through cash out sales or purchases. The cash out sales have no impact on Transco’s operating income.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increased primarily due to: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 increase in</w:t>
      </w:r>
      <w:r>
        <w:rPr>
          <w:color w:val="000000"/>
        </w:rPr>
        <w:t xml:space="preserve"> </w:t>
      </w:r>
      <w:r>
        <w:rPr>
          <w:rFonts w:ascii="Times New Roman;serif" w:hAnsi="Times New Roman;serif"/>
          <w:b w:val="false"/>
          <w:i/>
          <w:color w:val="000000"/>
          <w:sz w:val="20"/>
        </w:rPr>
        <w:t xml:space="preserve">Natural gas transportation service revenues </w:t>
      </w:r>
      <w:r>
        <w:rPr>
          <w:rFonts w:ascii="Times New Roman;serif" w:hAnsi="Times New Roman;serif"/>
          <w:b w:val="false"/>
          <w:color w:val="000000"/>
          <w:sz w:val="20"/>
        </w:rPr>
        <w:t>primarily</w:t>
      </w:r>
      <w:r>
        <w:rPr>
          <w:color w:val="000000"/>
        </w:rPr>
        <w:t xml:space="preserve"> </w:t>
      </w:r>
      <w:r>
        <w:rPr>
          <w:rFonts w:ascii="Times New Roman;serif" w:hAnsi="Times New Roman;serif"/>
          <w:b w:val="false"/>
          <w:color w:val="000000"/>
          <w:sz w:val="20"/>
        </w:rPr>
        <w:t xml:space="preserve">due to placing the following projects into service: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Texas Louisiana Energy Pathway in April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Southeast Energy Connector in April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Commonwealth Energy Connector in November 2025;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Alabama Georgia Connector in October 2025. </w:t>
      </w:r>
    </w:p>
    <w:p>
      <w:pPr>
        <w:pStyle w:val="TextBody"/>
        <w:bidi w:val="0"/>
        <w:spacing w:lineRule="auto" w:line="288" w:before="200" w:after="283"/>
        <w:jc w:val="both"/>
        <w:rPr/>
      </w:pPr>
      <w:r>
        <w:rPr>
          <w:rFonts w:ascii="Times New Roman;serif" w:hAnsi="Times New Roman;serif"/>
          <w:b w:val="false"/>
          <w:color w:val="000000"/>
          <w:sz w:val="20"/>
        </w:rPr>
        <w:t xml:space="preserve">The increase in </w:t>
      </w:r>
      <w:r>
        <w:rPr>
          <w:rFonts w:ascii="Times New Roman;serif" w:hAnsi="Times New Roman;serif"/>
          <w:b w:val="false"/>
          <w:i/>
          <w:color w:val="000000"/>
          <w:sz w:val="20"/>
        </w:rPr>
        <w:t>Natural gas transportation service revenues</w:t>
      </w:r>
      <w:r>
        <w:rPr>
          <w:color w:val="000000"/>
        </w:rPr>
        <w:t xml:space="preserve"> </w:t>
      </w:r>
      <w:r>
        <w:rPr>
          <w:rFonts w:ascii="Times New Roman;serif" w:hAnsi="Times New Roman;serif"/>
          <w:b w:val="false"/>
          <w:color w:val="000000"/>
          <w:sz w:val="20"/>
        </w:rPr>
        <w:t xml:space="preserve">is also due to transportation rate increases, higher electric power revenue, and higher seasonal services, partially offset by decreases in short-term firm transportation and commodity revenues. Electric power costs are recovered from Transco’s customers through transportation rates and are offset in </w:t>
      </w:r>
      <w:r>
        <w:rPr>
          <w:rFonts w:ascii="Times New Roman;serif" w:hAnsi="Times New Roman;serif"/>
          <w:b w:val="false"/>
          <w:i/>
          <w:color w:val="000000"/>
          <w:sz w:val="20"/>
        </w:rPr>
        <w:t xml:space="preserve">Operating and maintenance expenses </w:t>
      </w:r>
      <w:r>
        <w:rPr>
          <w:rFonts w:ascii="Times New Roman;serif" w:hAnsi="Times New Roman;serif"/>
          <w:b w:val="false"/>
          <w:color w:val="000000"/>
          <w:sz w:val="20"/>
        </w:rPr>
        <w:t>resulting in no net impact on Transco’s results of operations.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An increase in </w:t>
      </w:r>
      <w:r>
        <w:rPr>
          <w:rFonts w:ascii="Times New Roman;serif" w:hAnsi="Times New Roman;serif"/>
          <w:b w:val="false"/>
          <w:i/>
          <w:color w:val="000000"/>
          <w:sz w:val="20"/>
        </w:rPr>
        <w:t xml:space="preserve">Natural gas storage service revenues </w:t>
      </w:r>
      <w:r>
        <w:rPr>
          <w:rFonts w:ascii="Times New Roman;serif" w:hAnsi="Times New Roman;serif"/>
          <w:b w:val="false"/>
          <w:color w:val="000000"/>
          <w:sz w:val="20"/>
        </w:rPr>
        <w:t>primarily due to an increase in rates.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An increase in </w:t>
      </w:r>
      <w:r>
        <w:rPr>
          <w:rFonts w:ascii="Times New Roman;serif" w:hAnsi="Times New Roman;serif"/>
          <w:b w:val="false"/>
          <w:i/>
          <w:color w:val="000000"/>
          <w:sz w:val="20"/>
        </w:rPr>
        <w:t>Natural gas product sales</w:t>
      </w:r>
      <w:r>
        <w:rPr>
          <w:color w:val="000000"/>
        </w:rPr>
        <w:t xml:space="preserve"> </w:t>
      </w:r>
      <w:r>
        <w:rPr>
          <w:rFonts w:ascii="Times New Roman;serif" w:hAnsi="Times New Roman;serif"/>
          <w:b w:val="false"/>
          <w:color w:val="000000"/>
          <w:sz w:val="20"/>
        </w:rPr>
        <w:t xml:space="preserve">due to higher cash-out pricing and volumes, which directly offsets in </w:t>
      </w:r>
      <w:r>
        <w:rPr>
          <w:rFonts w:ascii="Times New Roman;serif" w:hAnsi="Times New Roman;serif"/>
          <w:b w:val="false"/>
          <w:i/>
          <w:color w:val="000000"/>
          <w:sz w:val="20"/>
        </w:rPr>
        <w:t xml:space="preserve">Natural gas product costs </w:t>
      </w:r>
      <w:r>
        <w:rPr>
          <w:rFonts w:ascii="Times New Roman;serif" w:hAnsi="Times New Roman;serif"/>
          <w:b w:val="false"/>
          <w:color w:val="000000"/>
          <w:sz w:val="20"/>
        </w:rPr>
        <w:t>resulting in no net impact on our results of operations.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An increase in </w:t>
      </w:r>
      <w:r>
        <w:rPr>
          <w:rFonts w:ascii="Times New Roman;serif" w:hAnsi="Times New Roman;serif"/>
          <w:b w:val="false"/>
          <w:i/>
          <w:color w:val="000000"/>
          <w:sz w:val="20"/>
        </w:rPr>
        <w:t>Other service revenues</w:t>
      </w:r>
      <w:r>
        <w:rPr>
          <w:color w:val="000000"/>
        </w:rPr>
        <w:t xml:space="preserve"> </w:t>
      </w:r>
      <w:r>
        <w:rPr>
          <w:rFonts w:ascii="Times New Roman;serif" w:hAnsi="Times New Roman;serif"/>
          <w:b w:val="false"/>
          <w:color w:val="000000"/>
          <w:sz w:val="20"/>
        </w:rPr>
        <w:t>due to higher park and loan services.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Natural gas product costs</w:t>
      </w:r>
      <w:r>
        <w:rPr>
          <w:color w:val="000000"/>
        </w:rPr>
        <w:t xml:space="preserve"> </w:t>
      </w:r>
      <w:r>
        <w:rPr>
          <w:rFonts w:ascii="Times New Roman;serif" w:hAnsi="Times New Roman;serif"/>
          <w:b w:val="false"/>
          <w:color w:val="000000"/>
          <w:sz w:val="20"/>
        </w:rPr>
        <w:t>changed unfavorably, directly offsetting</w:t>
      </w:r>
      <w:r>
        <w:rPr>
          <w:color w:val="000000"/>
        </w:rPr>
        <w:t xml:space="preserve"> </w:t>
      </w:r>
      <w:r>
        <w:rPr>
          <w:rFonts w:ascii="Times New Roman;serif" w:hAnsi="Times New Roman;serif"/>
          <w:b w:val="false"/>
          <w:i/>
          <w:color w:val="000000"/>
          <w:sz w:val="20"/>
        </w:rPr>
        <w:t xml:space="preserve">Natural gas product sales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resulting in no net impact on our results of operations.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Operating and maintenance expenses</w:t>
      </w:r>
      <w:r>
        <w:rPr>
          <w:color w:val="000000"/>
        </w:rPr>
        <w:t xml:space="preserve"> </w:t>
      </w:r>
      <w:r>
        <w:rPr>
          <w:rFonts w:ascii="Times New Roman;serif" w:hAnsi="Times New Roman;serif"/>
          <w:b w:val="false"/>
          <w:color w:val="000000"/>
          <w:sz w:val="20"/>
        </w:rPr>
        <w:t xml:space="preserve">increased primarily due to an increase in contractor service costs, an increase in employee-related costs, and higher electric power costs. Electric power costs are recovered from customers through transportation rates and are offset in </w:t>
      </w:r>
      <w:r>
        <w:rPr>
          <w:rFonts w:ascii="Times New Roman;serif" w:hAnsi="Times New Roman;serif"/>
          <w:b w:val="false"/>
          <w:i/>
          <w:color w:val="000000"/>
          <w:sz w:val="20"/>
        </w:rPr>
        <w:t>Natural gas transportation service revenues</w:t>
      </w:r>
      <w:r>
        <w:rPr>
          <w:color w:val="000000"/>
        </w:rPr>
        <w:t xml:space="preserve"> </w:t>
      </w:r>
      <w:r>
        <w:rPr>
          <w:rFonts w:ascii="Times New Roman;serif" w:hAnsi="Times New Roman;serif"/>
          <w:b w:val="false"/>
          <w:color w:val="000000"/>
          <w:sz w:val="20"/>
        </w:rPr>
        <w:t xml:space="preserve">resulting in no net impact on results of operations. This was partially offset by lower natural gas fuel expense due to favorable pricing. </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Depreciation and amortization expenses</w:t>
      </w:r>
      <w:r>
        <w:rPr>
          <w:color w:val="000000"/>
        </w:rPr>
        <w:t xml:space="preserve"> </w:t>
      </w:r>
      <w:r>
        <w:rPr>
          <w:rFonts w:ascii="Times New Roman;serif" w:hAnsi="Times New Roman;serif"/>
          <w:b w:val="false"/>
          <w:color w:val="000000"/>
          <w:sz w:val="20"/>
        </w:rPr>
        <w:t xml:space="preserve">decreased due to lower negative salvage rate. This was partially offset by an increase related to new assets placed into service. </w:t>
      </w:r>
    </w:p>
    <w:p>
      <w:pPr>
        <w:pStyle w:val="TextBody"/>
        <w:bidi w:val="0"/>
        <w:spacing w:before="200" w:after="283"/>
        <w:ind w:left="0" w:right="0" w:firstLine="360"/>
        <w:jc w:val="both"/>
        <w:rPr/>
      </w:pPr>
      <w:r>
        <w:rPr/>
      </w:r>
    </w:p>
    <w:p>
      <w:pPr>
        <w:pStyle w:val="TextBody"/>
        <w:bidi w:val="0"/>
        <w:spacing w:before="18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 xml:space="preserve">NWP - Results of Operations </w:t>
      </w:r>
    </w:p>
    <w:tbl>
      <w:tblPr>
        <w:tblW w:w="10205" w:type="dxa"/>
        <w:jc w:val="left"/>
        <w:tblInd w:w="0" w:type="dxa"/>
        <w:tblLayout w:type="fixed"/>
        <w:tblCellMar>
          <w:top w:w="28" w:type="dxa"/>
          <w:left w:w="28" w:type="dxa"/>
          <w:bottom w:w="28" w:type="dxa"/>
          <w:right w:w="28" w:type="dxa"/>
        </w:tblCellMar>
      </w:tblPr>
      <w:tblGrid>
        <w:gridCol w:w="1992"/>
        <w:gridCol w:w="1738"/>
        <w:gridCol w:w="1756"/>
        <w:gridCol w:w="109"/>
        <w:gridCol w:w="109"/>
        <w:gridCol w:w="109"/>
        <w:gridCol w:w="211"/>
        <w:gridCol w:w="466"/>
        <w:gridCol w:w="109"/>
        <w:gridCol w:w="109"/>
        <w:gridCol w:w="109"/>
        <w:gridCol w:w="109"/>
        <w:gridCol w:w="246"/>
        <w:gridCol w:w="421"/>
        <w:gridCol w:w="129"/>
        <w:gridCol w:w="109"/>
        <w:gridCol w:w="109"/>
        <w:gridCol w:w="109"/>
        <w:gridCol w:w="263"/>
        <w:gridCol w:w="263"/>
        <w:gridCol w:w="471"/>
        <w:gridCol w:w="109"/>
        <w:gridCol w:w="109"/>
        <w:gridCol w:w="109"/>
        <w:gridCol w:w="211"/>
        <w:gridCol w:w="466"/>
        <w:gridCol w:w="155"/>
      </w:tblGrid>
      <w:tr>
        <w:trPr/>
        <w:tc>
          <w:tcPr>
            <w:tcW w:w="199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transportation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storage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equity and borrowed funds used during construction (AFUDC)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 = Favorable change; - = Unfavorable change; NM = A percentage calculation is not meaningful due to a change in signs, a zero-value denominator, or a percentage change greater than 200.</w:t>
      </w:r>
    </w:p>
    <w:p>
      <w:pPr>
        <w:pStyle w:val="TextBody"/>
        <w:bidi w:val="0"/>
        <w:spacing w:lineRule="auto" w:line="288" w:before="14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March 31, 2026 vs. three months ended March 31, 2025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Variances due to changes in natural gas prices and transportation volumes have little impact on revenues because, under our rate design methodology, the majority of overall cost of service is recovered through firm capacity reservation charges in NWP’s transportation rates.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Revenues increased primarily due to higher </w:t>
      </w:r>
      <w:r>
        <w:rPr>
          <w:rFonts w:ascii="Times New Roman;serif" w:hAnsi="Times New Roman;serif"/>
          <w:b w:val="false"/>
          <w:i/>
          <w:color w:val="000000"/>
          <w:sz w:val="20"/>
        </w:rPr>
        <w:t>Natural gas transportation service revenues</w:t>
      </w:r>
      <w:r>
        <w:rPr>
          <w:color w:val="000000"/>
        </w:rPr>
        <w:t xml:space="preserve"> </w:t>
      </w:r>
      <w:r>
        <w:rPr>
          <w:rFonts w:ascii="Times New Roman;serif" w:hAnsi="Times New Roman;serif"/>
          <w:b w:val="false"/>
          <w:color w:val="000000"/>
          <w:sz w:val="20"/>
        </w:rPr>
        <w:t>driven by rate increases effective April 1, 2025, and increased firm transportation revenues from new contracts executed at higher rates to replace expiring contracts.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Operating and maintenance expenses </w:t>
      </w:r>
      <w:r>
        <w:rPr>
          <w:rFonts w:ascii="Times New Roman;serif" w:hAnsi="Times New Roman;serif"/>
          <w:b w:val="false"/>
          <w:color w:val="000000"/>
          <w:sz w:val="20"/>
        </w:rPr>
        <w:t xml:space="preserve">increased primarily due to higher labor costs and contracted services related to integrity assessments.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Other income (expense) – net increased </w:t>
      </w:r>
      <w:r>
        <w:rPr>
          <w:rFonts w:ascii="Times New Roman;serif" w:hAnsi="Times New Roman;serif"/>
          <w:b w:val="false"/>
          <w:color w:val="000000"/>
          <w:sz w:val="20"/>
        </w:rPr>
        <w:t>primarily due to higher intercompany interest income earned on NWP’s advances to affiliates, driven by higher outstanding balances in 2026.</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Outlook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growth capital and investment expenditures in 2026 are expected to range from $7.0 billion to $7.6 billion, as previously discussed in Company Outlook.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8, 2026, Williams issued $2.8 billion of long-term debt and on March 2, 2026, Williams retired $1.1 billion of long-term debt (see Note 7 – Debt and Banking Arrangements).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Williams, including consolidated subsidiaries, had $0.2 billion of long-term debt due within one year. Williams’ potential sources of liquidity available to address these maturities include cash on hand, proceeds from refinancing, the credit facility, or the commercial paper program, as well as proceeds from asset monetizations.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expects to have sufficient liquidity to manage its businesses in 2026 based on forecasted levels of cash flow from operations and other sources of liquidity. Williams’ potential material internal and external sources and uses of liquidity are as follows:</w:t>
      </w:r>
    </w:p>
    <w:tbl>
      <w:tblPr>
        <w:tblW w:w="8760" w:type="dxa"/>
        <w:jc w:val="center"/>
        <w:tblInd w:w="0" w:type="dxa"/>
        <w:tblLayout w:type="fixed"/>
        <w:tblCellMar>
          <w:top w:w="28" w:type="dxa"/>
          <w:left w:w="28" w:type="dxa"/>
          <w:bottom w:w="28" w:type="dxa"/>
          <w:right w:w="28" w:type="dxa"/>
        </w:tblCellMar>
      </w:tblPr>
      <w:tblGrid>
        <w:gridCol w:w="293"/>
        <w:gridCol w:w="258"/>
        <w:gridCol w:w="259"/>
        <w:gridCol w:w="2327"/>
        <w:gridCol w:w="2327"/>
        <w:gridCol w:w="3296"/>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Sources:</w:t>
            </w:r>
          </w:p>
        </w:tc>
        <w:tc>
          <w:tcPr>
            <w:tcW w:w="7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on hand</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generated from operations</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equity-method investees</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of the credit facility and/or commercial paper program</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issuance of debt and/or equity securities</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asset monetizations</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Uses:</w:t>
            </w:r>
          </w:p>
        </w:tc>
        <w:tc>
          <w:tcPr>
            <w:tcW w:w="7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requirements</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and investment expenditures</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&amp; NGL Marketing Services payments for transportation and storage capacity and gas supply</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costs, including human capital expenses</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dividends to shareholders</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 under the credit facility and/or commercial paper program</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payments, including payments of long-term debt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program</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Williams had $30.1 billion of long-term debt due after one year. Potential sources of liquidity available to address these maturities include cash generated from operations, proceeds from refinancing, the credit facility, the commercial paper program, and proceeds from asset monetizations.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Potential risks associated with Williams’ planned levels of liquidity discussed above include those previously discussed in Company Outlook</w:t>
      </w:r>
      <w:r>
        <w:rPr>
          <w:rFonts w:ascii="Times New Roman;serif" w:hAnsi="Times New Roman;serif"/>
          <w:b w:val="false"/>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Williams had a working capital deficit of $0.7 billion, including cash and cash equivalents and long-term debt due within one year. Williams’ available liquidity is as follows:</w:t>
      </w:r>
    </w:p>
    <w:tbl>
      <w:tblPr>
        <w:tblW w:w="10205" w:type="dxa"/>
        <w:jc w:val="left"/>
        <w:tblInd w:w="0" w:type="dxa"/>
        <w:tblLayout w:type="fixed"/>
        <w:tblCellMar>
          <w:top w:w="28" w:type="dxa"/>
          <w:left w:w="28" w:type="dxa"/>
          <w:bottom w:w="28" w:type="dxa"/>
          <w:right w:w="28" w:type="dxa"/>
        </w:tblCellMar>
      </w:tblPr>
      <w:tblGrid>
        <w:gridCol w:w="3144"/>
        <w:gridCol w:w="2761"/>
        <w:gridCol w:w="2777"/>
        <w:gridCol w:w="109"/>
        <w:gridCol w:w="109"/>
        <w:gridCol w:w="109"/>
        <w:gridCol w:w="256"/>
        <w:gridCol w:w="750"/>
        <w:gridCol w:w="190"/>
      </w:tblGrid>
      <w:tr>
        <w:trPr/>
        <w:tc>
          <w:tcPr>
            <w:tcW w:w="3144"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682"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86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8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Capacity available under Williams’ $3,750 million credit facility, less amounts outstanding under Williams’ $3,500 million commercial paper program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(1)In managing its available liquidity, Williams does not expect a maximum outstanding amount in excess of the capacity of its credit facility inclusive of any outstanding amounts under its commercial paper program. Williams had no </w:t>
      </w:r>
      <w:r>
        <w:rPr>
          <w:rFonts w:ascii="Times New Roman;serif" w:hAnsi="Times New Roman;serif"/>
          <w:b w:val="false"/>
          <w:i/>
          <w:color w:val="000000"/>
          <w:sz w:val="20"/>
        </w:rPr>
        <w:t>Commercial paper</w:t>
      </w:r>
      <w:r>
        <w:rPr>
          <w:color w:val="000000"/>
        </w:rPr>
        <w:t xml:space="preserve"> </w:t>
      </w:r>
      <w:r>
        <w:rPr>
          <w:rFonts w:ascii="Times New Roman;serif" w:hAnsi="Times New Roman;serif"/>
          <w:b w:val="false"/>
          <w:color w:val="000000"/>
          <w:sz w:val="20"/>
        </w:rPr>
        <w:t>outstanding at March 31, 2026. Through March 31, 2026, the highest amount outstanding under the commercial paper program and credit facility during 2026 was $735 million. Williams expects to be in compliance with the financial covenants associated with the credit facility for the March 31, 2026, reporting period.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increased the regular quarterly cash dividend to common stockholders from $0.500 per share paid in each quarter of 2025, to $0.525 per share paid in March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Distributions from Equity-Method Investees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organizational documents of entities in which Williams has an equity-method investment generally require periodic distributions of their available cash to their members. In each case, available cash is reduced, in part, by reserves appropriate for operating their respective businesses.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rates at which Williams is able to borrow money are impacted by its credit ratings, which are currently as follows: </w:t>
      </w:r>
    </w:p>
    <w:tbl>
      <w:tblPr>
        <w:tblW w:w="5364" w:type="dxa"/>
        <w:jc w:val="left"/>
        <w:tblInd w:w="0" w:type="dxa"/>
        <w:tblLayout w:type="fixed"/>
        <w:tblCellMar>
          <w:top w:w="28" w:type="dxa"/>
          <w:left w:w="28" w:type="dxa"/>
          <w:bottom w:w="28" w:type="dxa"/>
          <w:right w:w="28" w:type="dxa"/>
        </w:tblCellMar>
      </w:tblPr>
      <w:tblGrid>
        <w:gridCol w:w="825"/>
        <w:gridCol w:w="725"/>
        <w:gridCol w:w="729"/>
        <w:gridCol w:w="109"/>
        <w:gridCol w:w="109"/>
        <w:gridCol w:w="109"/>
        <w:gridCol w:w="265"/>
        <w:gridCol w:w="265"/>
        <w:gridCol w:w="266"/>
        <w:gridCol w:w="109"/>
        <w:gridCol w:w="109"/>
        <w:gridCol w:w="109"/>
        <w:gridCol w:w="478"/>
        <w:gridCol w:w="478"/>
        <w:gridCol w:w="679"/>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Rating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Unsecured</w:t>
              <w:br/>
              <w:t>Debt Rating</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Global Ratings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Investors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 Ratings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credit ratings are included for informational purposes and are not recommendations to buy, sell, or hold Williams securities, and each rating should be evaluated independently of any other rating. No assurance can be given that the credit rating agencies will continue to assign Williams investment-grade ratings even if it meets or exceeds their current criteria for investment-grade ratios. A downgrade of its credit ratings might increase Williams’ future cost of borrowing and, if ratings were to fall below investment-grade, could require it to provide additional collateral to third parties, negatively impacting Williams’ available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(Continued)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Sources (Uses) of Cash</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sources (uses) of cash and cash equivalents for each of the periods presented in Williams’ Consolidated Statement of Cash Flows:</w:t>
      </w:r>
    </w:p>
    <w:tbl>
      <w:tblPr>
        <w:tblW w:w="10173" w:type="dxa"/>
        <w:jc w:val="left"/>
        <w:tblInd w:w="0" w:type="dxa"/>
        <w:tblLayout w:type="fixed"/>
        <w:tblCellMar>
          <w:top w:w="28" w:type="dxa"/>
          <w:left w:w="28" w:type="dxa"/>
          <w:bottom w:w="28" w:type="dxa"/>
          <w:right w:w="28" w:type="dxa"/>
        </w:tblCellMar>
      </w:tblPr>
      <w:tblGrid>
        <w:gridCol w:w="1847"/>
        <w:gridCol w:w="1622"/>
        <w:gridCol w:w="1630"/>
        <w:gridCol w:w="729"/>
        <w:gridCol w:w="729"/>
        <w:gridCol w:w="627"/>
        <w:gridCol w:w="109"/>
        <w:gridCol w:w="109"/>
        <w:gridCol w:w="109"/>
        <w:gridCol w:w="230"/>
        <w:gridCol w:w="672"/>
        <w:gridCol w:w="119"/>
        <w:gridCol w:w="119"/>
        <w:gridCol w:w="119"/>
        <w:gridCol w:w="119"/>
        <w:gridCol w:w="230"/>
        <w:gridCol w:w="672"/>
        <w:gridCol w:w="119"/>
        <w:gridCol w:w="109"/>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Sources of cash and cash equivalents: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9"/>
              </w:rPr>
            </w:pPr>
            <w:r>
              <w:rPr>
                <w:rFonts w:ascii="Times New Roman;serif" w:hAnsi="Times New Roman;serif"/>
                <w:b w:val="false"/>
                <w:i/>
                <w:color w:val="000000"/>
                <w:sz w:val="19"/>
              </w:rPr>
              <w:t>Proceeds from long-term debt</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Net cash provided (used) by operating activities</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Dispositions – net (Note 3)</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Proceeds from sale of business (Note 8)</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Uses of cash and cash equivalents: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Capital expenditures</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Payments of long-term debt</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9"/>
              </w:rPr>
            </w:pPr>
            <w:r>
              <w:rPr>
                <w:rFonts w:ascii="Times New Roman;serif" w:hAnsi="Times New Roman;serif"/>
                <w:b w:val="false"/>
                <w:i/>
                <w:color w:val="000000"/>
                <w:sz w:val="19"/>
              </w:rPr>
              <w:t>Payments of commercial paper – net</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Common dividends paid</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Dividends and distributions paid to noncontrolling interests</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Purchases of and contributions to equity-method investments</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sources / (uses) – net</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Financing and Investing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Increase (decrease) in cash and cash equivalents</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factors that determine Williams’ operating activities are largely the same as those that affect </w:t>
      </w:r>
      <w:r>
        <w:rPr>
          <w:rFonts w:ascii="Times New Roman;serif" w:hAnsi="Times New Roman;serif"/>
          <w:b w:val="false"/>
          <w:i/>
          <w:color w:val="000000"/>
          <w:sz w:val="20"/>
        </w:rPr>
        <w:t>Net income (loss)</w:t>
      </w:r>
      <w:r>
        <w:rPr>
          <w:rFonts w:ascii="Times New Roman;serif" w:hAnsi="Times New Roman;serif"/>
          <w:b w:val="false"/>
          <w:color w:val="000000"/>
          <w:sz w:val="20"/>
        </w:rPr>
        <w:t xml:space="preserve">, with the exception of noncash items, such as </w:t>
      </w:r>
      <w:r>
        <w:rPr>
          <w:rFonts w:ascii="Times New Roman;serif" w:hAnsi="Times New Roman;serif"/>
          <w:b w:val="false"/>
          <w:i/>
          <w:color w:val="000000"/>
          <w:sz w:val="20"/>
        </w:rPr>
        <w:t>Depreciation, depletion, and amortization</w:t>
      </w:r>
      <w:r>
        <w:rPr>
          <w:rFonts w:ascii="Times New Roman;serif" w:hAnsi="Times New Roman;serif"/>
          <w:b w:val="false"/>
          <w:color w:val="000000"/>
          <w:sz w:val="20"/>
        </w:rPr>
        <w:t xml:space="preserve">, </w:t>
      </w:r>
      <w:r>
        <w:rPr>
          <w:rFonts w:ascii="Times New Roman;serif" w:hAnsi="Times New Roman;serif"/>
          <w:b w:val="false"/>
          <w:i/>
          <w:color w:val="000000"/>
          <w:sz w:val="20"/>
        </w:rPr>
        <w:t>Provision (benefit) for deferred income taxes</w:t>
      </w:r>
      <w:r>
        <w:rPr>
          <w:rFonts w:ascii="Times New Roman;serif" w:hAnsi="Times New Roman;serif"/>
          <w:b w:val="false"/>
          <w:color w:val="000000"/>
          <w:sz w:val="20"/>
        </w:rPr>
        <w:t xml:space="preserve">, </w:t>
      </w:r>
      <w:r>
        <w:rPr>
          <w:rFonts w:ascii="Times New Roman;serif" w:hAnsi="Times New Roman;serif"/>
          <w:b w:val="false"/>
          <w:i/>
          <w:color w:val="000000"/>
          <w:sz w:val="20"/>
        </w:rPr>
        <w:t>Equity (earnings) losses</w:t>
      </w:r>
      <w:r>
        <w:rPr>
          <w:rFonts w:ascii="Times New Roman;serif" w:hAnsi="Times New Roman;serif"/>
          <w:b w:val="false"/>
          <w:color w:val="000000"/>
          <w:sz w:val="20"/>
        </w:rPr>
        <w:t xml:space="preserve">, </w:t>
      </w:r>
      <w:r>
        <w:rPr>
          <w:rFonts w:ascii="Times New Roman;serif" w:hAnsi="Times New Roman;serif"/>
          <w:b w:val="false"/>
          <w:i/>
          <w:color w:val="000000"/>
          <w:sz w:val="20"/>
        </w:rPr>
        <w:t>Net unrealized (gain) loss from commodity derivative instruments</w:t>
      </w:r>
      <w:r>
        <w:rPr>
          <w:rFonts w:ascii="Times New Roman;serif" w:hAnsi="Times New Roman;serif"/>
          <w:b w:val="false"/>
          <w:color w:val="000000"/>
          <w:sz w:val="20"/>
        </w:rPr>
        <w:t xml:space="preserve">, </w:t>
      </w:r>
      <w:r>
        <w:rPr>
          <w:rFonts w:ascii="Times New Roman;serif" w:hAnsi="Times New Roman;serif"/>
          <w:b w:val="false"/>
          <w:i/>
          <w:color w:val="000000"/>
          <w:sz w:val="20"/>
        </w:rPr>
        <w:t>Gain on sale of certain assets</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Inventory write-downs, </w:t>
      </w:r>
      <w:r>
        <w:rPr>
          <w:rFonts w:ascii="Times New Roman;serif" w:hAnsi="Times New Roman;serif"/>
          <w:b w:val="false"/>
          <w:color w:val="000000"/>
          <w:sz w:val="20"/>
        </w:rPr>
        <w:t xml:space="preserve">and </w:t>
      </w:r>
      <w:r>
        <w:rPr>
          <w:rFonts w:ascii="Times New Roman;serif" w:hAnsi="Times New Roman;serif"/>
          <w:b w:val="false"/>
          <w:i/>
          <w:color w:val="000000"/>
          <w:sz w:val="20"/>
        </w:rPr>
        <w:t>Amortization of stock-based awards.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Williams’</w:t>
      </w:r>
      <w:r>
        <w:rPr>
          <w:color w:val="000000"/>
        </w:rPr>
        <w:t xml:space="preserve"> </w:t>
      </w:r>
      <w:r>
        <w:rPr>
          <w:rFonts w:ascii="Times New Roman;serif" w:hAnsi="Times New Roman;serif"/>
          <w:b w:val="false"/>
          <w:i/>
          <w:color w:val="000000"/>
          <w:sz w:val="20"/>
        </w:rPr>
        <w:t>Net cash provided (used) by operating activities</w:t>
      </w:r>
      <w:r>
        <w:rPr>
          <w:color w:val="000000"/>
        </w:rPr>
        <w:t xml:space="preserve"> </w:t>
      </w:r>
      <w:r>
        <w:rPr>
          <w:rFonts w:ascii="Times New Roman;serif" w:hAnsi="Times New Roman;serif"/>
          <w:b w:val="false"/>
          <w:color w:val="000000"/>
          <w:sz w:val="20"/>
        </w:rPr>
        <w:t>for the three months ended March 31, 2026 increased from the three months ended March 31, 2025 primarily due to higher operating income (excluding noncash items previously discussed), partially offset by unfavorable changes in margin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current interest rate risk exposure, inclusive of subsidiaries, is related primarily to its debt portfolio. The debt portfolio is primarily comprised of fixed rate debt, which mitigates the impact of fluctuations in interest rates. Any borrowings under the credit facility and any issuances under Williams’ commercial paper program could be at a variable interest rate and could expose it to the risk of increasing interest rates. The maturity of Williams’ long-term debt portfolio is partially influenced by the expected lives of its operating assets. Williams may utilize interest rate derivative instruments to hedge interest rate risk associated with future debt issuances (see Note 7 – Debt and Banking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is exposed to commodity price risk through its natural gas and NGL marketing activities, including contracts to purchase, sell, transport, and store product. Williams routinely manages this risk with a variety of exchange-traded and OTC energy contracts such as forward contracts, futures contracts, and basis swaps, as well as physical transactions. Although many of the contracts used to manage commodity exposure are derivative instruments, these economic hedges are not designated or do not qualify for hedge accounting treatment.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is also exposed to commodity prices through the upstream business and certain gathering and processing contracts. Williams uses derivative instruments to lock in forward sales prices on a portion of expected future production and to lock in NGL margin on a portion of commodity-exposed gathering and processing volumes. These economic hedges are not designated for hedge accounting treatment.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measurements and maturities of Williams’ commodity derivative assets (liabilities) at March 31, 2026 were as follows: </w:t>
      </w:r>
    </w:p>
    <w:tbl>
      <w:tblPr>
        <w:tblW w:w="8908" w:type="dxa"/>
        <w:jc w:val="left"/>
        <w:tblInd w:w="0" w:type="dxa"/>
        <w:tblLayout w:type="fixed"/>
        <w:tblCellMar>
          <w:top w:w="28" w:type="dxa"/>
          <w:left w:w="28" w:type="dxa"/>
          <w:bottom w:w="28" w:type="dxa"/>
          <w:right w:w="28" w:type="dxa"/>
        </w:tblCellMar>
      </w:tblPr>
      <w:tblGrid>
        <w:gridCol w:w="1419"/>
        <w:gridCol w:w="1246"/>
        <w:gridCol w:w="1249"/>
        <w:gridCol w:w="109"/>
        <w:gridCol w:w="109"/>
        <w:gridCol w:w="109"/>
        <w:gridCol w:w="196"/>
        <w:gridCol w:w="496"/>
        <w:gridCol w:w="109"/>
        <w:gridCol w:w="109"/>
        <w:gridCol w:w="109"/>
        <w:gridCol w:w="109"/>
        <w:gridCol w:w="196"/>
        <w:gridCol w:w="496"/>
        <w:gridCol w:w="109"/>
        <w:gridCol w:w="109"/>
        <w:gridCol w:w="109"/>
        <w:gridCol w:w="109"/>
        <w:gridCol w:w="238"/>
        <w:gridCol w:w="604"/>
        <w:gridCol w:w="132"/>
        <w:gridCol w:w="109"/>
        <w:gridCol w:w="109"/>
        <w:gridCol w:w="109"/>
        <w:gridCol w:w="288"/>
        <w:gridCol w:w="596"/>
        <w:gridCol w:w="226"/>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Measurements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2027 - 2028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2029 - 2030+</w:t>
            </w:r>
          </w:p>
        </w:tc>
      </w:tr>
      <w:tr>
        <w:trPr/>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Fair value of contracts outstanding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(1)See Note 8 – Fair Value Measurements and Guarantees for discussion of valuation techniques by level within the fair value hierarchy. See Note 9 – Commodity Derivatives for the amount of change in fair value recognized in Williams’ Consolidated Statement of Comprehensive Income.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(2)Commodity derivative assets and liabilities exclude $327 million of net cash collateral in Level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Value at Risk (VaR)</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 is the maximum predicted loss in portfolio value over a specified time period that is not expected to be exceeded within a given degree of probability. Williams’ VaR may not be comparable to that of other companies due to differences in the factors used to calculate VaR. Williams’ VaR is determined using parametric models with 95 percent confidence intervals and one-day holding periods, which means that 95 percent of the time, the risk of loss in a day from a portfolio of positions is expected to be less than or equal to the amount of VaR calculated. Williams’ open exposure is managed in accordance with established policies that limit market risk and require daily reporting of predicted financial loss to management. Because Williams generally manages physical gas assets and economically protects its positions by hedging in the futures markets, its open exposure is generally mitigated. Williams employs daily risk testing, using both VaR and stress testing, to evaluate the risk of its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80" w:after="283"/>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Williams actively monitors open commodity marketing positions and the resulting VaR and maintains a relatively small risk exposure as total buy volume is close to sell volume, with minimal open natural gas price risk.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 associated with Williams’ integrated natural gas trading operations was $12 million at March 31, 2026 and $11 million at December 31, 2025. Williams had the following VaRs for the period shown:</w:t>
      </w:r>
    </w:p>
    <w:tbl>
      <w:tblPr>
        <w:tblW w:w="3081"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525"/>
        <w:gridCol w:w="899"/>
        <w:gridCol w:w="271"/>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Williams’ non-trading portfolio primarily consists of commodity derivatives that hedge Williams’ upstream business and certain gathering and processing contracts. The VaR associated with these commodity derivatives was $18 million at March 31, 2026 and $2 million at December 31, 2025. Williams had the following VaRs for the period shown: </w:t>
      </w:r>
    </w:p>
    <w:tbl>
      <w:tblPr>
        <w:tblW w:w="3080"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619"/>
        <w:gridCol w:w="753"/>
        <w:gridCol w:w="322"/>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Williams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Williams’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Williams monitors the Disclosure Controls and Internal Controls and makes modifications as necessary; Williams’ intent in this regard is that the Disclosure Controls and Internal Controls will be modified as systems change and conditions warrant.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evaluation of the effectiveness of the design and operation of Williams’ Disclosure Controls was performed as of the end of the period covered by this report. This evaluation was performed under the supervision and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80" w:after="283"/>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during the first quarter of 2026 that have materially affected, or are reasonably likely to materially affect, Williams’ Internal Control over Financial Reporting.</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Transco</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Transco’s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Transco monitors the Disclosure Controls and Internal Controls and makes modifications as necessary; Transco’s intent in this regard is that the Disclosure Controls and Internal Controls will be modified as systems change and conditions warrant.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evaluation of the effectiveness of the design and operation of Transco’s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during the first quarter of 2026 that have materially affected, or are reasonably likely to materially affect, Transco’s Internal Control over Financial Reporting.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NWP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NWP’s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80" w:after="283"/>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NWP monitors the Disclosure Controls and Internal Controls and makes modifications as necessary; NWP’s intent in this regard is that the Disclosure Controls and Internal Controls will be modified as systems change and conditions warrant.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evaluation of the effectiveness of the design and operation of NWP’s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6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during the first quarter of 2026 that have materially affected, or are reasonably likely to materially affect, NWP’s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Environmental</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reportable legal proceedings involving governmental authorities under federal, state, and local laws regulating the discharge of materials into the environment are described below. While it is not possible for Williams to predict the final outcome of the proceedings that are still pending, it does not anticipate a material effect on its consolidated financial position if it received an unfavorable outcome in any one or more of such proceedings. Williams’ threshold for disclosing material environmental legal proceedings involving a governmental authority where potential monetary sanctions are involved is $1 million.</w:t>
      </w:r>
    </w:p>
    <w:p>
      <w:pPr>
        <w:pStyle w:val="TextBody"/>
        <w:bidi w:val="0"/>
        <w:spacing w:lineRule="auto" w:line="288" w:before="200" w:after="283"/>
        <w:ind w:left="0" w:right="0" w:firstLine="360"/>
        <w:jc w:val="both"/>
        <w:rPr/>
      </w:pPr>
      <w:r>
        <w:rPr>
          <w:rFonts w:ascii="Times New Roman;serif" w:hAnsi="Times New Roman;serif"/>
          <w:b w:val="false"/>
          <w:color w:val="000000"/>
          <w:sz w:val="20"/>
        </w:rPr>
        <w:t>Other environmental matters called for by this Item are described under the caption “</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in Note 10 – Contingencies included under Part I, Item 1. Financial Statements of this report, which information is incorporated by reference into this Item.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Litigation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additional information called for by this Item is provided in Note 10 – Contingencies included under Part I, Item 1. Financial Statements of this report, which information is incorporated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 I, Item 1A. Risk Factors in the Annual Report on Form 10-K for the year ended December 31, 2025, as filed with the SEC on February 24, 2026, includes risk factors that could materially affect Williams’, Transco’s, and NWP’s businesses, financial condition, or future results. Those Risk Factors have not materially 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Times New Roman;serif" w:hAnsi="Times New Roman;serif"/>
          <w:b/>
          <w:color w:val="000000"/>
          <w:sz w:val="20"/>
        </w:rPr>
        <w:t xml:space="preserve">Item 2. </w:t>
      </w:r>
      <w:r>
        <w:rPr>
          <w:rFonts w:ascii="Times New Roman;serif" w:hAnsi="Times New Roman;serif"/>
          <w:b/>
          <w:i/>
          <w:color w:val="000000"/>
          <w:sz w:val="20"/>
        </w:rPr>
        <w:t xml:space="preserve">Unregistered Sales of Equity Securities, Use of Proceeds, and Issuer Purchases of Equity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Williams’ Board of Directors authorized a share repurchase program with a maximum dollar limit of $1.5 billion. Repurchases may be made from time to time in the open market, by block purchases, in privately negotiated transactions, or in such other manner as determined by management. Williams will also determine the timing and amount of any repurchases based on market conditions and other factors. The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80" w:after="283"/>
        <w:jc w:val="righ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repurchase program does not obligate Williams to acquire any particular amount of common stock, and it may be suspended or discontinued at any time. This share repurchase program does not have an expiration date. Williams’ purchases of its equity securities are as follows:</w:t>
      </w:r>
    </w:p>
    <w:tbl>
      <w:tblPr>
        <w:tblW w:w="10205" w:type="dxa"/>
        <w:jc w:val="left"/>
        <w:tblInd w:w="0" w:type="dxa"/>
        <w:tblLayout w:type="fixed"/>
        <w:tblCellMar>
          <w:top w:w="28" w:type="dxa"/>
          <w:left w:w="28" w:type="dxa"/>
          <w:bottom w:w="28" w:type="dxa"/>
          <w:right w:w="28" w:type="dxa"/>
        </w:tblCellMar>
      </w:tblPr>
      <w:tblGrid>
        <w:gridCol w:w="490"/>
        <w:gridCol w:w="365"/>
        <w:gridCol w:w="369"/>
        <w:gridCol w:w="109"/>
        <w:gridCol w:w="109"/>
        <w:gridCol w:w="109"/>
        <w:gridCol w:w="445"/>
        <w:gridCol w:w="445"/>
        <w:gridCol w:w="446"/>
        <w:gridCol w:w="109"/>
        <w:gridCol w:w="109"/>
        <w:gridCol w:w="109"/>
        <w:gridCol w:w="328"/>
        <w:gridCol w:w="630"/>
        <w:gridCol w:w="170"/>
        <w:gridCol w:w="109"/>
        <w:gridCol w:w="109"/>
        <w:gridCol w:w="109"/>
        <w:gridCol w:w="698"/>
        <w:gridCol w:w="698"/>
        <w:gridCol w:w="699"/>
        <w:gridCol w:w="109"/>
        <w:gridCol w:w="109"/>
        <w:gridCol w:w="109"/>
        <w:gridCol w:w="385"/>
        <w:gridCol w:w="2441"/>
        <w:gridCol w:w="288"/>
      </w:tblGrid>
      <w:tr>
        <w:trPr/>
        <w:tc>
          <w:tcPr>
            <w:tcW w:w="4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Maximum Number (or Approximate Dollar Value) of Shares that May Yet Be Purchased Under the Plans or Programs</w:t>
            </w:r>
          </w:p>
        </w:tc>
      </w:tr>
      <w:tr>
        <w:trPr/>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1,360,938,325 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1,360,938,325 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1,360,938,325 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Williams adopted or terminated a “Rule 10b5-1 trading arrangement,” and no director or officer of Williams adopted or terminated a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Williams</w:t>
      </w:r>
    </w:p>
    <w:tbl>
      <w:tblPr>
        <w:tblW w:w="10205" w:type="dxa"/>
        <w:jc w:val="left"/>
        <w:tblInd w:w="0" w:type="dxa"/>
        <w:tblLayout w:type="fixed"/>
        <w:tblCellMar>
          <w:top w:w="28" w:type="dxa"/>
          <w:left w:w="28" w:type="dxa"/>
          <w:bottom w:w="28" w:type="dxa"/>
          <w:right w:w="28" w:type="dxa"/>
        </w:tblCellMar>
      </w:tblPr>
      <w:tblGrid>
        <w:gridCol w:w="292"/>
        <w:gridCol w:w="257"/>
        <w:gridCol w:w="258"/>
        <w:gridCol w:w="109"/>
        <w:gridCol w:w="109"/>
        <w:gridCol w:w="109"/>
        <w:gridCol w:w="115"/>
        <w:gridCol w:w="115"/>
        <w:gridCol w:w="116"/>
        <w:gridCol w:w="109"/>
        <w:gridCol w:w="109"/>
        <w:gridCol w:w="109"/>
        <w:gridCol w:w="2686"/>
        <w:gridCol w:w="2352"/>
        <w:gridCol w:w="3360"/>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(filed on May 26, 2010, as Exhibit 3.1 to The Williams Companies, Inc.’s current report on Form 8-K (File No. 001-04174) and incorporated herein by reference).</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Designations of Series B Preferred Stock of The Williams Companies, Inc. (filed on July 17, 2018, as Exhibit 3.1 to The Williams Companies, Inc.’s current report on Form 8-K (File No. 001-04174) and incorporated herein by reference).</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dated August 10, 2018 (filed on August 10, 2018, as Exhibit 3.1 to The Williams Companies, Inc.’s current report on Form 8-K (File No. 001-04174) and incorporated herein by reference).</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FF"/>
                  <w:sz w:val="20"/>
                  <w:u w:val="single"/>
                </w:rPr>
                <w:t>By-laws of The Williams Companies, Inc., as last amended effective October 25, 2022 (filed on October 31, 2022, as Exhibit 3.4 to The Williams Companies, Inc.’s current report on Form 10-Q (File No. 001-04174) and incorporated herein by reference).</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80"/>
                  <w:sz w:val="20"/>
                  <w:u w:val="single"/>
                </w:rPr>
                <w:t xml:space="preserve">Amended </w:t>
              </w:r>
            </w:hyperlink>
            <w:hyperlink r:id="rId7">
              <w:r>
                <w:rPr>
                  <w:rStyle w:val="InternetLink"/>
                  <w:rFonts w:ascii="Times New Roman;serif" w:hAnsi="Times New Roman;serif"/>
                  <w:b w:val="false"/>
                  <w:color w:val="000080"/>
                  <w:sz w:val="20"/>
                  <w:u w:val="single"/>
                </w:rPr>
                <w:t xml:space="preserve">2024 Performance-Based Restricted Stock Unit Award between The Williams Companies, </w:t>
              </w:r>
            </w:hyperlink>
            <w:hyperlink r:id="rId8">
              <w:r>
                <w:rPr>
                  <w:rStyle w:val="InternetLink"/>
                  <w:rFonts w:ascii="Times New Roman;serif" w:hAnsi="Times New Roman;serif"/>
                  <w:b w:val="false"/>
                  <w:color w:val="000080"/>
                  <w:sz w:val="20"/>
                  <w:u w:val="single"/>
                </w:rPr>
                <w:t>I</w:t>
              </w:r>
            </w:hyperlink>
            <w:hyperlink r:id="rId9">
              <w:r>
                <w:rPr>
                  <w:rStyle w:val="InternetLink"/>
                  <w:rFonts w:ascii="Times New Roman;serif" w:hAnsi="Times New Roman;serif"/>
                  <w:b w:val="false"/>
                  <w:color w:val="000080"/>
                  <w:sz w:val="20"/>
                  <w:u w:val="single"/>
                </w:rPr>
                <w:t xml:space="preserve">nc. and </w:t>
              </w:r>
            </w:hyperlink>
            <w:hyperlink r:id="rId10">
              <w:r>
                <w:rPr>
                  <w:rStyle w:val="InternetLink"/>
                  <w:rFonts w:ascii="Times New Roman;serif" w:hAnsi="Times New Roman;serif"/>
                  <w:b w:val="false"/>
                  <w:color w:val="000080"/>
                  <w:sz w:val="20"/>
                  <w:u w:val="single"/>
                </w:rPr>
                <w:t>Alan S. Armstrong</w:t>
              </w:r>
            </w:hyperlink>
            <w:hyperlink r:id="rId11">
              <w:r>
                <w:rPr>
                  <w:rStyle w:val="InternetLink"/>
                  <w:rFonts w:ascii="Times New Roman;serif" w:hAnsi="Times New Roman;serif"/>
                  <w:b w:val="false"/>
                  <w:color w:val="000080"/>
                  <w:sz w:val="20"/>
                  <w:u w:val="single"/>
                </w:rPr>
                <w:t xml:space="preserve"> (filed on March 26, 2026, as Exh</w:t>
              </w:r>
            </w:hyperlink>
            <w:hyperlink r:id="rId12">
              <w:r>
                <w:rPr>
                  <w:rStyle w:val="InternetLink"/>
                  <w:rFonts w:ascii="Times New Roman;serif" w:hAnsi="Times New Roman;serif"/>
                  <w:b w:val="false"/>
                  <w:color w:val="000080"/>
                  <w:sz w:val="20"/>
                  <w:u w:val="single"/>
                </w:rPr>
                <w:t>ibit 10.1 to The Williams Companies, I</w:t>
              </w:r>
            </w:hyperlink>
            <w:hyperlink r:id="rId13">
              <w:r>
                <w:rPr>
                  <w:rStyle w:val="InternetLink"/>
                  <w:rFonts w:ascii="Times New Roman;serif" w:hAnsi="Times New Roman;serif"/>
                  <w:b w:val="false"/>
                  <w:color w:val="000080"/>
                  <w:sz w:val="20"/>
                  <w:u w:val="single"/>
                </w:rPr>
                <w:t>nc.</w:t>
              </w:r>
            </w:hyperlink>
            <w:hyperlink r:id="rId14">
              <w:r>
                <w:rPr>
                  <w:rStyle w:val="InternetLink"/>
                  <w:rFonts w:ascii="Times New Roman;serif" w:hAnsi="Times New Roman;serif"/>
                  <w:b w:val="false"/>
                  <w:color w:val="000080"/>
                  <w:sz w:val="20"/>
                  <w:u w:val="single"/>
                </w:rPr>
                <w:t>’</w:t>
              </w:r>
            </w:hyperlink>
            <w:hyperlink r:id="rId15">
              <w:r>
                <w:rPr>
                  <w:rStyle w:val="InternetLink"/>
                  <w:rFonts w:ascii="Times New Roman;serif" w:hAnsi="Times New Roman;serif"/>
                  <w:b w:val="false"/>
                  <w:color w:val="000080"/>
                  <w:sz w:val="20"/>
                  <w:u w:val="single"/>
                </w:rPr>
                <w:t>s current report on Form 8-</w:t>
              </w:r>
            </w:hyperlink>
            <w:hyperlink r:id="rId16">
              <w:r>
                <w:rPr>
                  <w:rStyle w:val="InternetLink"/>
                  <w:rFonts w:ascii="Times New Roman;serif" w:hAnsi="Times New Roman;serif"/>
                  <w:b w:val="false"/>
                  <w:color w:val="000080"/>
                  <w:sz w:val="20"/>
                  <w:u w:val="single"/>
                </w:rPr>
                <w:t>K (File No. 001-04174) and incorporated herein by reference)</w:t>
              </w:r>
            </w:hyperlink>
            <w:hyperlink r:id="rId17">
              <w:r>
                <w:rPr>
                  <w:rStyle w:val="InternetLink"/>
                  <w:rFonts w:ascii="Times New Roman;serif" w:hAnsi="Times New Roman;serif"/>
                  <w:b w:val="false"/>
                  <w:color w:val="000080"/>
                  <w:sz w:val="20"/>
                  <w:u w:val="single"/>
                </w:rPr>
                <w:t>.</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80"/>
                  <w:sz w:val="20"/>
                  <w:u w:val="single"/>
                </w:rPr>
                <w:t>A</w:t>
              </w:r>
            </w:hyperlink>
            <w:hyperlink r:id="rId19">
              <w:r>
                <w:rPr>
                  <w:rStyle w:val="InternetLink"/>
                  <w:rFonts w:ascii="Times New Roman;serif" w:hAnsi="Times New Roman;serif"/>
                  <w:b w:val="false"/>
                  <w:color w:val="000080"/>
                  <w:sz w:val="20"/>
                  <w:u w:val="single"/>
                </w:rPr>
                <w:t xml:space="preserve">mended </w:t>
              </w:r>
            </w:hyperlink>
            <w:hyperlink r:id="rId20">
              <w:r>
                <w:rPr>
                  <w:rStyle w:val="InternetLink"/>
                  <w:rFonts w:ascii="Times New Roman;serif" w:hAnsi="Times New Roman;serif"/>
                  <w:b w:val="false"/>
                  <w:color w:val="000080"/>
                  <w:sz w:val="20"/>
                  <w:u w:val="single"/>
                </w:rPr>
                <w:t>Perfor</w:t>
              </w:r>
            </w:hyperlink>
            <w:hyperlink r:id="rId21">
              <w:r>
                <w:rPr>
                  <w:rStyle w:val="InternetLink"/>
                  <w:rFonts w:ascii="Times New Roman;serif" w:hAnsi="Times New Roman;serif"/>
                  <w:b w:val="false"/>
                  <w:color w:val="000080"/>
                  <w:sz w:val="20"/>
                  <w:u w:val="single"/>
                </w:rPr>
                <w:t>m</w:t>
              </w:r>
            </w:hyperlink>
            <w:hyperlink r:id="rId22">
              <w:r>
                <w:rPr>
                  <w:rStyle w:val="InternetLink"/>
                  <w:rFonts w:ascii="Times New Roman;serif" w:hAnsi="Times New Roman;serif"/>
                  <w:b w:val="false"/>
                  <w:color w:val="000080"/>
                  <w:sz w:val="20"/>
                  <w:u w:val="single"/>
                </w:rPr>
                <w:t>a</w:t>
              </w:r>
            </w:hyperlink>
            <w:hyperlink r:id="rId23">
              <w:r>
                <w:rPr>
                  <w:rStyle w:val="InternetLink"/>
                  <w:rFonts w:ascii="Times New Roman;serif" w:hAnsi="Times New Roman;serif"/>
                  <w:b w:val="false"/>
                  <w:color w:val="000080"/>
                  <w:sz w:val="20"/>
                  <w:u w:val="single"/>
                </w:rPr>
                <w:t>nce-Based Restricted Stock Unit Agreement</w:t>
              </w:r>
            </w:hyperlink>
            <w:hyperlink r:id="rId24">
              <w:r>
                <w:rPr>
                  <w:rStyle w:val="InternetLink"/>
                  <w:rFonts w:ascii="Times New Roman;serif" w:hAnsi="Times New Roman;serif"/>
                  <w:b w:val="false"/>
                  <w:color w:val="000080"/>
                  <w:sz w:val="20"/>
                  <w:u w:val="single"/>
                </w:rPr>
                <w:t xml:space="preserve"> for awards granted as of February 2025 or later</w:t>
              </w:r>
            </w:hyperlink>
            <w:hyperlink r:id="rId25">
              <w:r>
                <w:rPr>
                  <w:rStyle w:val="InternetLink"/>
                  <w:rFonts w:ascii="Times New Roman;serif" w:hAnsi="Times New Roman;serif"/>
                  <w:b w:val="false"/>
                  <w:color w:val="000080"/>
                  <w:sz w:val="20"/>
                  <w:u w:val="single"/>
                </w:rPr>
                <w:t xml:space="preserve"> between The Wil</w:t>
              </w:r>
            </w:hyperlink>
            <w:hyperlink r:id="rId26">
              <w:r>
                <w:rPr>
                  <w:rStyle w:val="InternetLink"/>
                  <w:rFonts w:ascii="Times New Roman;serif" w:hAnsi="Times New Roman;serif"/>
                  <w:b w:val="false"/>
                  <w:color w:val="000080"/>
                  <w:sz w:val="20"/>
                  <w:u w:val="single"/>
                </w:rPr>
                <w:t>liams Companies, Inc. and Alan S. Armstrong</w:t>
              </w:r>
            </w:hyperlink>
            <w:hyperlink r:id="rId27">
              <w:r>
                <w:rPr>
                  <w:rStyle w:val="InternetLink"/>
                  <w:rFonts w:ascii="Times New Roman;serif" w:hAnsi="Times New Roman;serif"/>
                  <w:b w:val="false"/>
                  <w:color w:val="000080"/>
                  <w:sz w:val="20"/>
                  <w:u w:val="single"/>
                </w:rPr>
                <w:t xml:space="preserve"> (filed on March 26, 2026</w:t>
              </w:r>
            </w:hyperlink>
            <w:hyperlink r:id="rId28">
              <w:r>
                <w:rPr>
                  <w:rStyle w:val="InternetLink"/>
                  <w:rFonts w:ascii="Times New Roman;serif" w:hAnsi="Times New Roman;serif"/>
                  <w:b w:val="false"/>
                  <w:color w:val="000080"/>
                  <w:sz w:val="20"/>
                  <w:u w:val="single"/>
                </w:rPr>
                <w:t>, as Exhibit 10.2 to Th</w:t>
              </w:r>
            </w:hyperlink>
            <w:hyperlink r:id="rId29">
              <w:r>
                <w:rPr>
                  <w:rStyle w:val="InternetLink"/>
                  <w:rFonts w:ascii="Times New Roman;serif" w:hAnsi="Times New Roman;serif"/>
                  <w:b w:val="false"/>
                  <w:color w:val="000080"/>
                  <w:sz w:val="20"/>
                  <w:u w:val="single"/>
                </w:rPr>
                <w:t>e Williams Companies, Inc.</w:t>
              </w:r>
            </w:hyperlink>
            <w:hyperlink r:id="rId30">
              <w:r>
                <w:rPr>
                  <w:rStyle w:val="InternetLink"/>
                  <w:rFonts w:ascii="Times New Roman;serif" w:hAnsi="Times New Roman;serif"/>
                  <w:b w:val="false"/>
                  <w:color w:val="000080"/>
                  <w:sz w:val="20"/>
                  <w:u w:val="single"/>
                </w:rPr>
                <w:t>’</w:t>
              </w:r>
            </w:hyperlink>
            <w:hyperlink r:id="rId31">
              <w:r>
                <w:rPr>
                  <w:rStyle w:val="InternetLink"/>
                  <w:rFonts w:ascii="Times New Roman;serif" w:hAnsi="Times New Roman;serif"/>
                  <w:b w:val="false"/>
                  <w:color w:val="000080"/>
                  <w:sz w:val="20"/>
                  <w:u w:val="single"/>
                </w:rPr>
                <w:t>s</w:t>
              </w:r>
            </w:hyperlink>
            <w:hyperlink r:id="rId32">
              <w:r>
                <w:rPr>
                  <w:rStyle w:val="InternetLink"/>
                  <w:rFonts w:ascii="Times New Roman;serif" w:hAnsi="Times New Roman;serif"/>
                  <w:b w:val="false"/>
                  <w:color w:val="000080"/>
                  <w:sz w:val="20"/>
                  <w:u w:val="single"/>
                </w:rPr>
                <w:t xml:space="preserve"> Current Report on Form 8-K (File No. 001-04174</w:t>
              </w:r>
            </w:hyperlink>
            <w:hyperlink r:id="rId33">
              <w:r>
                <w:rPr>
                  <w:rStyle w:val="InternetLink"/>
                  <w:rFonts w:ascii="Times New Roman;serif" w:hAnsi="Times New Roman;serif"/>
                  <w:b w:val="false"/>
                  <w:color w:val="000080"/>
                  <w:sz w:val="20"/>
                  <w:u w:val="single"/>
                </w:rPr>
                <w:t xml:space="preserve">) and </w:t>
              </w:r>
            </w:hyperlink>
            <w:hyperlink r:id="rId34">
              <w:r>
                <w:rPr>
                  <w:rStyle w:val="InternetLink"/>
                  <w:rFonts w:ascii="Times New Roman;serif" w:hAnsi="Times New Roman;serif"/>
                  <w:b w:val="false"/>
                  <w:color w:val="000080"/>
                  <w:sz w:val="20"/>
                  <w:u w:val="single"/>
                </w:rPr>
                <w:t>incorporated herein by ref</w:t>
              </w:r>
            </w:hyperlink>
            <w:hyperlink r:id="rId35">
              <w:r>
                <w:rPr>
                  <w:rStyle w:val="InternetLink"/>
                  <w:rFonts w:ascii="Times New Roman;serif" w:hAnsi="Times New Roman;serif"/>
                  <w:b w:val="false"/>
                  <w:color w:val="000080"/>
                  <w:sz w:val="20"/>
                  <w:u w:val="single"/>
                </w:rPr>
                <w:t>erence)</w:t>
              </w:r>
            </w:hyperlink>
            <w:hyperlink r:id="rId36">
              <w:r>
                <w:rPr>
                  <w:rStyle w:val="InternetLink"/>
                  <w:rFonts w:ascii="Times New Roman;serif" w:hAnsi="Times New Roman;serif"/>
                  <w:b w:val="false"/>
                  <w:color w:val="000080"/>
                  <w:sz w:val="20"/>
                  <w:u w:val="single"/>
                </w:rPr>
                <w:t>.</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wmb_20260331x10qxex311.htm">
              <w:r>
                <w:rPr>
                  <w:rStyle w:val="InternetLink"/>
                  <w:rFonts w:ascii="Times New Roman;serif" w:hAnsi="Times New Roman;serif"/>
                  <w:b w:val="false"/>
                  <w:color w:val="0000FF"/>
                  <w:sz w:val="20"/>
                  <w:u w:val="single"/>
                </w:rPr>
                <w:t>Certification of the Chief Executive Officer pursuant to Rules 13a-14(a) and 15d-14(a) promulgated under the Securities Exchange Act of 1934, as amended, and Item 601(b)(31) of Regulation S</w:t>
                <w:noBreakHyphen/>
                <w:t>K, as adopted pursuant to Section 302 of the Sarbanes-Oxley Act of 2002.</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wmb_20260331x10qxex312.htm">
              <w:r>
                <w:rPr>
                  <w:rStyle w:val="InternetLink"/>
                  <w:rFonts w:ascii="Times New Roman;serif" w:hAnsi="Times New Roman;serif"/>
                  <w:b w:val="false"/>
                  <w:color w:val="0000FF"/>
                  <w:sz w:val="20"/>
                  <w:u w:val="single"/>
                </w:rPr>
                <w:t>Certification of the Chief Financial Officer pursuant to Rules 13a-14(a) and 15d-14(a) promulgated under the Securities Exchange Act of 1934, as amended, and Item 601(b)(31) of Regulation S-K, as adopted pursuant to Section 302 of the Sarbanes-Oxley Act of 2002.</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wmb_20260331x10qxex321.htm">
              <w:r>
                <w:rPr>
                  <w:rStyle w:val="InternetLink"/>
                  <w:rFonts w:ascii="Times New Roman;serif" w:hAnsi="Times New Roman;serif"/>
                  <w:b w:val="false"/>
                  <w:color w:val="0000FF"/>
                  <w:sz w:val="20"/>
                  <w:u w:val="single"/>
                </w:rPr>
                <w:t>Certification of the Chief Executive Officer and the Chief Financial Officer pursuant to 18 U.S.C. Section 1350, as adopted pursuant to Section 906 of the Sarbanes-Oxley Act of 2002.</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does not appear in the Interactive Data File because its XBRL tags are embedded within the inline XBRL document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124"/>
        <w:gridCol w:w="109"/>
        <w:gridCol w:w="109"/>
        <w:gridCol w:w="1472"/>
        <w:gridCol w:w="1472"/>
        <w:gridCol w:w="2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Transco</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instruments are included as exhibits to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
        <w:gridCol w:w="260"/>
        <w:gridCol w:w="262"/>
        <w:gridCol w:w="109"/>
        <w:gridCol w:w="109"/>
        <w:gridCol w:w="109"/>
        <w:gridCol w:w="2644"/>
        <w:gridCol w:w="2644"/>
        <w:gridCol w:w="3771"/>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Certificate of Conversion of Transcontinental Gas Pipeline Company, LLC dated December 22, 2008 and effective December 31, 2008 (filed on February 24, 2011 as Exhibit 2.1 to Transcontinental Gas Pipe Line Company, LLC’s annual report on Form 10-K (File No. 001-07584) and incorporated herein by reference).</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Certificate of Formation of Transcontinental Gas Pipe Line Company, LLC dated December 22, 2008 and effective December 31, 2008 (filed on February 24, 2011 as Exhibit 3.1 to Transcontinental Gas Pipe Line Company, LLC’s annual report on Form 10-K (File No. 001-07584) and incorporated herein by reference).</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Amended and Restated Operating Agreement of Transcontinental Gas Pipe Line Company, LLC dated February 17, 2010 (filed on October 28, 2010 as Exhibit 3.2 to Transcontinental Gas Pipe Line Company, LLC’s quarterly report on Form 10-Q (File No. 001-07584) and incorporated herein by reference).</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gpl_20260331x10qxex313.htm">
              <w:r>
                <w:rPr>
                  <w:rStyle w:val="InternetLink"/>
                  <w:rFonts w:ascii="Times New Roman;serif" w:hAnsi="Times New Roman;serif"/>
                  <w:b w:val="false"/>
                  <w:color w:val="0000FF"/>
                  <w:sz w:val="20"/>
                  <w:u w:val="single"/>
                </w:rPr>
                <w:t>Certification of Principal Executive Officer pursuant to Rules 13a-14(a) and 15d-14(a) promulgated under the Securities Exchange Act of 1934, as amended, and Item 601(b)(31) of Regulation S-K, as adopted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gpl_20260331x10qxex314.htm">
              <w:r>
                <w:rPr>
                  <w:rStyle w:val="InternetLink"/>
                  <w:rFonts w:ascii="Times New Roman;serif" w:hAnsi="Times New Roman;serif"/>
                  <w:b w:val="false"/>
                  <w:color w:val="0000FF"/>
                  <w:sz w:val="20"/>
                  <w:u w:val="single"/>
                </w:rPr>
                <w:t>Certification of Principal Financial Officer pursuant to Rules 13a-14(a) and 15d-14(a) promulgated under the Securities Exchange Act of 1934, as amended, and Item 601(b)(31) of Regulation S-K, as adopted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gpl_20260331x10qxex322.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does not appear in the interactive data file because its XBRL tags are embedded within the inline XBRL document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bd7035a7cd84f278d78b92579794295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NWP</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instruments are included as exhibits to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2"/>
        <w:gridCol w:w="265"/>
        <w:gridCol w:w="266"/>
        <w:gridCol w:w="109"/>
        <w:gridCol w:w="109"/>
        <w:gridCol w:w="109"/>
        <w:gridCol w:w="2640"/>
        <w:gridCol w:w="2640"/>
        <w:gridCol w:w="3765"/>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Certificate of Conversion of Northwest Pipeline GP (filed July 3, 2013 as Exhibit 2.1 to Transcontinental Gas Pipeline Company, LLC and Northwest Pipeline LLC current report on Form 8-K (File No. 001-07414)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80"/>
                  <w:sz w:val="20"/>
                  <w:u w:val="single"/>
                </w:rPr>
                <w:t xml:space="preserve">Certificate of Formation of Northwest Pipeline LLC (filed July 3, 2013 as Exhibit 2.2 to </w:t>
              </w:r>
            </w:hyperlink>
            <w:hyperlink r:id="rId42">
              <w:r>
                <w:rPr>
                  <w:rStyle w:val="InternetLink"/>
                  <w:rFonts w:ascii="Times New Roman;serif" w:hAnsi="Times New Roman;serif"/>
                  <w:b w:val="false"/>
                  <w:color w:val="000080"/>
                  <w:sz w:val="20"/>
                  <w:u w:val="single"/>
                </w:rPr>
                <w:t>Transcontinental Gas Pipeline Company, LLC and Northwest Pipeline LLC</w:t>
              </w:r>
            </w:hyperlink>
            <w:hyperlink r:id="rId43">
              <w:r>
                <w:rPr>
                  <w:rStyle w:val="InternetLink"/>
                  <w:rFonts w:ascii="Times New Roman;serif" w:hAnsi="Times New Roman;serif"/>
                  <w:b w:val="false"/>
                  <w:color w:val="000080"/>
                  <w:sz w:val="20"/>
                  <w:u w:val="single"/>
                </w:rPr>
                <w:t xml:space="preserve"> current report on Form 8-K (File No. 001-07414)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80"/>
                  <w:sz w:val="20"/>
                  <w:u w:val="single"/>
                </w:rPr>
                <w:t xml:space="preserve">Operating Agreement of Northwest Pipeline LLC (filed July 3, 2013 as Exhibit 3.1 to </w:t>
              </w:r>
            </w:hyperlink>
            <w:hyperlink r:id="rId45">
              <w:r>
                <w:rPr>
                  <w:rStyle w:val="InternetLink"/>
                  <w:rFonts w:ascii="Times New Roman;serif" w:hAnsi="Times New Roman;serif"/>
                  <w:b w:val="false"/>
                  <w:color w:val="000080"/>
                  <w:sz w:val="20"/>
                  <w:u w:val="single"/>
                </w:rPr>
                <w:t>Transcontinental Gas Pipeline Company, LLC and Northwest Pipeline LLC</w:t>
              </w:r>
            </w:hyperlink>
            <w:hyperlink r:id="rId46">
              <w:r>
                <w:rPr>
                  <w:rStyle w:val="InternetLink"/>
                  <w:rFonts w:ascii="Times New Roman;serif" w:hAnsi="Times New Roman;serif"/>
                  <w:b w:val="false"/>
                  <w:color w:val="000080"/>
                  <w:sz w:val="20"/>
                  <w:u w:val="single"/>
                </w:rPr>
                <w:t xml:space="preserve"> current report on Form 8-K (File No. 001-07414)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wp_20260331x10qxex315.htm">
              <w:r>
                <w:rPr>
                  <w:rStyle w:val="InternetLink"/>
                  <w:rFonts w:ascii="Times New Roman;serif" w:hAnsi="Times New Roman;serif"/>
                  <w:b w:val="false"/>
                  <w:color w:val="0000FF"/>
                  <w:sz w:val="20"/>
                  <w:u w:val="single"/>
                </w:rPr>
                <w:t>Certification of Principal Executive Officer pursuant to Rules 13a-14(a) and 15d-14(a) promulgated under the Securities Exchange Act of 1934, as amended and Item 601(b)(31) of Regulation S-K, as adopted pursuant to Section 302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wp_20260331x10qxex316.htm">
              <w:r>
                <w:rPr>
                  <w:rStyle w:val="InternetLink"/>
                  <w:rFonts w:ascii="Times New Roman;serif" w:hAnsi="Times New Roman;serif"/>
                  <w:b w:val="false"/>
                  <w:color w:val="0000FF"/>
                  <w:sz w:val="20"/>
                  <w:u w:val="single"/>
                </w:rPr>
                <w:t>Certification of Principal Financial Officer pursuant to Rules 13a-14(a) and 15d-14(a) promulgated under the Securities Exchange Act of 1934, as amended, and Item 601(b)(31) of Regulation S-K, as adopted pursuant to Section 302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wp_20260331x10qxex323.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does not appear in the interactive data file because its XBRL tags are embedded within the inline XBRL document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Williams Companies,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4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896" w:type="dxa"/>
        <w:jc w:val="left"/>
        <w:tblInd w:w="0" w:type="dxa"/>
        <w:tblLayout w:type="fixed"/>
        <w:tblCellMar>
          <w:top w:w="28" w:type="dxa"/>
          <w:left w:w="28" w:type="dxa"/>
          <w:bottom w:w="28" w:type="dxa"/>
          <w:right w:w="28" w:type="dxa"/>
        </w:tblCellMar>
      </w:tblPr>
      <w:tblGrid>
        <w:gridCol w:w="124"/>
        <w:gridCol w:w="109"/>
        <w:gridCol w:w="109"/>
        <w:gridCol w:w="2795"/>
        <w:gridCol w:w="2795"/>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w:t>
            </w:r>
            <w:r>
              <w:rPr>
                <w:rFonts w:ascii="Times New Roman;serif" w:hAnsi="Times New Roman;serif"/>
                <w:b w:val="false"/>
                <w:color w:val="000000"/>
                <w:sz w:val="16"/>
              </w:rPr>
              <w:t>HE</w:t>
            </w:r>
            <w:r>
              <w:rPr>
                <w:color w:val="000000"/>
              </w:rPr>
              <w:t xml:space="preserve"> </w:t>
            </w:r>
            <w:r>
              <w:rPr>
                <w:rFonts w:ascii="Times New Roman;serif" w:hAnsi="Times New Roman;serif"/>
                <w:b w:val="false"/>
                <w:color w:val="000000"/>
                <w:sz w:val="20"/>
              </w:rPr>
              <w:t>W</w:t>
            </w:r>
            <w:r>
              <w:rPr>
                <w:rFonts w:ascii="Times New Roman;serif" w:hAnsi="Times New Roman;serif"/>
                <w:b w:val="false"/>
                <w:color w:val="000000"/>
                <w:sz w:val="16"/>
              </w:rPr>
              <w:t>ILLIAMS</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OMPANIES</w:t>
            </w:r>
            <w:r>
              <w:rPr>
                <w:rFonts w:ascii="Times New Roman;serif" w:hAnsi="Times New Roman;serif"/>
                <w:b w:val="false"/>
                <w:color w:val="000000"/>
                <w:sz w:val="20"/>
              </w:rPr>
              <w:t>, I</w:t>
            </w:r>
            <w:r>
              <w:rPr>
                <w:rFonts w:ascii="Times New Roman;serif" w:hAnsi="Times New Roman;serif"/>
                <w:b w:val="false"/>
                <w:color w:val="000000"/>
                <w:sz w:val="16"/>
              </w:rPr>
              <w:t>NC</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A. Hausman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A. Hausman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Controller (Duly Authorized Officer and Principal Accounting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Transcontinental Gas Pipe Line Company, LLC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4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72" w:type="dxa"/>
        <w:jc w:val="left"/>
        <w:tblInd w:w="0" w:type="dxa"/>
        <w:tblLayout w:type="fixed"/>
        <w:tblCellMar>
          <w:top w:w="28" w:type="dxa"/>
          <w:left w:w="28" w:type="dxa"/>
          <w:bottom w:w="28" w:type="dxa"/>
          <w:right w:w="28" w:type="dxa"/>
        </w:tblCellMar>
      </w:tblPr>
      <w:tblGrid>
        <w:gridCol w:w="124"/>
        <w:gridCol w:w="109"/>
        <w:gridCol w:w="109"/>
        <w:gridCol w:w="1327"/>
        <w:gridCol w:w="1327"/>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w:t>
            </w:r>
            <w:r>
              <w:rPr>
                <w:rFonts w:ascii="Times New Roman;serif" w:hAnsi="Times New Roman;serif"/>
                <w:b w:val="false"/>
                <w:color w:val="000000"/>
                <w:sz w:val="16"/>
              </w:rPr>
              <w:t>RANSCONTINENTAL</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AS</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 xml:space="preserve">IPE </w:t>
            </w:r>
            <w:r>
              <w:rPr>
                <w:rFonts w:ascii="Times New Roman;serif" w:hAnsi="Times New Roman;serif"/>
                <w:b w:val="false"/>
                <w:color w:val="000000"/>
                <w:sz w:val="20"/>
              </w:rPr>
              <w:t>L</w:t>
            </w:r>
            <w:r>
              <w:rPr>
                <w:rFonts w:ascii="Times New Roman;serif" w:hAnsi="Times New Roman;serif"/>
                <w:b w:val="false"/>
                <w:color w:val="000000"/>
                <w:sz w:val="16"/>
              </w:rPr>
              <w:t xml:space="preserve">INE </w:t>
            </w:r>
            <w:r>
              <w:rPr>
                <w:rFonts w:ascii="Times New Roman;serif" w:hAnsi="Times New Roman;serif"/>
                <w:b w:val="false"/>
                <w:color w:val="000000"/>
                <w:sz w:val="20"/>
              </w:rPr>
              <w:t>C</w:t>
            </w:r>
            <w:r>
              <w:rPr>
                <w:rFonts w:ascii="Times New Roman;serif" w:hAnsi="Times New Roman;serif"/>
                <w:b w:val="false"/>
                <w:color w:val="000000"/>
                <w:sz w:val="16"/>
              </w:rPr>
              <w:t>OMPANY</w:t>
            </w:r>
            <w:r>
              <w:rPr>
                <w:rFonts w:ascii="Times New Roman;serif" w:hAnsi="Times New Roman;serif"/>
                <w:b w:val="false"/>
                <w:color w:val="000000"/>
                <w:sz w:val="20"/>
              </w:rPr>
              <w: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Billeigh W. 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Billeigh W. 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br/>
              <w:t>(Principal Accounting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Northwest Pipeline LLC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4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951" w:type="dxa"/>
        <w:jc w:val="left"/>
        <w:tblInd w:w="0" w:type="dxa"/>
        <w:tblLayout w:type="fixed"/>
        <w:tblCellMar>
          <w:top w:w="28" w:type="dxa"/>
          <w:left w:w="28" w:type="dxa"/>
          <w:bottom w:w="28" w:type="dxa"/>
          <w:right w:w="28" w:type="dxa"/>
        </w:tblCellMar>
      </w:tblPr>
      <w:tblGrid>
        <w:gridCol w:w="124"/>
        <w:gridCol w:w="109"/>
        <w:gridCol w:w="109"/>
        <w:gridCol w:w="763"/>
        <w:gridCol w:w="763"/>
        <w:gridCol w:w="1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w:t>
            </w:r>
            <w:r>
              <w:rPr>
                <w:rFonts w:ascii="Times New Roman;serif" w:hAnsi="Times New Roman;serif"/>
                <w:b w:val="false"/>
                <w:color w:val="000000"/>
                <w:sz w:val="16"/>
              </w:rPr>
              <w:t>ORTHWEST</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IPELINE</w:t>
            </w:r>
            <w:r>
              <w:rPr>
                <w:color w:val="000000"/>
              </w:rPr>
              <w:t xml:space="preserve"> </w:t>
            </w:r>
            <w:r>
              <w:rPr>
                <w:rFonts w:ascii="Times New Roman;serif" w:hAnsi="Times New Roman;serif"/>
                <w:b w:val="false"/>
                <w:color w:val="000000"/>
                <w:sz w:val="20"/>
              </w:rPr>
              <w:t>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Billeigh W. 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Billeigh W. 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br/>
              <w:t>(Principal Accounting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Chad J. Zamarin,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The Williams Companies,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4, 2026</w:t>
      </w:r>
    </w:p>
    <w:p>
      <w:pPr>
        <w:pStyle w:val="TextBody"/>
        <w:bidi w:val="0"/>
        <w:spacing w:before="0" w:after="0"/>
        <w:jc w:val="both"/>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940"/>
        <w:gridCol w:w="940"/>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Chad J. Zamarin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Chad J. Zamarin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John D. Porter,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The Williams Companies,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4, 2026</w:t>
      </w:r>
    </w:p>
    <w:p>
      <w:pPr>
        <w:pStyle w:val="TextBody"/>
        <w:bidi w:val="0"/>
        <w:spacing w:before="0" w:after="0"/>
        <w:jc w:val="both"/>
        <w:rPr/>
      </w:pPr>
      <w:r>
        <w:rPr/>
      </w:r>
    </w:p>
    <w:tbl>
      <w:tblPr>
        <w:tblW w:w="4781" w:type="dxa"/>
        <w:jc w:val="left"/>
        <w:tblInd w:w="0" w:type="dxa"/>
        <w:tblLayout w:type="fixed"/>
        <w:tblCellMar>
          <w:top w:w="28" w:type="dxa"/>
          <w:left w:w="28" w:type="dxa"/>
          <w:bottom w:w="28" w:type="dxa"/>
          <w:right w:w="28" w:type="dxa"/>
        </w:tblCellMar>
      </w:tblPr>
      <w:tblGrid>
        <w:gridCol w:w="124"/>
        <w:gridCol w:w="109"/>
        <w:gridCol w:w="109"/>
        <w:gridCol w:w="1294"/>
        <w:gridCol w:w="1294"/>
        <w:gridCol w:w="1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D. Porter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D. Porter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Glen G. Jasek,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Transcontinental Gas Pipe Line Company, LLC;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270"/>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4, 2026 </w:t>
      </w:r>
    </w:p>
    <w:p>
      <w:pPr>
        <w:pStyle w:val="TextBody"/>
        <w:bidi w:val="0"/>
        <w:spacing w:lineRule="auto" w:line="288" w:before="0" w:after="0"/>
        <w:jc w:val="left"/>
        <w:rPr>
          <w:color w:val="000000"/>
        </w:rPr>
      </w:pPr>
      <w:r>
        <w:rPr>
          <w:color w:val="000000"/>
        </w:rPr>
        <w:t> </w:t>
      </w:r>
    </w:p>
    <w:tbl>
      <w:tblPr>
        <w:tblW w:w="2895" w:type="dxa"/>
        <w:jc w:val="left"/>
        <w:tblInd w:w="0" w:type="dxa"/>
        <w:tblLayout w:type="fixed"/>
        <w:tblCellMar>
          <w:top w:w="28" w:type="dxa"/>
          <w:left w:w="28" w:type="dxa"/>
          <w:bottom w:w="28" w:type="dxa"/>
          <w:right w:w="28" w:type="dxa"/>
        </w:tblCellMar>
      </w:tblPr>
      <w:tblGrid>
        <w:gridCol w:w="151"/>
        <w:gridCol w:w="134"/>
        <w:gridCol w:w="135"/>
        <w:gridCol w:w="722"/>
        <w:gridCol w:w="722"/>
        <w:gridCol w:w="103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G. Jasek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 G. Jasek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Mary A. Hausman,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Transcontinental Gas Pipe Line Company, LLC;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Date: May 4, 2026</w:t>
      </w:r>
    </w:p>
    <w:p>
      <w:pPr>
        <w:pStyle w:val="TextBody"/>
        <w:bidi w:val="0"/>
        <w:spacing w:lineRule="auto" w:line="288" w:before="0" w:after="0"/>
        <w:jc w:val="left"/>
        <w:rPr>
          <w:color w:val="000000"/>
        </w:rPr>
      </w:pPr>
      <w:r>
        <w:rPr>
          <w:color w:val="000000"/>
        </w:rPr>
        <w:t> </w:t>
      </w:r>
    </w:p>
    <w:tbl>
      <w:tblPr>
        <w:tblW w:w="4184" w:type="dxa"/>
        <w:jc w:val="left"/>
        <w:tblInd w:w="0" w:type="dxa"/>
        <w:tblLayout w:type="fixed"/>
        <w:tblCellMar>
          <w:top w:w="28" w:type="dxa"/>
          <w:left w:w="28" w:type="dxa"/>
          <w:bottom w:w="28" w:type="dxa"/>
          <w:right w:w="28" w:type="dxa"/>
        </w:tblCellMar>
      </w:tblPr>
      <w:tblGrid>
        <w:gridCol w:w="151"/>
        <w:gridCol w:w="134"/>
        <w:gridCol w:w="135"/>
        <w:gridCol w:w="1102"/>
        <w:gridCol w:w="1102"/>
        <w:gridCol w:w="156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A. Hausman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A. Hausman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Glen G. Jasek,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Northwest Pipeline LLC;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tbl>
      <w:tblPr>
        <w:tblW w:w="2895" w:type="dxa"/>
        <w:jc w:val="left"/>
        <w:tblInd w:w="0" w:type="dxa"/>
        <w:tblLayout w:type="fixed"/>
        <w:tblCellMar>
          <w:top w:w="28" w:type="dxa"/>
          <w:left w:w="28" w:type="dxa"/>
          <w:bottom w:w="28" w:type="dxa"/>
          <w:right w:w="28" w:type="dxa"/>
        </w:tblCellMar>
      </w:tblPr>
      <w:tblGrid>
        <w:gridCol w:w="151"/>
        <w:gridCol w:w="134"/>
        <w:gridCol w:w="135"/>
        <w:gridCol w:w="722"/>
        <w:gridCol w:w="722"/>
        <w:gridCol w:w="103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G. Jasek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 G. Jasek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Mary A. Hausman,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Northwest Pipeline LLC;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4, 2026</w:t>
      </w:r>
    </w:p>
    <w:tbl>
      <w:tblPr>
        <w:tblW w:w="4184" w:type="dxa"/>
        <w:jc w:val="left"/>
        <w:tblInd w:w="0" w:type="dxa"/>
        <w:tblLayout w:type="fixed"/>
        <w:tblCellMar>
          <w:top w:w="28" w:type="dxa"/>
          <w:left w:w="28" w:type="dxa"/>
          <w:bottom w:w="28" w:type="dxa"/>
          <w:right w:w="28" w:type="dxa"/>
        </w:tblCellMar>
      </w:tblPr>
      <w:tblGrid>
        <w:gridCol w:w="151"/>
        <w:gridCol w:w="134"/>
        <w:gridCol w:w="135"/>
        <w:gridCol w:w="1102"/>
        <w:gridCol w:w="1102"/>
        <w:gridCol w:w="156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A. Hausman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A. Hausman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345"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The Williams Companies, Inc. (the “Company”) on Form 10-Q for the period ending March 31, 2026, as filed with the Securities and Exchange Commission on the date hereof (the “Report”), each of the undersigned hereby certifies, in his capacity as an officer of the Company, pursuant to 18 U.S.C. § 1350, as adopted pursuant to § 906 of the Sarbanes-Oxley Act of 2002, that to his knowledge:</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1425"/>
        <w:gridCol w:w="1250"/>
        <w:gridCol w:w="1779"/>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Chad J. Zamarin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Chad J. Zamarin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John D. Porter</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John D. Porter</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4, 2026</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the Company and furnished to the Securities and Exchange Commission or its staff upon request.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Report and shall not be considered filed as part of the Report.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Transcontinental Gas Pipe Line Company, LLC (the “Company”) on Form 10-Q for the period ending March 31, 2026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0" w:after="0"/>
        <w:jc w:val="both"/>
        <w:rPr>
          <w:color w:val="000000"/>
        </w:rPr>
      </w:pPr>
      <w:r>
        <w:rPr>
          <w:color w:val="000000"/>
        </w:rPr>
        <w:t> </w:t>
      </w:r>
    </w:p>
    <w:tbl>
      <w:tblPr>
        <w:tblW w:w="1905" w:type="dxa"/>
        <w:jc w:val="left"/>
        <w:tblInd w:w="0" w:type="dxa"/>
        <w:tblLayout w:type="fixed"/>
        <w:tblCellMar>
          <w:top w:w="28" w:type="dxa"/>
          <w:left w:w="28" w:type="dxa"/>
          <w:bottom w:w="28" w:type="dxa"/>
          <w:right w:w="28" w:type="dxa"/>
        </w:tblCellMar>
      </w:tblPr>
      <w:tblGrid>
        <w:gridCol w:w="608"/>
        <w:gridCol w:w="536"/>
        <w:gridCol w:w="761"/>
      </w:tblGrid>
      <w:tr>
        <w:trPr/>
        <w:tc>
          <w:tcPr>
            <w:tcW w:w="6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G. Jasek</w:t>
            </w:r>
          </w:p>
        </w:tc>
      </w:tr>
      <w:tr>
        <w:trPr/>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 G. Jasek</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bl>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209"/>
        <w:gridCol w:w="1061"/>
        <w:gridCol w:w="1510"/>
      </w:tblGrid>
      <w:tr>
        <w:trPr/>
        <w:tc>
          <w:tcPr>
            <w:tcW w:w="12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A. Hausman</w:t>
            </w:r>
          </w:p>
        </w:tc>
      </w:tr>
      <w:tr>
        <w:trPr/>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A. Hausman</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the Company and furnished to the Securities and Exchange Commission or its staff upon request.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Report and shall not be considered filed as part of the Report.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Northwest Pipeline LLC (the “Company”) on Form 10-Q for the period ending March 31, 2026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firstLine="180"/>
        <w:jc w:val="both"/>
        <w:rPr/>
      </w:pPr>
      <w:r>
        <w:rPr/>
      </w:r>
    </w:p>
    <w:tbl>
      <w:tblPr>
        <w:tblW w:w="1905" w:type="dxa"/>
        <w:jc w:val="left"/>
        <w:tblInd w:w="0" w:type="dxa"/>
        <w:tblLayout w:type="fixed"/>
        <w:tblCellMar>
          <w:top w:w="28" w:type="dxa"/>
          <w:left w:w="28" w:type="dxa"/>
          <w:bottom w:w="28" w:type="dxa"/>
          <w:right w:w="28" w:type="dxa"/>
        </w:tblCellMar>
      </w:tblPr>
      <w:tblGrid>
        <w:gridCol w:w="608"/>
        <w:gridCol w:w="536"/>
        <w:gridCol w:w="761"/>
      </w:tblGrid>
      <w:tr>
        <w:trPr/>
        <w:tc>
          <w:tcPr>
            <w:tcW w:w="6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G. Jasek</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 G. Jasek</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4, 2026</w:t>
            </w:r>
          </w:p>
        </w:tc>
      </w:tr>
    </w:tbl>
    <w:p>
      <w:pPr>
        <w:pStyle w:val="TextBody"/>
        <w:bidi w:val="0"/>
        <w:spacing w:before="0" w:after="0"/>
        <w:jc w:val="left"/>
        <w:rPr/>
      </w:pPr>
      <w:r>
        <w:rPr/>
      </w:r>
    </w:p>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209"/>
        <w:gridCol w:w="1061"/>
        <w:gridCol w:w="1510"/>
      </w:tblGrid>
      <w:tr>
        <w:trPr/>
        <w:tc>
          <w:tcPr>
            <w:tcW w:w="12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A. Hausman</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A. Hausman</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the Company and furnished to the Securities and Exchange Commission or its staff upon request.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Report and shall not be considered filed as part of the Report.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263/000095012310053200/c58430exv3wxiy1.htm" TargetMode="External"/><Relationship Id="rId3" Type="http://schemas.openxmlformats.org/officeDocument/2006/relationships/hyperlink" Target="https://www.sec.gov/Archives/edgar/data/107263/000119312518219725/d522727dex31.htm" TargetMode="External"/><Relationship Id="rId4" Type="http://schemas.openxmlformats.org/officeDocument/2006/relationships/hyperlink" Target="https://www.sec.gov/Archives/edgar/data/107263/000119312518246104/d599321dex31.htm" TargetMode="External"/><Relationship Id="rId5" Type="http://schemas.openxmlformats.org/officeDocument/2006/relationships/hyperlink" Target="https://www.sec.gov/Archives/edgar/data/107263/000010726322000030/wmb_20220930xex34.htm" TargetMode="External"/><Relationship Id="rId6" Type="http://schemas.openxmlformats.org/officeDocument/2006/relationships/hyperlink" Target="https://www.sec.gov/Archives/edgar/data/107263/000010726326000008/wmb_20260326xreleasexex101.htm" TargetMode="External"/><Relationship Id="rId7" Type="http://schemas.openxmlformats.org/officeDocument/2006/relationships/hyperlink" Target="https://www.sec.gov/Archives/edgar/data/107263/000010726326000008/wmb_20260326xreleasexex101.htm" TargetMode="External"/><Relationship Id="rId8" Type="http://schemas.openxmlformats.org/officeDocument/2006/relationships/hyperlink" Target="https://www.sec.gov/Archives/edgar/data/107263/000010726326000008/wmb_20260326xreleasexex101.htm" TargetMode="External"/><Relationship Id="rId9" Type="http://schemas.openxmlformats.org/officeDocument/2006/relationships/hyperlink" Target="https://www.sec.gov/Archives/edgar/data/107263/000010726326000008/wmb_20260326xreleasexex101.htm" TargetMode="External"/><Relationship Id="rId10" Type="http://schemas.openxmlformats.org/officeDocument/2006/relationships/hyperlink" Target="https://www.sec.gov/Archives/edgar/data/107263/000010726326000008/wmb_20260326xreleasexex101.htm" TargetMode="External"/><Relationship Id="rId11" Type="http://schemas.openxmlformats.org/officeDocument/2006/relationships/hyperlink" Target="https://www.sec.gov/Archives/edgar/data/107263/000010726326000008/wmb_20260326xreleasexex101.htm" TargetMode="External"/><Relationship Id="rId12" Type="http://schemas.openxmlformats.org/officeDocument/2006/relationships/hyperlink" Target="https://www.sec.gov/Archives/edgar/data/107263/000010726326000008/wmb_20260326xreleasexex101.htm" TargetMode="External"/><Relationship Id="rId13" Type="http://schemas.openxmlformats.org/officeDocument/2006/relationships/hyperlink" Target="https://www.sec.gov/Archives/edgar/data/107263/000010726326000008/wmb_20260326xreleasexex101.htm" TargetMode="External"/><Relationship Id="rId14" Type="http://schemas.openxmlformats.org/officeDocument/2006/relationships/hyperlink" Target="https://www.sec.gov/Archives/edgar/data/107263/000010726326000008/wmb_20260326xreleasexex101.htm" TargetMode="External"/><Relationship Id="rId15" Type="http://schemas.openxmlformats.org/officeDocument/2006/relationships/hyperlink" Target="https://www.sec.gov/Archives/edgar/data/107263/000010726326000008/wmb_20260326xreleasexex101.htm" TargetMode="External"/><Relationship Id="rId16" Type="http://schemas.openxmlformats.org/officeDocument/2006/relationships/hyperlink" Target="https://www.sec.gov/Archives/edgar/data/107263/000010726326000008/wmb_20260326xreleasexex101.htm" TargetMode="External"/><Relationship Id="rId17" Type="http://schemas.openxmlformats.org/officeDocument/2006/relationships/hyperlink" Target="https://www.sec.gov/Archives/edgar/data/107263/000010726326000008/wmb_20260326xreleasexex101.htm" TargetMode="External"/><Relationship Id="rId18" Type="http://schemas.openxmlformats.org/officeDocument/2006/relationships/hyperlink" Target="https://www.sec.gov/Archives/edgar/data/107263/000010726326000008/wmb_20260326xreleasexex102.htm" TargetMode="External"/><Relationship Id="rId19" Type="http://schemas.openxmlformats.org/officeDocument/2006/relationships/hyperlink" Target="https://www.sec.gov/Archives/edgar/data/107263/000010726326000008/wmb_20260326xreleasexex102.htm" TargetMode="External"/><Relationship Id="rId20" Type="http://schemas.openxmlformats.org/officeDocument/2006/relationships/hyperlink" Target="https://www.sec.gov/Archives/edgar/data/107263/000010726326000008/wmb_20260326xreleasexex102.htm" TargetMode="External"/><Relationship Id="rId21" Type="http://schemas.openxmlformats.org/officeDocument/2006/relationships/hyperlink" Target="https://www.sec.gov/Archives/edgar/data/107263/000010726326000008/wmb_20260326xreleasexex102.htm" TargetMode="External"/><Relationship Id="rId22" Type="http://schemas.openxmlformats.org/officeDocument/2006/relationships/hyperlink" Target="https://www.sec.gov/Archives/edgar/data/107263/000010726326000008/wmb_20260326xreleasexex102.htm" TargetMode="External"/><Relationship Id="rId23" Type="http://schemas.openxmlformats.org/officeDocument/2006/relationships/hyperlink" Target="https://www.sec.gov/Archives/edgar/data/107263/000010726326000008/wmb_20260326xreleasexex102.htm" TargetMode="External"/><Relationship Id="rId24" Type="http://schemas.openxmlformats.org/officeDocument/2006/relationships/hyperlink" Target="https://www.sec.gov/Archives/edgar/data/107263/000010726326000008/wmb_20260326xreleasexex102.htm" TargetMode="External"/><Relationship Id="rId25" Type="http://schemas.openxmlformats.org/officeDocument/2006/relationships/hyperlink" Target="https://www.sec.gov/Archives/edgar/data/107263/000010726326000008/wmb_20260326xreleasexex102.htm" TargetMode="External"/><Relationship Id="rId26" Type="http://schemas.openxmlformats.org/officeDocument/2006/relationships/hyperlink" Target="https://www.sec.gov/Archives/edgar/data/107263/000010726326000008/wmb_20260326xreleasexex102.htm" TargetMode="External"/><Relationship Id="rId27" Type="http://schemas.openxmlformats.org/officeDocument/2006/relationships/hyperlink" Target="https://www.sec.gov/Archives/edgar/data/107263/000010726326000008/wmb_20260326xreleasexex102.htm" TargetMode="External"/><Relationship Id="rId28" Type="http://schemas.openxmlformats.org/officeDocument/2006/relationships/hyperlink" Target="https://www.sec.gov/Archives/edgar/data/107263/000010726326000008/wmb_20260326xreleasexex102.htm" TargetMode="External"/><Relationship Id="rId29" Type="http://schemas.openxmlformats.org/officeDocument/2006/relationships/hyperlink" Target="https://www.sec.gov/Archives/edgar/data/107263/000010726326000008/wmb_20260326xreleasexex102.htm" TargetMode="External"/><Relationship Id="rId30" Type="http://schemas.openxmlformats.org/officeDocument/2006/relationships/hyperlink" Target="https://www.sec.gov/Archives/edgar/data/107263/000010726326000008/wmb_20260326xreleasexex102.htm" TargetMode="External"/><Relationship Id="rId31" Type="http://schemas.openxmlformats.org/officeDocument/2006/relationships/hyperlink" Target="https://www.sec.gov/Archives/edgar/data/107263/000010726326000008/wmb_20260326xreleasexex102.htm" TargetMode="External"/><Relationship Id="rId32" Type="http://schemas.openxmlformats.org/officeDocument/2006/relationships/hyperlink" Target="https://www.sec.gov/Archives/edgar/data/107263/000010726326000008/wmb_20260326xreleasexex102.htm" TargetMode="External"/><Relationship Id="rId33" Type="http://schemas.openxmlformats.org/officeDocument/2006/relationships/hyperlink" Target="https://www.sec.gov/Archives/edgar/data/107263/000010726326000008/wmb_20260326xreleasexex102.htm" TargetMode="External"/><Relationship Id="rId34" Type="http://schemas.openxmlformats.org/officeDocument/2006/relationships/hyperlink" Target="https://www.sec.gov/Archives/edgar/data/107263/000010726326000008/wmb_20260326xreleasexex102.htm" TargetMode="External"/><Relationship Id="rId35" Type="http://schemas.openxmlformats.org/officeDocument/2006/relationships/hyperlink" Target="https://www.sec.gov/Archives/edgar/data/107263/000010726326000008/wmb_20260326xreleasexex102.htm" TargetMode="External"/><Relationship Id="rId36" Type="http://schemas.openxmlformats.org/officeDocument/2006/relationships/hyperlink" Target="https://www.sec.gov/Archives/edgar/data/107263/000010726326000008/wmb_20260326xreleasexex102.htm" TargetMode="External"/><Relationship Id="rId37" Type="http://schemas.openxmlformats.org/officeDocument/2006/relationships/hyperlink" Target="https://www.sec.gov/Archives/edgar/data/99250/000095012311017503/c62424exv2w1.htm" TargetMode="External"/><Relationship Id="rId38" Type="http://schemas.openxmlformats.org/officeDocument/2006/relationships/hyperlink" Target="https://www.sec.gov/Archives/edgar/data/99250/000095012311017503/c62424exv3w1.htm" TargetMode="External"/><Relationship Id="rId39" Type="http://schemas.openxmlformats.org/officeDocument/2006/relationships/hyperlink" Target="https://www.sec.gov/Archives/edgar/data/99250/000095012310097206/c60780exv3w2.htm" TargetMode="External"/><Relationship Id="rId40" Type="http://schemas.openxmlformats.org/officeDocument/2006/relationships/hyperlink" Target="https://www.sec.gov/Archives/edgar/data/110019/000129993313001234/exhibit1.htm" TargetMode="External"/><Relationship Id="rId41" Type="http://schemas.openxmlformats.org/officeDocument/2006/relationships/hyperlink" Target="https://www.sec.gov/Archives/edgar/data/110019/000129993313001234/exhibit2.htm" TargetMode="External"/><Relationship Id="rId42" Type="http://schemas.openxmlformats.org/officeDocument/2006/relationships/hyperlink" Target="https://www.sec.gov/Archives/edgar/data/110019/000129993313001234/exhibit1.htm" TargetMode="External"/><Relationship Id="rId43" Type="http://schemas.openxmlformats.org/officeDocument/2006/relationships/hyperlink" Target="https://www.sec.gov/Archives/edgar/data/110019/000129993313001234/exhibit2.htm" TargetMode="External"/><Relationship Id="rId44" Type="http://schemas.openxmlformats.org/officeDocument/2006/relationships/hyperlink" Target="https://www.sec.gov/Archives/edgar/data/110019/000129993313001234/exhibit3.htm" TargetMode="External"/><Relationship Id="rId45" Type="http://schemas.openxmlformats.org/officeDocument/2006/relationships/hyperlink" Target="https://www.sec.gov/Archives/edgar/data/110019/000129993313001234/exhibit1.htm" TargetMode="External"/><Relationship Id="rId46" Type="http://schemas.openxmlformats.org/officeDocument/2006/relationships/hyperlink" Target="https://www.sec.gov/Archives/edgar/data/110019/000129993313001234/exhibit3.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29207</Words>
  <Characters>165331</Characters>
  <CharactersWithSpaces>192013</CharactersWithSpaces>
  <Paragraphs>4493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