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41068dfwp.htm"/>
      <w:bookmarkStart w:id="1" w:name="ksd41068dfwp"/>
      <w:bookmarkEnd w:id="0"/>
      <w:bookmarkEnd w:id="1"/>
      <w:r>
        <w:rPr>
          <w:rFonts w:ascii="Times New Roman" w:hAnsi="Times New Roman"/>
          <w:b/>
          <w:sz w:val="20"/>
        </w:rPr>
        <w:t xml:space="preserve">Filed Pursuant to Rule 433 under the Securities Act of 1933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333-277232 </w:t>
      </w:r>
    </w:p>
    <w:p>
      <w:pPr>
        <w:pStyle w:val="TextBody"/>
        <w:bidi w:val="0"/>
        <w:spacing w:before="0" w:after="0"/>
        <w:jc w:val="right"/>
        <w:rPr>
          <w:rFonts w:ascii="Times New Roman" w:hAnsi="Times New Roman"/>
          <w:b/>
          <w:sz w:val="20"/>
        </w:rPr>
      </w:pPr>
      <w:r>
        <w:rPr>
          <w:rFonts w:ascii="Times New Roman" w:hAnsi="Times New Roman"/>
          <w:b/>
          <w:sz w:val="20"/>
        </w:rPr>
        <w:t xml:space="preserve">Issuer Free Writing Prospectus, dated September 8, 2026 </w:t>
      </w:r>
    </w:p>
    <w:p>
      <w:pPr>
        <w:pStyle w:val="TextBody"/>
        <w:bidi w:val="0"/>
        <w:spacing w:before="240" w:after="0"/>
        <w:jc w:val="center"/>
        <w:rPr>
          <w:rFonts w:ascii="Times New Roman" w:hAnsi="Times New Roman"/>
          <w:b/>
          <w:sz w:val="20"/>
        </w:rPr>
      </w:pPr>
      <w:r>
        <w:rPr>
          <w:rFonts w:ascii="Times New Roman" w:hAnsi="Times New Roman"/>
          <w:b/>
          <w:sz w:val="20"/>
        </w:rPr>
        <w:t xml:space="preserve">$500,000,000 5.000% Senior Notes Due 2029 </w:t>
      </w:r>
    </w:p>
    <w:p>
      <w:pPr>
        <w:pStyle w:val="TextBody"/>
        <w:bidi w:val="0"/>
        <w:spacing w:before="0" w:after="0"/>
        <w:jc w:val="center"/>
        <w:rPr>
          <w:rFonts w:ascii="Times New Roman" w:hAnsi="Times New Roman"/>
          <w:b/>
          <w:sz w:val="20"/>
        </w:rPr>
      </w:pPr>
      <w:r>
        <w:rPr>
          <w:rFonts w:ascii="Times New Roman" w:hAnsi="Times New Roman"/>
          <w:b/>
          <w:sz w:val="20"/>
        </w:rPr>
        <w:t xml:space="preserve">$1,000,000,000 5.600% Senior Notes Due 2033 </w:t>
      </w:r>
    </w:p>
    <w:p>
      <w:pPr>
        <w:pStyle w:val="TextBody"/>
        <w:bidi w:val="0"/>
        <w:spacing w:before="0" w:after="0"/>
        <w:jc w:val="center"/>
        <w:rPr>
          <w:rFonts w:ascii="Times New Roman" w:hAnsi="Times New Roman"/>
          <w:b/>
          <w:sz w:val="20"/>
        </w:rPr>
      </w:pPr>
      <w:r>
        <w:rPr>
          <w:rFonts w:ascii="Times New Roman" w:hAnsi="Times New Roman"/>
          <w:b/>
          <w:sz w:val="20"/>
        </w:rPr>
        <w:t xml:space="preserve">$750,000,000 5.800% Senior Notes Due 2036 </w:t>
      </w:r>
    </w:p>
    <w:p>
      <w:pPr>
        <w:pStyle w:val="TextBody"/>
        <w:bidi w:val="0"/>
        <w:spacing w:before="0" w:after="0"/>
        <w:jc w:val="center"/>
        <w:rPr>
          <w:rFonts w:ascii="Times New Roman" w:hAnsi="Times New Roman"/>
          <w:b/>
          <w:sz w:val="20"/>
        </w:rPr>
      </w:pPr>
      <w:r>
        <w:rPr>
          <w:rFonts w:ascii="Times New Roman" w:hAnsi="Times New Roman"/>
          <w:b/>
          <w:sz w:val="20"/>
        </w:rPr>
        <w:t xml:space="preserve">$500,000,000 6.400% Senior Notes Due 2056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240" w:after="0"/>
        <w:jc w:val="center"/>
        <w:rPr>
          <w:rFonts w:ascii="Times New Roman" w:hAnsi="Times New Roman"/>
          <w:b/>
          <w:sz w:val="20"/>
        </w:rPr>
      </w:pPr>
      <w:r>
        <w:rPr>
          <w:rFonts w:ascii="Times New Roman" w:hAnsi="Times New Roman"/>
          <w:b/>
          <w:sz w:val="20"/>
        </w:rPr>
        <w:t xml:space="preserve">Dated: September 8,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1"/>
        <w:gridCol w:w="123"/>
        <w:gridCol w:w="6481"/>
      </w:tblGrid>
      <w:tr>
        <w:trPr/>
        <w:tc>
          <w:tcPr>
            <w:tcW w:w="360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481" w:type="dxa"/>
            <w:tcBorders/>
            <w:vAlign w:val="center"/>
          </w:tcPr>
          <w:p>
            <w:pPr>
              <w:pStyle w:val="TableContents"/>
              <w:bidi w:val="0"/>
              <w:spacing w:before="0" w:after="283"/>
              <w:jc w:val="left"/>
              <w:rPr>
                <w:sz w:val="4"/>
                <w:szCs w:val="4"/>
              </w:rPr>
            </w:pPr>
            <w:r>
              <w:rPr>
                <w:sz w:val="4"/>
                <w:szCs w:val="4"/>
              </w:rPr>
            </w:r>
          </w:p>
        </w:tc>
      </w:tr>
      <w:tr>
        <w:trPr/>
        <w:tc>
          <w:tcPr>
            <w:tcW w:w="3601" w:type="dxa"/>
            <w:tcBorders/>
          </w:tcPr>
          <w:p>
            <w:pPr>
              <w:pStyle w:val="TableContents"/>
              <w:bidi w:val="0"/>
              <w:spacing w:before="0" w:after="283"/>
              <w:jc w:val="left"/>
              <w:rPr/>
            </w:pPr>
            <w:r>
              <w:rPr/>
              <w:t>Issuer:</w:t>
            </w:r>
          </w:p>
        </w:tc>
        <w:tc>
          <w:tcPr>
            <w:tcW w:w="123" w:type="dxa"/>
            <w:tcBorders/>
            <w:vAlign w:val="bottom"/>
          </w:tcPr>
          <w:p>
            <w:pPr>
              <w:pStyle w:val="TableContents"/>
              <w:bidi w:val="0"/>
              <w:spacing w:before="0" w:after="283"/>
              <w:jc w:val="left"/>
              <w:rPr/>
            </w:pPr>
            <w:r>
              <w:rPr/>
              <w:t>  </w:t>
            </w:r>
          </w:p>
        </w:tc>
        <w:tc>
          <w:tcPr>
            <w:tcW w:w="6481" w:type="dxa"/>
            <w:tcBorders/>
          </w:tcPr>
          <w:p>
            <w:pPr>
              <w:pStyle w:val="TableContents"/>
              <w:bidi w:val="0"/>
              <w:spacing w:before="0" w:after="283"/>
              <w:jc w:val="left"/>
              <w:rPr/>
            </w:pPr>
            <w:r>
              <w:rPr/>
              <w:t>The Williams Companies, Inc.</w:t>
            </w:r>
          </w:p>
        </w:tc>
      </w:tr>
      <w:tr>
        <w:trPr>
          <w:trHeight w:val="120" w:hRule="atLeast"/>
        </w:trPr>
        <w:tc>
          <w:tcPr>
            <w:tcW w:w="3601" w:type="dxa"/>
            <w:tcBorders/>
            <w:vAlign w:val="center"/>
          </w:tcPr>
          <w:p>
            <w:pPr>
              <w:pStyle w:val="TableContents"/>
              <w:bidi w:val="0"/>
              <w:spacing w:before="0" w:after="283"/>
              <w:jc w:val="left"/>
              <w:rPr>
                <w:sz w:val="4"/>
                <w:szCs w:val="4"/>
              </w:rPr>
            </w:pPr>
            <w:r>
              <w:rPr>
                <w:sz w:val="4"/>
                <w:szCs w:val="4"/>
              </w:rPr>
            </w:r>
          </w:p>
        </w:tc>
        <w:tc>
          <w:tcPr>
            <w:tcW w:w="6604" w:type="dxa"/>
            <w:gridSpan w:val="2"/>
            <w:tcBorders/>
            <w:vAlign w:val="center"/>
          </w:tcPr>
          <w:p>
            <w:pPr>
              <w:pStyle w:val="TableContents"/>
              <w:bidi w:val="0"/>
              <w:spacing w:before="0" w:after="283"/>
              <w:jc w:val="left"/>
              <w:rPr>
                <w:sz w:val="4"/>
                <w:szCs w:val="4"/>
              </w:rPr>
            </w:pPr>
            <w:r>
              <w:rPr>
                <w:sz w:val="4"/>
                <w:szCs w:val="4"/>
              </w:rPr>
            </w:r>
          </w:p>
        </w:tc>
      </w:tr>
      <w:tr>
        <w:trPr/>
        <w:tc>
          <w:tcPr>
            <w:tcW w:w="3601" w:type="dxa"/>
            <w:tcBorders/>
          </w:tcPr>
          <w:p>
            <w:pPr>
              <w:pStyle w:val="TableContents"/>
              <w:bidi w:val="0"/>
              <w:spacing w:before="0" w:after="283"/>
              <w:jc w:val="left"/>
              <w:rPr/>
            </w:pPr>
            <w:r>
              <w:rPr/>
              <w:t>Expected Ratings (Moody’s / S&amp;P / Fitch)*:</w:t>
            </w:r>
          </w:p>
        </w:tc>
        <w:tc>
          <w:tcPr>
            <w:tcW w:w="123" w:type="dxa"/>
            <w:tcBorders/>
            <w:vAlign w:val="bottom"/>
          </w:tcPr>
          <w:p>
            <w:pPr>
              <w:pStyle w:val="TableContents"/>
              <w:bidi w:val="0"/>
              <w:spacing w:before="0" w:after="283"/>
              <w:jc w:val="left"/>
              <w:rPr/>
            </w:pPr>
            <w:r>
              <w:rPr/>
              <w:t>  </w:t>
            </w:r>
          </w:p>
        </w:tc>
        <w:tc>
          <w:tcPr>
            <w:tcW w:w="6481" w:type="dxa"/>
            <w:tcBorders/>
          </w:tcPr>
          <w:p>
            <w:pPr>
              <w:pStyle w:val="TableContents"/>
              <w:bidi w:val="0"/>
              <w:spacing w:before="0" w:after="283"/>
              <w:jc w:val="left"/>
              <w:rPr/>
            </w:pPr>
            <w:r>
              <w:rPr/>
              <w:t>Baa2 / BBB+ / BBB</w:t>
            </w:r>
          </w:p>
        </w:tc>
      </w:tr>
      <w:tr>
        <w:trPr>
          <w:trHeight w:val="120" w:hRule="atLeast"/>
        </w:trPr>
        <w:tc>
          <w:tcPr>
            <w:tcW w:w="3601" w:type="dxa"/>
            <w:tcBorders/>
            <w:vAlign w:val="center"/>
          </w:tcPr>
          <w:p>
            <w:pPr>
              <w:pStyle w:val="TableContents"/>
              <w:bidi w:val="0"/>
              <w:spacing w:before="0" w:after="283"/>
              <w:jc w:val="left"/>
              <w:rPr>
                <w:sz w:val="4"/>
                <w:szCs w:val="4"/>
              </w:rPr>
            </w:pPr>
            <w:r>
              <w:rPr>
                <w:sz w:val="4"/>
                <w:szCs w:val="4"/>
              </w:rPr>
            </w:r>
          </w:p>
        </w:tc>
        <w:tc>
          <w:tcPr>
            <w:tcW w:w="6604" w:type="dxa"/>
            <w:gridSpan w:val="2"/>
            <w:tcBorders/>
            <w:vAlign w:val="center"/>
          </w:tcPr>
          <w:p>
            <w:pPr>
              <w:pStyle w:val="TableContents"/>
              <w:bidi w:val="0"/>
              <w:spacing w:before="0" w:after="283"/>
              <w:jc w:val="left"/>
              <w:rPr>
                <w:sz w:val="4"/>
                <w:szCs w:val="4"/>
              </w:rPr>
            </w:pPr>
            <w:r>
              <w:rPr>
                <w:sz w:val="4"/>
                <w:szCs w:val="4"/>
              </w:rPr>
            </w:r>
          </w:p>
        </w:tc>
      </w:tr>
      <w:tr>
        <w:trPr/>
        <w:tc>
          <w:tcPr>
            <w:tcW w:w="3601" w:type="dxa"/>
            <w:tcBorders/>
          </w:tcPr>
          <w:p>
            <w:pPr>
              <w:pStyle w:val="TableContents"/>
              <w:bidi w:val="0"/>
              <w:spacing w:before="0" w:after="283"/>
              <w:jc w:val="left"/>
              <w:rPr/>
            </w:pPr>
            <w:r>
              <w:rPr/>
              <w:t>Pricing Date:</w:t>
            </w:r>
          </w:p>
        </w:tc>
        <w:tc>
          <w:tcPr>
            <w:tcW w:w="123" w:type="dxa"/>
            <w:tcBorders/>
            <w:vAlign w:val="bottom"/>
          </w:tcPr>
          <w:p>
            <w:pPr>
              <w:pStyle w:val="TableContents"/>
              <w:bidi w:val="0"/>
              <w:spacing w:before="0" w:after="283"/>
              <w:jc w:val="left"/>
              <w:rPr/>
            </w:pPr>
            <w:r>
              <w:rPr/>
              <w:t>  </w:t>
            </w:r>
          </w:p>
        </w:tc>
        <w:tc>
          <w:tcPr>
            <w:tcW w:w="6481" w:type="dxa"/>
            <w:tcBorders/>
          </w:tcPr>
          <w:p>
            <w:pPr>
              <w:pStyle w:val="TableContents"/>
              <w:bidi w:val="0"/>
              <w:spacing w:before="0" w:after="283"/>
              <w:jc w:val="left"/>
              <w:rPr/>
            </w:pPr>
            <w:r>
              <w:rPr/>
              <w:t>September 8, 2026</w:t>
            </w:r>
          </w:p>
        </w:tc>
      </w:tr>
      <w:tr>
        <w:trPr>
          <w:trHeight w:val="120" w:hRule="atLeast"/>
        </w:trPr>
        <w:tc>
          <w:tcPr>
            <w:tcW w:w="3601" w:type="dxa"/>
            <w:tcBorders/>
            <w:vAlign w:val="center"/>
          </w:tcPr>
          <w:p>
            <w:pPr>
              <w:pStyle w:val="TableContents"/>
              <w:bidi w:val="0"/>
              <w:spacing w:before="0" w:after="283"/>
              <w:jc w:val="left"/>
              <w:rPr>
                <w:sz w:val="4"/>
                <w:szCs w:val="4"/>
              </w:rPr>
            </w:pPr>
            <w:r>
              <w:rPr>
                <w:sz w:val="4"/>
                <w:szCs w:val="4"/>
              </w:rPr>
            </w:r>
          </w:p>
        </w:tc>
        <w:tc>
          <w:tcPr>
            <w:tcW w:w="6604" w:type="dxa"/>
            <w:gridSpan w:val="2"/>
            <w:tcBorders/>
            <w:vAlign w:val="center"/>
          </w:tcPr>
          <w:p>
            <w:pPr>
              <w:pStyle w:val="TableContents"/>
              <w:bidi w:val="0"/>
              <w:spacing w:before="0" w:after="283"/>
              <w:jc w:val="left"/>
              <w:rPr>
                <w:sz w:val="4"/>
                <w:szCs w:val="4"/>
              </w:rPr>
            </w:pPr>
            <w:r>
              <w:rPr>
                <w:sz w:val="4"/>
                <w:szCs w:val="4"/>
              </w:rPr>
            </w:r>
          </w:p>
        </w:tc>
      </w:tr>
      <w:tr>
        <w:trPr/>
        <w:tc>
          <w:tcPr>
            <w:tcW w:w="3601" w:type="dxa"/>
            <w:tcBorders/>
          </w:tcPr>
          <w:p>
            <w:pPr>
              <w:pStyle w:val="TableContents"/>
              <w:bidi w:val="0"/>
              <w:spacing w:before="0" w:after="283"/>
              <w:jc w:val="left"/>
              <w:rPr/>
            </w:pPr>
            <w:r>
              <w:rPr/>
              <w:t>Settlement Date:</w:t>
            </w:r>
          </w:p>
        </w:tc>
        <w:tc>
          <w:tcPr>
            <w:tcW w:w="123" w:type="dxa"/>
            <w:tcBorders/>
            <w:vAlign w:val="bottom"/>
          </w:tcPr>
          <w:p>
            <w:pPr>
              <w:pStyle w:val="TableContents"/>
              <w:bidi w:val="0"/>
              <w:spacing w:before="0" w:after="283"/>
              <w:jc w:val="left"/>
              <w:rPr/>
            </w:pPr>
            <w:r>
              <w:rPr/>
              <w:t>  </w:t>
            </w:r>
          </w:p>
        </w:tc>
        <w:tc>
          <w:tcPr>
            <w:tcW w:w="6481" w:type="dxa"/>
            <w:tcBorders/>
          </w:tcPr>
          <w:p>
            <w:pPr>
              <w:pStyle w:val="TableContents"/>
              <w:bidi w:val="0"/>
              <w:spacing w:before="0" w:after="283"/>
              <w:jc w:val="left"/>
              <w:rPr/>
            </w:pPr>
            <w:r>
              <w:rPr/>
              <w:t>September 10, 2026 (T + 2)</w:t>
            </w:r>
          </w:p>
        </w:tc>
      </w:tr>
      <w:tr>
        <w:trPr>
          <w:trHeight w:val="120" w:hRule="atLeast"/>
        </w:trPr>
        <w:tc>
          <w:tcPr>
            <w:tcW w:w="3601" w:type="dxa"/>
            <w:tcBorders/>
            <w:vAlign w:val="center"/>
          </w:tcPr>
          <w:p>
            <w:pPr>
              <w:pStyle w:val="TableContents"/>
              <w:bidi w:val="0"/>
              <w:spacing w:before="0" w:after="283"/>
              <w:jc w:val="left"/>
              <w:rPr>
                <w:sz w:val="4"/>
                <w:szCs w:val="4"/>
              </w:rPr>
            </w:pPr>
            <w:r>
              <w:rPr>
                <w:sz w:val="4"/>
                <w:szCs w:val="4"/>
              </w:rPr>
            </w:r>
          </w:p>
        </w:tc>
        <w:tc>
          <w:tcPr>
            <w:tcW w:w="6604" w:type="dxa"/>
            <w:gridSpan w:val="2"/>
            <w:tcBorders/>
            <w:vAlign w:val="center"/>
          </w:tcPr>
          <w:p>
            <w:pPr>
              <w:pStyle w:val="TableContents"/>
              <w:bidi w:val="0"/>
              <w:spacing w:before="0" w:after="283"/>
              <w:jc w:val="left"/>
              <w:rPr>
                <w:sz w:val="4"/>
                <w:szCs w:val="4"/>
              </w:rPr>
            </w:pPr>
            <w:r>
              <w:rPr>
                <w:sz w:val="4"/>
                <w:szCs w:val="4"/>
              </w:rPr>
            </w:r>
          </w:p>
        </w:tc>
      </w:tr>
      <w:tr>
        <w:trPr/>
        <w:tc>
          <w:tcPr>
            <w:tcW w:w="3601" w:type="dxa"/>
            <w:tcBorders/>
          </w:tcPr>
          <w:p>
            <w:pPr>
              <w:pStyle w:val="TableContents"/>
              <w:bidi w:val="0"/>
              <w:spacing w:before="0" w:after="283"/>
              <w:jc w:val="left"/>
              <w:rPr/>
            </w:pPr>
            <w:r>
              <w:rPr/>
              <w:t>Use of Proceeds:</w:t>
            </w:r>
          </w:p>
        </w:tc>
        <w:tc>
          <w:tcPr>
            <w:tcW w:w="123" w:type="dxa"/>
            <w:tcBorders/>
            <w:vAlign w:val="bottom"/>
          </w:tcPr>
          <w:p>
            <w:pPr>
              <w:pStyle w:val="TableContents"/>
              <w:bidi w:val="0"/>
              <w:spacing w:before="0" w:after="283"/>
              <w:jc w:val="left"/>
              <w:rPr/>
            </w:pPr>
            <w:r>
              <w:rPr/>
              <w:t>  </w:t>
            </w:r>
          </w:p>
        </w:tc>
        <w:tc>
          <w:tcPr>
            <w:tcW w:w="6481" w:type="dxa"/>
            <w:tcBorders/>
          </w:tcPr>
          <w:p>
            <w:pPr>
              <w:pStyle w:val="TableContents"/>
              <w:bidi w:val="0"/>
              <w:spacing w:before="0" w:after="283"/>
              <w:jc w:val="left"/>
              <w:rPr/>
            </w:pPr>
            <w:r>
              <w:rPr/>
              <w:t>We intend to use the net proceeds of this offering to repay outstanding commercial paper and for other general corporate purposes, including funding capital expenditures. As of September 4, 2026, we had approximately $910 million of commercial paper outstanding with a weighted average annual interest rate of 3.8802% and a weighted average maturity of 6.14 days.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2"/>
        <w:gridCol w:w="1940"/>
        <w:gridCol w:w="101"/>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b/>
              </w:rPr>
            </w:pPr>
            <w:r>
              <w:rPr>
                <w:b/>
              </w:rPr>
              <w:t>Notes due 2029</w:t>
            </w:r>
          </w:p>
        </w:tc>
        <w:tc>
          <w:tcPr>
            <w:tcW w:w="101"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center"/>
              <w:rPr>
                <w:b/>
              </w:rPr>
            </w:pPr>
            <w:r>
              <w:rPr>
                <w:b/>
              </w:rPr>
              <w:t>Notes due 2033</w:t>
            </w:r>
          </w:p>
        </w:tc>
        <w:tc>
          <w:tcPr>
            <w:tcW w:w="102"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center"/>
              <w:rPr>
                <w:b/>
              </w:rPr>
            </w:pPr>
            <w:r>
              <w:rPr>
                <w:b/>
              </w:rPr>
              <w:t>Notes due 2036</w:t>
            </w:r>
          </w:p>
        </w:tc>
        <w:tc>
          <w:tcPr>
            <w:tcW w:w="102" w:type="dxa"/>
            <w:tcBorders/>
            <w:vAlign w:val="bottom"/>
          </w:tcPr>
          <w:p>
            <w:pPr>
              <w:pStyle w:val="TableContents"/>
              <w:bidi w:val="0"/>
              <w:spacing w:before="0" w:after="283"/>
              <w:jc w:val="left"/>
              <w:rPr/>
            </w:pPr>
            <w:r>
              <w:rPr/>
              <w:t> </w:t>
            </w:r>
          </w:p>
        </w:tc>
        <w:tc>
          <w:tcPr>
            <w:tcW w:w="1940" w:type="dxa"/>
            <w:tcBorders/>
            <w:vAlign w:val="bottom"/>
          </w:tcPr>
          <w:p>
            <w:pPr>
              <w:pStyle w:val="TableContents"/>
              <w:bidi w:val="0"/>
              <w:spacing w:before="0" w:after="283"/>
              <w:jc w:val="center"/>
              <w:rPr>
                <w:b/>
              </w:rPr>
            </w:pPr>
            <w:r>
              <w:rPr>
                <w:b/>
              </w:rPr>
              <w:t>Notes due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Security Type:</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5.000% Senior Notes Due 2029</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5.600% Senior Notes Due 2033</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5.800% Senior Notes Due 2036</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6.400% Senior Notes Due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Maturity Date:</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October 15, 2029</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September 15, 2033</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September 15, 2036</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September 15,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Interest Payment Dates:</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April 15 and October 15, commencing April 15, 2027</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March 15 and September 15, commencing March 15, 2027</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March 15 and September 15, commencing March 15, 2027</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March 15 and September 15, commencing March 15, 2027</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Principal Amount:</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$500,000,000</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$1,000,000,000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$750,000,000</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$500,000,000</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Benchmark Treasury:</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4.250% due August 15, 2029</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4.500% due August 31, 2033</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4.625% due August 15, 2036</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5.000% due May 15,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Benchmark Treasury Price:</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99-12 5⁄8</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98-30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98-19</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96-01</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Benchmark Treasury Yield:</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4.472%</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4.680%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4.804%</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5.265%</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Spread to Benchmark Treasury:</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55 bps</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92 bps</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102 bps</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115 bps</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Re-Offer Yield:</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5.022%</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5.600%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5.824%</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6.415%</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Coupon:</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5.000%</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5.600%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5.800%</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6.400%</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Public Offering Price:</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99.931% of the principal amount</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99.999% of the principal amount</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99.819% of the principal amount</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99.800% of the principal amount</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Make-Whole Call:</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T+10 bps (prior to September 15, 2029)</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T+15 bps (prior to July 15, 2033)</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T+20 bps (prior to June 15, 2036)</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T+20 bps (prior to March 15,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Par Call:</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On or after September 15, 2029</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On or after July 15, 2033</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left"/>
              <w:rPr/>
            </w:pPr>
            <w:r>
              <w:rPr/>
              <w:t>On or after June 15, 2036</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283"/>
              <w:jc w:val="left"/>
              <w:rPr/>
            </w:pPr>
            <w:r>
              <w:rPr/>
              <w:t>On or after March 15, 2056</w:t>
            </w:r>
          </w:p>
        </w:tc>
      </w:tr>
      <w:tr>
        <w:trPr>
          <w:trHeight w:val="120" w:hRule="atLeast"/>
        </w:trPr>
        <w:tc>
          <w:tcPr>
            <w:tcW w:w="1836" w:type="dxa"/>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2" w:type="dxa"/>
            <w:gridSpan w:val="2"/>
            <w:tcBorders/>
            <w:vAlign w:val="center"/>
          </w:tcPr>
          <w:p>
            <w:pPr>
              <w:pStyle w:val="TableContents"/>
              <w:bidi w:val="0"/>
              <w:spacing w:before="0" w:after="283"/>
              <w:jc w:val="left"/>
              <w:rPr>
                <w:sz w:val="4"/>
                <w:szCs w:val="4"/>
              </w:rPr>
            </w:pPr>
            <w:r>
              <w:rPr>
                <w:sz w:val="4"/>
                <w:szCs w:val="4"/>
              </w:rPr>
            </w:r>
          </w:p>
        </w:tc>
      </w:tr>
      <w:tr>
        <w:trPr/>
        <w:tc>
          <w:tcPr>
            <w:tcW w:w="1836" w:type="dxa"/>
            <w:tcBorders/>
          </w:tcPr>
          <w:p>
            <w:pPr>
              <w:pStyle w:val="TableContents"/>
              <w:bidi w:val="0"/>
              <w:spacing w:before="0" w:after="283"/>
              <w:jc w:val="left"/>
              <w:rPr/>
            </w:pPr>
            <w:r>
              <w:rPr/>
              <w:t>CUSIP / ISIN:</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0"/>
              <w:jc w:val="left"/>
              <w:rPr>
                <w:rFonts w:ascii="Times New Roman" w:hAnsi="Times New Roman"/>
                <w:sz w:val="20"/>
              </w:rPr>
            </w:pPr>
            <w:r>
              <w:rPr>
                <w:rFonts w:ascii="Times New Roman" w:hAnsi="Times New Roman"/>
                <w:sz w:val="20"/>
              </w:rPr>
              <w:t>969457 DA5</w:t>
            </w:r>
          </w:p>
          <w:p>
            <w:pPr>
              <w:pStyle w:val="TableContents"/>
              <w:bidi w:val="0"/>
              <w:spacing w:before="0" w:after="20"/>
              <w:jc w:val="left"/>
              <w:rPr>
                <w:rFonts w:ascii="Times New Roman" w:hAnsi="Times New Roman"/>
                <w:sz w:val="20"/>
              </w:rPr>
            </w:pPr>
            <w:r>
              <w:rPr>
                <w:rFonts w:ascii="Times New Roman" w:hAnsi="Times New Roman"/>
                <w:sz w:val="20"/>
              </w:rPr>
              <w:t>US969457DA58</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0"/>
              <w:jc w:val="left"/>
              <w:rPr>
                <w:rFonts w:ascii="Times New Roman" w:hAnsi="Times New Roman"/>
                <w:sz w:val="20"/>
              </w:rPr>
            </w:pPr>
            <w:r>
              <w:rPr>
                <w:rFonts w:ascii="Times New Roman" w:hAnsi="Times New Roman"/>
                <w:sz w:val="20"/>
              </w:rPr>
              <w:t>969457 CX6</w:t>
            </w:r>
          </w:p>
          <w:p>
            <w:pPr>
              <w:pStyle w:val="TableContents"/>
              <w:bidi w:val="0"/>
              <w:spacing w:before="0" w:after="20"/>
              <w:jc w:val="left"/>
              <w:rPr>
                <w:rFonts w:ascii="Times New Roman" w:hAnsi="Times New Roman"/>
                <w:sz w:val="20"/>
              </w:rPr>
            </w:pPr>
            <w:r>
              <w:rPr>
                <w:rFonts w:ascii="Times New Roman" w:hAnsi="Times New Roman"/>
                <w:sz w:val="20"/>
              </w:rPr>
              <w:t>US969457CX60</w:t>
            </w:r>
          </w:p>
        </w:tc>
        <w:tc>
          <w:tcPr>
            <w:tcW w:w="102"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0"/>
              <w:jc w:val="left"/>
              <w:rPr>
                <w:rFonts w:ascii="Times New Roman" w:hAnsi="Times New Roman"/>
                <w:sz w:val="20"/>
              </w:rPr>
            </w:pPr>
            <w:r>
              <w:rPr>
                <w:rFonts w:ascii="Times New Roman" w:hAnsi="Times New Roman"/>
                <w:sz w:val="20"/>
              </w:rPr>
              <w:t>969457 CY4</w:t>
            </w:r>
          </w:p>
          <w:p>
            <w:pPr>
              <w:pStyle w:val="TableContents"/>
              <w:bidi w:val="0"/>
              <w:spacing w:before="0" w:after="20"/>
              <w:jc w:val="left"/>
              <w:rPr>
                <w:rFonts w:ascii="Times New Roman" w:hAnsi="Times New Roman"/>
                <w:sz w:val="20"/>
              </w:rPr>
            </w:pPr>
            <w:r>
              <w:rPr>
                <w:rFonts w:ascii="Times New Roman" w:hAnsi="Times New Roman"/>
                <w:sz w:val="20"/>
              </w:rPr>
              <w:t>US969457CY44</w:t>
            </w:r>
          </w:p>
        </w:tc>
        <w:tc>
          <w:tcPr>
            <w:tcW w:w="102" w:type="dxa"/>
            <w:tcBorders/>
            <w:vAlign w:val="bottom"/>
          </w:tcPr>
          <w:p>
            <w:pPr>
              <w:pStyle w:val="TableContents"/>
              <w:bidi w:val="0"/>
              <w:spacing w:before="0" w:after="283"/>
              <w:jc w:val="left"/>
              <w:rPr/>
            </w:pPr>
            <w:r>
              <w:rPr/>
              <w:t> </w:t>
            </w:r>
          </w:p>
        </w:tc>
        <w:tc>
          <w:tcPr>
            <w:tcW w:w="1940" w:type="dxa"/>
            <w:tcBorders/>
          </w:tcPr>
          <w:p>
            <w:pPr>
              <w:pStyle w:val="TableContents"/>
              <w:bidi w:val="0"/>
              <w:spacing w:before="0" w:after="0"/>
              <w:jc w:val="left"/>
              <w:rPr>
                <w:rFonts w:ascii="Times New Roman" w:hAnsi="Times New Roman"/>
                <w:sz w:val="20"/>
              </w:rPr>
            </w:pPr>
            <w:r>
              <w:rPr>
                <w:rFonts w:ascii="Times New Roman" w:hAnsi="Times New Roman"/>
                <w:sz w:val="20"/>
              </w:rPr>
              <w:t>969457 CZ1</w:t>
            </w:r>
          </w:p>
          <w:p>
            <w:pPr>
              <w:pStyle w:val="TableContents"/>
              <w:bidi w:val="0"/>
              <w:spacing w:before="0" w:after="20"/>
              <w:jc w:val="left"/>
              <w:rPr>
                <w:rFonts w:ascii="Times New Roman" w:hAnsi="Times New Roman"/>
                <w:sz w:val="20"/>
              </w:rPr>
            </w:pPr>
            <w:r>
              <w:rPr>
                <w:rFonts w:ascii="Times New Roman" w:hAnsi="Times New Roman"/>
                <w:sz w:val="20"/>
              </w:rPr>
              <w:t>US969457CZ19</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681"/>
        <w:gridCol w:w="122"/>
        <w:gridCol w:w="6402"/>
      </w:tblGrid>
      <w:tr>
        <w:trPr/>
        <w:tc>
          <w:tcPr>
            <w:tcW w:w="368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02" w:type="dxa"/>
            <w:tcBorders/>
            <w:vAlign w:val="center"/>
          </w:tcPr>
          <w:p>
            <w:pPr>
              <w:pStyle w:val="TableContents"/>
              <w:bidi w:val="0"/>
              <w:spacing w:before="0" w:after="283"/>
              <w:jc w:val="left"/>
              <w:rPr>
                <w:sz w:val="4"/>
                <w:szCs w:val="4"/>
              </w:rPr>
            </w:pPr>
            <w:r>
              <w:rPr>
                <w:sz w:val="4"/>
                <w:szCs w:val="4"/>
              </w:rPr>
            </w:r>
          </w:p>
        </w:tc>
      </w:tr>
      <w:tr>
        <w:trPr/>
        <w:tc>
          <w:tcPr>
            <w:tcW w:w="3681" w:type="dxa"/>
            <w:tcBorders/>
          </w:tcPr>
          <w:p>
            <w:pPr>
              <w:pStyle w:val="TableContents"/>
              <w:bidi w:val="0"/>
              <w:spacing w:before="0" w:after="283"/>
              <w:jc w:val="left"/>
              <w:rPr/>
            </w:pPr>
            <w:r>
              <w:rPr/>
              <w:t>Joint Book-Running Managers:</w:t>
            </w:r>
          </w:p>
        </w:tc>
        <w:tc>
          <w:tcPr>
            <w:tcW w:w="122" w:type="dxa"/>
            <w:tcBorders/>
            <w:vAlign w:val="bottom"/>
          </w:tcPr>
          <w:p>
            <w:pPr>
              <w:pStyle w:val="TableContents"/>
              <w:bidi w:val="0"/>
              <w:spacing w:before="0" w:after="283"/>
              <w:jc w:val="left"/>
              <w:rPr/>
            </w:pPr>
            <w:r>
              <w:rPr/>
              <w:t>  </w:t>
            </w:r>
          </w:p>
        </w:tc>
        <w:tc>
          <w:tcPr>
            <w:tcW w:w="6402" w:type="dxa"/>
            <w:tcBorders/>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SMBC Nikko Securities America, Inc.</w:t>
            </w:r>
          </w:p>
        </w:tc>
      </w:tr>
      <w:tr>
        <w:trPr>
          <w:trHeight w:val="120" w:hRule="atLeast"/>
        </w:trPr>
        <w:tc>
          <w:tcPr>
            <w:tcW w:w="3681" w:type="dxa"/>
            <w:tcBorders/>
            <w:vAlign w:val="center"/>
          </w:tcPr>
          <w:p>
            <w:pPr>
              <w:pStyle w:val="TableContents"/>
              <w:bidi w:val="0"/>
              <w:spacing w:before="0" w:after="283"/>
              <w:jc w:val="left"/>
              <w:rPr>
                <w:sz w:val="4"/>
                <w:szCs w:val="4"/>
              </w:rPr>
            </w:pPr>
            <w:r>
              <w:rPr>
                <w:sz w:val="4"/>
                <w:szCs w:val="4"/>
              </w:rPr>
            </w:r>
          </w:p>
        </w:tc>
        <w:tc>
          <w:tcPr>
            <w:tcW w:w="6524" w:type="dxa"/>
            <w:gridSpan w:val="2"/>
            <w:tcBorders/>
            <w:vAlign w:val="center"/>
          </w:tcPr>
          <w:p>
            <w:pPr>
              <w:pStyle w:val="TableContents"/>
              <w:bidi w:val="0"/>
              <w:spacing w:before="0" w:after="283"/>
              <w:jc w:val="left"/>
              <w:rPr>
                <w:sz w:val="4"/>
                <w:szCs w:val="4"/>
              </w:rPr>
            </w:pPr>
            <w:r>
              <w:rPr>
                <w:sz w:val="4"/>
                <w:szCs w:val="4"/>
              </w:rPr>
            </w:r>
          </w:p>
        </w:tc>
      </w:tr>
      <w:tr>
        <w:trPr/>
        <w:tc>
          <w:tcPr>
            <w:tcW w:w="3681" w:type="dxa"/>
            <w:tcBorders/>
          </w:tcPr>
          <w:p>
            <w:pPr>
              <w:pStyle w:val="TableContents"/>
              <w:bidi w:val="0"/>
              <w:spacing w:before="0" w:after="283"/>
              <w:jc w:val="left"/>
              <w:rPr/>
            </w:pPr>
            <w:r>
              <w:rPr/>
              <w:t>Passive Book-Running Managers:</w:t>
            </w:r>
          </w:p>
        </w:tc>
        <w:tc>
          <w:tcPr>
            <w:tcW w:w="122" w:type="dxa"/>
            <w:tcBorders/>
            <w:vAlign w:val="bottom"/>
          </w:tcPr>
          <w:p>
            <w:pPr>
              <w:pStyle w:val="TableContents"/>
              <w:bidi w:val="0"/>
              <w:spacing w:before="0" w:after="283"/>
              <w:jc w:val="left"/>
              <w:rPr/>
            </w:pPr>
            <w:r>
              <w:rPr/>
              <w:t>  </w:t>
            </w:r>
          </w:p>
        </w:tc>
        <w:tc>
          <w:tcPr>
            <w:tcW w:w="6402"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0"/>
              <w:jc w:val="left"/>
              <w:rPr>
                <w:rFonts w:ascii="Times New Roman" w:hAnsi="Times New Roman"/>
                <w:sz w:val="20"/>
              </w:rPr>
            </w:pPr>
            <w:r>
              <w:rPr>
                <w:rFonts w:ascii="Times New Roman" w:hAnsi="Times New Roman"/>
                <w:sz w:val="20"/>
              </w:rPr>
              <w:t>U.S. Bancorp Investments, Inc.</w:t>
            </w:r>
          </w:p>
          <w:p>
            <w:pPr>
              <w:pStyle w:val="TableContents"/>
              <w:bidi w:val="0"/>
              <w:spacing w:before="0" w:after="20"/>
              <w:jc w:val="left"/>
              <w:rPr>
                <w:rFonts w:ascii="Times New Roman" w:hAnsi="Times New Roman"/>
                <w:sz w:val="20"/>
              </w:rPr>
            </w:pPr>
            <w:r>
              <w:rPr>
                <w:rFonts w:ascii="Times New Roman" w:hAnsi="Times New Roman"/>
                <w:sz w:val="20"/>
              </w:rPr>
              <w:t>Wells Fargo Securities, LLC</w:t>
            </w:r>
          </w:p>
        </w:tc>
      </w:tr>
      <w:tr>
        <w:trPr>
          <w:trHeight w:val="120" w:hRule="atLeast"/>
        </w:trPr>
        <w:tc>
          <w:tcPr>
            <w:tcW w:w="3681" w:type="dxa"/>
            <w:tcBorders/>
            <w:vAlign w:val="center"/>
          </w:tcPr>
          <w:p>
            <w:pPr>
              <w:pStyle w:val="TableContents"/>
              <w:bidi w:val="0"/>
              <w:spacing w:before="0" w:after="283"/>
              <w:jc w:val="left"/>
              <w:rPr>
                <w:sz w:val="4"/>
                <w:szCs w:val="4"/>
              </w:rPr>
            </w:pPr>
            <w:r>
              <w:rPr>
                <w:sz w:val="4"/>
                <w:szCs w:val="4"/>
              </w:rPr>
            </w:r>
          </w:p>
        </w:tc>
        <w:tc>
          <w:tcPr>
            <w:tcW w:w="6524" w:type="dxa"/>
            <w:gridSpan w:val="2"/>
            <w:tcBorders/>
            <w:vAlign w:val="center"/>
          </w:tcPr>
          <w:p>
            <w:pPr>
              <w:pStyle w:val="TableContents"/>
              <w:bidi w:val="0"/>
              <w:spacing w:before="0" w:after="283"/>
              <w:jc w:val="left"/>
              <w:rPr>
                <w:sz w:val="4"/>
                <w:szCs w:val="4"/>
              </w:rPr>
            </w:pPr>
            <w:r>
              <w:rPr>
                <w:sz w:val="4"/>
                <w:szCs w:val="4"/>
              </w:rPr>
            </w:r>
          </w:p>
        </w:tc>
      </w:tr>
      <w:tr>
        <w:trPr/>
        <w:tc>
          <w:tcPr>
            <w:tcW w:w="3681" w:type="dxa"/>
            <w:tcBorders/>
          </w:tcPr>
          <w:p>
            <w:pPr>
              <w:pStyle w:val="TableContents"/>
              <w:bidi w:val="0"/>
              <w:spacing w:before="0" w:after="283"/>
              <w:jc w:val="left"/>
              <w:rPr/>
            </w:pPr>
            <w:r>
              <w:rPr/>
              <w:t>Co-Managers:</w:t>
            </w:r>
          </w:p>
        </w:tc>
        <w:tc>
          <w:tcPr>
            <w:tcW w:w="122" w:type="dxa"/>
            <w:tcBorders/>
            <w:vAlign w:val="bottom"/>
          </w:tcPr>
          <w:p>
            <w:pPr>
              <w:pStyle w:val="TableContents"/>
              <w:bidi w:val="0"/>
              <w:spacing w:before="0" w:after="283"/>
              <w:jc w:val="left"/>
              <w:rPr/>
            </w:pPr>
            <w:r>
              <w:rPr/>
              <w:t>  </w:t>
            </w:r>
          </w:p>
        </w:tc>
        <w:tc>
          <w:tcPr>
            <w:tcW w:w="6402"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BOK Financial Securities, Inc.</w:t>
            </w:r>
          </w:p>
          <w:p>
            <w:pPr>
              <w:pStyle w:val="TableContents"/>
              <w:bidi w:val="0"/>
              <w:spacing w:before="0" w:after="0"/>
              <w:jc w:val="left"/>
              <w:rPr>
                <w:rFonts w:ascii="Times New Roman" w:hAnsi="Times New Roman"/>
                <w:sz w:val="20"/>
              </w:rPr>
            </w:pPr>
            <w:r>
              <w:rPr>
                <w:rFonts w:ascii="Times New Roman" w:hAnsi="Times New Roman"/>
                <w:sz w:val="20"/>
              </w:rPr>
              <w:t>CIBC World Markets Corp.</w:t>
            </w:r>
          </w:p>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p>
            <w:pPr>
              <w:pStyle w:val="TableContents"/>
              <w:bidi w:val="0"/>
              <w:spacing w:before="0" w:after="0"/>
              <w:jc w:val="left"/>
              <w:rPr>
                <w:rFonts w:ascii="Times New Roman" w:hAnsi="Times New Roman"/>
                <w:sz w:val="20"/>
              </w:rPr>
            </w:pPr>
            <w:r>
              <w:rPr>
                <w:rFonts w:ascii="Times New Roman" w:hAnsi="Times New Roman"/>
                <w:sz w:val="20"/>
              </w:rPr>
              <w:t>J.P. Morgan Securities LLC</w:t>
            </w:r>
          </w:p>
          <w:p>
            <w:pPr>
              <w:pStyle w:val="TableContents"/>
              <w:bidi w:val="0"/>
              <w:spacing w:before="0" w:after="0"/>
              <w:jc w:val="left"/>
              <w:rPr>
                <w:rFonts w:ascii="Times New Roman" w:hAnsi="Times New Roman"/>
                <w:sz w:val="20"/>
              </w:rPr>
            </w:pPr>
            <w:r>
              <w:rPr>
                <w:rFonts w:ascii="Times New Roman" w:hAnsi="Times New Roman"/>
                <w:sz w:val="20"/>
              </w:rPr>
              <w:t>MUFG Securities Americas Inc.</w:t>
            </w:r>
          </w:p>
          <w:p>
            <w:pPr>
              <w:pStyle w:val="TableContents"/>
              <w:bidi w:val="0"/>
              <w:spacing w:before="0" w:after="0"/>
              <w:jc w:val="left"/>
              <w:rPr>
                <w:rFonts w:ascii="Times New Roman" w:hAnsi="Times New Roman"/>
                <w:sz w:val="20"/>
              </w:rPr>
            </w:pPr>
            <w:r>
              <w:rPr>
                <w:rFonts w:ascii="Times New Roman" w:hAnsi="Times New Roman"/>
                <w:sz w:val="20"/>
              </w:rPr>
              <w:t>Scotia Capital (USA)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Tuohy Brothers Investment Research, Inc.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Note: A securities rating is not a recommendation to buy, sell or hold securities and may be subject to revision or withdrawal at any time.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It is expected that delivery of the notes in this offering will be made against payment therefor by purchasers in this offering on or about September 10, 2026, which is the second business day following the pricing date of the notes (such settlement cycle being referred to as T+2). Under Rule 15c6-1 under the Exchange Act, trades in the secondary market generally are required to settle in one business day, unless the parties to any such trade expressly agree otherwise. Accordingly, purchasers who wish to trade the notes prior to the business day before the settlement date will be required, by virtue of the fact that the notes initially will settle in T+2, to specify an alternative settlement cycle at the time of any such trade to prevent a failed settlement. Purchasers of the notes who wish to trade the notes prior to the business day before the settlement date should consult their own advisors. </w:t>
      </w:r>
    </w:p>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preliminary prospectus supplement and a prospectus) and a prospectus supplement with the U.S. Securities and Exchange Commission (SEC) for the offering to which this communication relates; terms used in this term sheet, but otherwise not defined, shall have the meanings assigned to them in the related prospectus supplement and prospectus.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searching the SEC online data base (EDGAR) on the SEC web site at http://www.sec.gov. Alternatively, the issuer, any underwriter or any dealer participating in the offering will arrange to send you the prospectus supplement and prospectus if you request it by calling Citigroup Global Markets Inc., toll free, at 1-800-831-9146; Mizuho Securities USA LLC, toll free, at 1-866-271-7403; Morgan Stanley &amp; Co. LLC, toll free, at 1-866-718-1649; and SMBC Nikko Securities America, Inc., toll free, at 1-888-868-6856.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842</Words>
  <Characters>4466</Characters>
  <CharactersWithSpaces>5277</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