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276860</wp:posOffset>
            </wp:positionH>
            <wp:positionV relativeFrom="page">
              <wp:posOffset>732155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688975</wp:posOffset>
            </wp:positionV>
            <wp:extent cx="699516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1714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 Securities Exchange Act of 1934</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October 1, 2025 (September 30, 2025)</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1"/>
          <w:szCs w:val="41"/>
          <w:b w:val="1"/>
          <w:bCs w:val="1"/>
          <w:color w:val="auto"/>
        </w:rPr>
        <w:t>The Williams Companies, Inc.</w:t>
      </w:r>
    </w:p>
    <w:p>
      <w:pPr>
        <w:spacing w:after="0" w:line="75" w:lineRule="exact"/>
        <w:rPr>
          <w:sz w:val="24"/>
          <w:szCs w:val="24"/>
          <w:color w:val="auto"/>
        </w:rPr>
      </w:pPr>
    </w:p>
    <w:tbl>
      <w:tblPr>
        <w:tblLayout w:type="fixed"/>
        <w:tblInd w:w="1280" w:type="dxa"/>
        <w:tblCellMar>
          <w:top w:w="0" w:type="dxa"/>
          <w:left w:w="0" w:type="dxa"/>
          <w:bottom w:w="0" w:type="dxa"/>
          <w:right w:w="0" w:type="dxa"/>
        </w:tblCellMar>
      </w:tblPr>
      <w:tr>
        <w:trPr>
          <w:trHeight w:val="233"/>
        </w:trPr>
        <w:tc>
          <w:tcPr>
            <w:tcW w:w="2420" w:type="dxa"/>
            <w:vAlign w:val="bottom"/>
          </w:tcPr>
          <w:p>
            <w:pPr>
              <w:spacing w:after="0"/>
              <w:rPr>
                <w:sz w:val="20"/>
                <w:szCs w:val="20"/>
                <w:color w:val="auto"/>
              </w:rPr>
            </w:pPr>
          </w:p>
        </w:tc>
        <w:tc>
          <w:tcPr>
            <w:tcW w:w="4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2320" w:type="dxa"/>
            <w:vAlign w:val="bottom"/>
          </w:tcPr>
          <w:p>
            <w:pPr>
              <w:spacing w:after="0"/>
              <w:rPr>
                <w:sz w:val="20"/>
                <w:szCs w:val="20"/>
                <w:color w:val="auto"/>
              </w:rPr>
            </w:pPr>
          </w:p>
        </w:tc>
      </w:tr>
      <w:tr>
        <w:trPr>
          <w:trHeight w:val="238"/>
        </w:trPr>
        <w:tc>
          <w:tcPr>
            <w:tcW w:w="242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040" w:type="dxa"/>
            <w:vAlign w:val="bottom"/>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7"/>
              </w:rPr>
              <w:t>1-4174</w:t>
            </w:r>
          </w:p>
        </w:tc>
        <w:tc>
          <w:tcPr>
            <w:tcW w:w="2320" w:type="dxa"/>
            <w:vAlign w:val="bottom"/>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8"/>
              </w:rPr>
              <w:t>73-0569878</w:t>
            </w:r>
          </w:p>
        </w:tc>
      </w:tr>
      <w:tr>
        <w:trPr>
          <w:trHeight w:val="225"/>
        </w:trPr>
        <w:tc>
          <w:tcPr>
            <w:tcW w:w="24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404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rPr>
              <w:t>(Commission</w:t>
            </w:r>
          </w:p>
        </w:tc>
        <w:tc>
          <w:tcPr>
            <w:tcW w:w="232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4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incorporation)</w:t>
            </w:r>
          </w:p>
        </w:tc>
        <w:tc>
          <w:tcPr>
            <w:tcW w:w="404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rPr>
              <w:t>File Number)</w:t>
            </w:r>
          </w:p>
        </w:tc>
        <w:tc>
          <w:tcPr>
            <w:tcW w:w="232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92"/>
        </w:trPr>
        <w:tc>
          <w:tcPr>
            <w:tcW w:w="2420" w:type="dxa"/>
            <w:vAlign w:val="bottom"/>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One Williams Center</w:t>
            </w:r>
          </w:p>
        </w:tc>
        <w:tc>
          <w:tcPr>
            <w:tcW w:w="40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92"/>
        </w:trPr>
        <w:tc>
          <w:tcPr>
            <w:tcW w:w="242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Tulsa, Oklahoma</w:t>
            </w:r>
          </w:p>
        </w:tc>
        <w:tc>
          <w:tcPr>
            <w:tcW w:w="4040" w:type="dxa"/>
            <w:vAlign w:val="bottom"/>
          </w:tcPr>
          <w:p>
            <w:pPr>
              <w:spacing w:after="0"/>
              <w:rPr>
                <w:sz w:val="24"/>
                <w:szCs w:val="24"/>
                <w:color w:val="auto"/>
              </w:rPr>
            </w:pPr>
          </w:p>
        </w:tc>
        <w:tc>
          <w:tcPr>
            <w:tcW w:w="232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74172-0172</w:t>
            </w:r>
          </w:p>
        </w:tc>
      </w:tr>
      <w:tr>
        <w:trPr>
          <w:trHeight w:val="234"/>
        </w:trPr>
        <w:tc>
          <w:tcPr>
            <w:tcW w:w="6460" w:type="dxa"/>
            <w:vAlign w:val="bottom"/>
            <w:gridSpan w:val="2"/>
          </w:tcPr>
          <w:p>
            <w:pPr>
              <w:jc w:val="center"/>
              <w:ind w:right="33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32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86"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800-945-5426 (800-WILLIAMS)</w:t>
      </w:r>
    </w:p>
    <w:p>
      <w:pPr>
        <w:spacing w:after="0" w:line="3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 APPLICABLE</w:t>
      </w:r>
    </w:p>
    <w:p>
      <w:pPr>
        <w:spacing w:after="0" w:line="28"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394" w:lineRule="exact"/>
        <w:rPr>
          <w:sz w:val="24"/>
          <w:szCs w:val="24"/>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83" w:lineRule="exact"/>
        <w:rPr>
          <w:sz w:val="24"/>
          <w:szCs w:val="24"/>
          <w:color w:val="auto"/>
        </w:rPr>
      </w:pPr>
    </w:p>
    <w:tbl>
      <w:tblPr>
        <w:tblLayout w:type="fixed"/>
        <w:tblInd w:w="130" w:type="dxa"/>
        <w:tblCellMar>
          <w:top w:w="0" w:type="dxa"/>
          <w:left w:w="0" w:type="dxa"/>
          <w:bottom w:w="0" w:type="dxa"/>
          <w:right w:w="0" w:type="dxa"/>
        </w:tblCellMar>
      </w:tblPr>
      <w:tr>
        <w:trPr>
          <w:trHeight w:val="243"/>
        </w:trPr>
        <w:tc>
          <w:tcPr>
            <w:tcW w:w="37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9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4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3"/>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$1.00 par value</w:t>
            </w:r>
          </w:p>
        </w:tc>
        <w:tc>
          <w:tcPr>
            <w:tcW w:w="2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WMB</w:t>
            </w:r>
          </w:p>
        </w:tc>
        <w:tc>
          <w:tcPr>
            <w:tcW w:w="4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130" w:lineRule="exact"/>
        <w:rPr>
          <w:sz w:val="24"/>
          <w:szCs w:val="24"/>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6" w:lineRule="exact"/>
        <w:rPr>
          <w:sz w:val="24"/>
          <w:szCs w:val="24"/>
          <w:color w:val="auto"/>
        </w:rPr>
      </w:pPr>
    </w:p>
    <w:p>
      <w:pPr>
        <w:ind w:left="320"/>
        <w:spacing w:after="0" w:line="207" w:lineRule="exact"/>
        <w:tabs>
          <w:tab w:leader="none" w:pos="33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58" w:lineRule="exact"/>
        <w:rPr>
          <w:sz w:val="24"/>
          <w:szCs w:val="24"/>
          <w:color w:val="auto"/>
        </w:rPr>
      </w:pPr>
    </w:p>
    <w:p>
      <w:pPr>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673100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25400</wp:posOffset>
            </wp:positionV>
            <wp:extent cx="708088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088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70808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0885" cy="8890"/>
                    </a:xfrm>
                    <a:prstGeom prst="rect">
                      <a:avLst/>
                    </a:prstGeom>
                    <a:noFill/>
                  </pic:spPr>
                </pic:pic>
              </a:graphicData>
            </a:graphic>
          </wp:anchor>
        </w:drawing>
      </w:r>
    </w:p>
    <w:p>
      <w:pPr>
        <w:sectPr>
          <w:pgSz w:w="11900" w:h="16838" w:orient="portrait"/>
          <w:cols w:equalWidth="0" w:num="1">
            <w:col w:w="11240"/>
          </w:cols>
          <w:pgMar w:left="320" w:top="123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43"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8"/>
          <w:szCs w:val="18"/>
          <w:color w:val="auto"/>
        </w:rPr>
        <w:t>Effective September 30, 2025, The Williams Companies, Inc. (the “Company”) has agreed to invest approximately $3.1 billion in two additional power innovation projects to continue to deliver speed-to-market solutions in grid-constrained markets. The projects are anticipated to be completed in the first half of 2027, assuming timely receipt of permits. The projects are backed by 10-year, primarily fixed-price power purchase agreements with an unnamed large, investment-grade counterparty with an option for the customer to extend. The Company’s build multiple for the projects is approximately 5x EBITDA.</w:t>
      </w:r>
    </w:p>
    <w:p>
      <w:pPr>
        <w:spacing w:after="0" w:line="212"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8"/>
          <w:szCs w:val="18"/>
          <w:color w:val="auto"/>
        </w:rPr>
        <w:t>As a result of these agreements, total power innovation projects committed capital now stands at approximately $5 billion. The Company is raising its 2025 growth capex by $875 million to a new total of between $3.45 billion and $3.75 billion, which is expected to raise its leverage ratio midpoint for 2025 to 3.7x.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544195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p>
      <w:pPr>
        <w:ind w:left="680" w:hanging="389"/>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52" w:lineRule="exact"/>
        <w:rPr>
          <w:rFonts w:ascii="Times New Roman" w:cs="Times New Roman" w:eastAsia="Times New Roman" w:hAnsi="Times New Roman"/>
          <w:sz w:val="18"/>
          <w:szCs w:val="18"/>
          <w:color w:val="auto"/>
        </w:rPr>
      </w:pPr>
    </w:p>
    <w:p>
      <w:pPr>
        <w:ind w:left="680" w:hanging="389"/>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52" w:lineRule="exact"/>
        <w:rPr>
          <w:rFonts w:ascii="Times New Roman" w:cs="Times New Roman" w:eastAsia="Times New Roman" w:hAnsi="Times New Roman"/>
          <w:sz w:val="18"/>
          <w:szCs w:val="18"/>
          <w:color w:val="auto"/>
        </w:rPr>
      </w:pPr>
    </w:p>
    <w:p>
      <w:pPr>
        <w:ind w:left="680" w:hanging="389"/>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52" w:lineRule="exact"/>
        <w:rPr>
          <w:rFonts w:ascii="Times New Roman" w:cs="Times New Roman" w:eastAsia="Times New Roman" w:hAnsi="Times New Roman"/>
          <w:sz w:val="18"/>
          <w:szCs w:val="18"/>
          <w:color w:val="auto"/>
        </w:rPr>
      </w:pPr>
    </w:p>
    <w:p>
      <w:pPr>
        <w:ind w:left="680" w:hanging="389"/>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46" w:lineRule="exact"/>
        <w:rPr>
          <w:sz w:val="20"/>
          <w:szCs w:val="20"/>
          <w:color w:val="auto"/>
        </w:rPr>
      </w:pPr>
    </w:p>
    <w:p>
      <w:pPr>
        <w:ind w:left="240"/>
        <w:spacing w:after="0"/>
        <w:tabs>
          <w:tab w:leader="none" w:pos="468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19685</wp:posOffset>
            </wp:positionV>
            <wp:extent cx="71151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15" w:lineRule="exact"/>
        <w:rPr>
          <w:sz w:val="20"/>
          <w:szCs w:val="20"/>
          <w:color w:val="auto"/>
        </w:rPr>
      </w:pPr>
    </w:p>
    <w:p>
      <w:pPr>
        <w:ind w:left="1500" w:right="40" w:hanging="952"/>
        <w:spacing w:after="0"/>
        <w:tabs>
          <w:tab w:leader="none" w:pos="1500" w:val="left"/>
        </w:tabs>
        <w:numPr>
          <w:ilvl w:val="0"/>
          <w:numId w:val="3"/>
        </w:numPr>
        <w:rPr>
          <w:rFonts w:ascii="Times New Roman" w:cs="Times New Roman" w:eastAsia="Times New Roman" w:hAnsi="Times New Roman"/>
          <w:sz w:val="34"/>
          <w:szCs w:val="34"/>
          <w:color w:val="auto"/>
          <w:vertAlign w:val="superscript"/>
        </w:rPr>
      </w:pPr>
      <w:r>
        <w:rPr>
          <w:rFonts w:ascii="Times New Roman" w:cs="Times New Roman" w:eastAsia="Times New Roman" w:hAnsi="Times New Roman"/>
          <w:sz w:val="17"/>
          <w:szCs w:val="17"/>
          <w:color w:val="auto"/>
        </w:rPr>
        <w:t>Cover Page Interactive Data File. The cover page XBRL tags are embedded within the inline XBRL document (contained in Exhibit 101).</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91" w:lineRule="exact"/>
        <w:rPr>
          <w:sz w:val="20"/>
          <w:szCs w:val="20"/>
          <w:color w:val="auto"/>
        </w:rPr>
      </w:pPr>
    </w:p>
    <w:p>
      <w:pPr>
        <w:ind w:firstLine="202"/>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4"/>
          <w:szCs w:val="14"/>
          <w:color w:val="auto"/>
        </w:rPr>
        <w:t>HE</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4"/>
          <w:szCs w:val="14"/>
          <w:color w:val="auto"/>
        </w:rPr>
        <w:t>ILLIAMS</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OMPANIES</w:t>
      </w:r>
      <w:r>
        <w:rPr>
          <w:rFonts w:ascii="Times New Roman" w:cs="Times New Roman" w:eastAsia="Times New Roman" w:hAnsi="Times New Roman"/>
          <w:sz w:val="18"/>
          <w:szCs w:val="18"/>
          <w:color w:val="auto"/>
        </w:rPr>
        <w:t>, I</w:t>
      </w:r>
      <w:r>
        <w:rPr>
          <w:rFonts w:ascii="Times New Roman" w:cs="Times New Roman" w:eastAsia="Times New Roman" w:hAnsi="Times New Roman"/>
          <w:sz w:val="14"/>
          <w:szCs w:val="14"/>
          <w:color w:val="auto"/>
        </w:rPr>
        <w:t>NC.</w:t>
      </w:r>
    </w:p>
    <w:p>
      <w:pPr>
        <w:spacing w:after="0" w:line="36"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(Registrant)</w:t>
      </w:r>
    </w:p>
    <w:p>
      <w:pPr>
        <w:spacing w:after="0" w:line="77" w:lineRule="exact"/>
        <w:rPr>
          <w:sz w:val="20"/>
          <w:szCs w:val="20"/>
          <w:color w:val="auto"/>
        </w:rPr>
      </w:pPr>
    </w:p>
    <w:p>
      <w:pPr>
        <w:ind w:left="20"/>
        <w:spacing w:after="0"/>
        <w:tabs>
          <w:tab w:leader="none" w:pos="720" w:val="left"/>
          <w:tab w:leader="none" w:pos="4580" w:val="left"/>
          <w:tab w:leader="none" w:pos="5040" w:val="left"/>
        </w:tabs>
        <w:rPr>
          <w:sz w:val="20"/>
          <w:szCs w:val="20"/>
          <w:color w:val="auto"/>
        </w:rPr>
      </w:pPr>
      <w:r>
        <w:rPr>
          <w:rFonts w:ascii="Times New Roman" w:cs="Times New Roman" w:eastAsia="Times New Roman" w:hAnsi="Times New Roman"/>
          <w:sz w:val="18"/>
          <w:szCs w:val="18"/>
          <w:color w:val="auto"/>
        </w:rPr>
        <w:t>Dated:</w:t>
        <w:tab/>
        <w:t>October 1,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w:t>
      </w:r>
      <w:r>
        <w:rPr>
          <w:rFonts w:ascii="Times New Roman" w:cs="Times New Roman" w:eastAsia="Times New Roman" w:hAnsi="Times New Roman"/>
          <w:sz w:val="13"/>
          <w:szCs w:val="13"/>
          <w:color w:val="auto"/>
        </w:rPr>
        <w:t>OBERT</w:t>
      </w:r>
      <w:r>
        <w:rPr>
          <w:rFonts w:ascii="Times New Roman" w:cs="Times New Roman" w:eastAsia="Times New Roman" w:hAnsi="Times New Roman"/>
          <w:sz w:val="17"/>
          <w:szCs w:val="17"/>
          <w:color w:val="auto"/>
        </w:rPr>
        <w:t xml:space="preserve"> E. R</w:t>
      </w:r>
      <w:r>
        <w:rPr>
          <w:rFonts w:ascii="Times New Roman" w:cs="Times New Roman" w:eastAsia="Times New Roman" w:hAnsi="Times New Roman"/>
          <w:sz w:val="13"/>
          <w:szCs w:val="13"/>
          <w:color w:val="auto"/>
        </w:rPr>
        <w:t>ILEY,</w:t>
      </w:r>
      <w:r>
        <w:rPr>
          <w:rFonts w:ascii="Times New Roman" w:cs="Times New Roman" w:eastAsia="Times New Roman" w:hAnsi="Times New Roman"/>
          <w:sz w:val="17"/>
          <w:szCs w:val="17"/>
          <w:color w:val="auto"/>
        </w:rPr>
        <w:t xml:space="preserve"> J</w:t>
      </w:r>
      <w:r>
        <w:rPr>
          <w:rFonts w:ascii="Times New Roman" w:cs="Times New Roman" w:eastAsia="Times New Roman" w:hAnsi="Times New Roman"/>
          <w:sz w:val="13"/>
          <w:szCs w:val="13"/>
          <w:color w:val="auto"/>
        </w:rPr>
        <w:t>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26035</wp:posOffset>
            </wp:positionV>
            <wp:extent cx="39344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934460" cy="8255"/>
                    </a:xfrm>
                    <a:prstGeom prst="rect">
                      <a:avLst/>
                    </a:prstGeom>
                    <a:noFill/>
                  </pic:spPr>
                </pic:pic>
              </a:graphicData>
            </a:graphic>
          </wp:anchor>
        </w:drawing>
      </w:r>
    </w:p>
    <w:p>
      <w:pPr>
        <w:spacing w:after="0" w:line="30"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Robert E. Riley, Jr.</w:t>
      </w:r>
    </w:p>
    <w:p>
      <w:pPr>
        <w:spacing w:after="0" w:line="1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Vice President and Assistant General Counsel - Corporate Secretary</w:t>
      </w:r>
    </w:p>
    <w:p>
      <w:pPr>
        <w:ind w:left="5060"/>
        <w:spacing w:after="0"/>
        <w:rPr>
          <w:sz w:val="20"/>
          <w:szCs w:val="20"/>
          <w:color w:val="auto"/>
        </w:rPr>
      </w:pPr>
      <w:r>
        <w:rPr>
          <w:rFonts w:ascii="Times New Roman" w:cs="Times New Roman" w:eastAsia="Times New Roman" w:hAnsi="Times New Roman"/>
          <w:sz w:val="18"/>
          <w:szCs w:val="18"/>
          <w:color w:val="auto"/>
        </w:rPr>
        <w:t>and Corporate Strategic Development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10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2025-10-01T15:48:18Z</dcterms:created>
  <dcterms:modified xsi:type="dcterms:W3CDTF">2025-10-01T15:48:18Z</dcterms:modified>
</cp:coreProperties>
</file>