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21, 2026 (August 17,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 xml:space="preserve">The Williams Companies,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337" w:type="dxa"/>
        <w:jc w:val="center"/>
        <w:tblInd w:w="0" w:type="dxa"/>
        <w:tblLayout w:type="fixed"/>
        <w:tblCellMar>
          <w:top w:w="28" w:type="dxa"/>
          <w:left w:w="28" w:type="dxa"/>
          <w:bottom w:w="28" w:type="dxa"/>
          <w:right w:w="28" w:type="dxa"/>
        </w:tblCellMar>
      </w:tblPr>
      <w:tblGrid>
        <w:gridCol w:w="889"/>
        <w:gridCol w:w="781"/>
        <w:gridCol w:w="789"/>
        <w:gridCol w:w="408"/>
        <w:gridCol w:w="408"/>
        <w:gridCol w:w="413"/>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1-4174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73-0569878</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tbl>
      <w:tblPr>
        <w:tblW w:w="4453" w:type="dxa"/>
        <w:jc w:val="center"/>
        <w:tblInd w:w="0" w:type="dxa"/>
        <w:tblLayout w:type="fixed"/>
        <w:tblCellMar>
          <w:top w:w="28" w:type="dxa"/>
          <w:left w:w="28" w:type="dxa"/>
          <w:bottom w:w="28" w:type="dxa"/>
          <w:right w:w="28" w:type="dxa"/>
        </w:tblCellMar>
      </w:tblPr>
      <w:tblGrid>
        <w:gridCol w:w="1193"/>
        <w:gridCol w:w="1051"/>
        <w:gridCol w:w="1055"/>
        <w:gridCol w:w="337"/>
        <w:gridCol w:w="337"/>
        <w:gridCol w:w="480"/>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Williams Center</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Tulsa, Oklahoma</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74172-0172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 w:after="283"/>
        <w:ind w:left="0" w:right="0" w:firstLine="27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918) 573-2000</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0"/>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ind w:left="0" w:right="0" w:firstLine="270"/>
        <w:jc w:val="center"/>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161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WMB</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56" w:type="dxa"/>
        <w:jc w:val="left"/>
        <w:tblInd w:w="0" w:type="dxa"/>
        <w:tblLayout w:type="fixed"/>
        <w:tblCellMar>
          <w:top w:w="28" w:type="dxa"/>
          <w:left w:w="28" w:type="dxa"/>
          <w:bottom w:w="28" w:type="dxa"/>
          <w:right w:w="28" w:type="dxa"/>
        </w:tblCellMar>
      </w:tblPr>
      <w:tblGrid>
        <w:gridCol w:w="862"/>
        <w:gridCol w:w="760"/>
        <w:gridCol w:w="762"/>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17, 2026, Michael A. Creel notified The Williams Companies, Inc. (the “Company”) that he will not stand for reelection to the Board of Directors (the “Board”) at the Company's 2027 Annual Meeting of Stockholders (the “Annual Meeting”) and, therefore, will retire from the Board upon the expiration of his current term. Mr. Creel’s decision not to stand for reelection to the Board is not the result of any disagreement with the Company on any matter relating to the Company’s operations, policies, or practices.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39"/>
        <w:gridCol w:w="297"/>
        <w:gridCol w:w="299"/>
        <w:gridCol w:w="109"/>
        <w:gridCol w:w="109"/>
        <w:gridCol w:w="109"/>
        <w:gridCol w:w="2619"/>
        <w:gridCol w:w="2619"/>
        <w:gridCol w:w="370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Description                                                                   </w:t>
            </w:r>
          </w:p>
        </w:tc>
      </w:tr>
      <w:tr>
        <w:trPr/>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(contained in Exhibit 101).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2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67"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1185"/>
        <w:gridCol w:w="1185"/>
        <w:gridCol w:w="167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WILLIAMS COMPANIES,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E. Riley,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E. Riley,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and Assistant General Counsel -- </w:t>
              <w:br/>
              <w:t>Corporate Secretary</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499</Words>
  <Characters>2756</Characters>
  <CharactersWithSpaces>3347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