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10651d424b5.htm"/>
        <w:bookmarkStart w:id="1" w:name="ksd110651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333-277232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September 8, 2026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February 21, 2024) </w:t>
      </w:r>
    </w:p>
    <w:p>
      <w:pPr>
        <w:pStyle w:val="TextBody"/>
        <w:bidi w:val="0"/>
        <w:spacing w:before="240" w:after="0"/>
        <w:jc w:val="center"/>
        <w:rPr>
          <w:rFonts w:ascii="Times New Roman" w:hAnsi="Times New Roman"/>
          <w:b/>
          <w:sz w:val="36"/>
        </w:rPr>
      </w:pPr>
      <w:r>
        <w:rPr>
          <w:rFonts w:ascii="Times New Roman" w:hAnsi="Times New Roman"/>
          <w:b/>
          <w:sz w:val="36"/>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1388745" cy="7283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8745" cy="7283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$   % Senior Notes due </w:t>
      </w:r>
    </w:p>
    <w:p>
      <w:pPr>
        <w:pStyle w:val="TextBody"/>
        <w:bidi w:val="0"/>
        <w:spacing w:before="0" w:after="0"/>
        <w:jc w:val="center"/>
        <w:rPr>
          <w:rFonts w:ascii="Times New Roman" w:hAnsi="Times New Roman"/>
          <w:b/>
          <w:sz w:val="28"/>
        </w:rPr>
      </w:pPr>
      <w:r>
        <w:rPr>
          <w:rFonts w:ascii="Times New Roman" w:hAnsi="Times New Roman"/>
          <w:b/>
          <w:sz w:val="28"/>
        </w:rPr>
        <w:t xml:space="preserve">$   % Senior Notes due </w:t>
      </w:r>
    </w:p>
    <w:p>
      <w:pPr>
        <w:pStyle w:val="TextBody"/>
        <w:bidi w:val="0"/>
        <w:spacing w:before="0" w:after="0"/>
        <w:jc w:val="center"/>
        <w:rPr>
          <w:rFonts w:ascii="Times New Roman" w:hAnsi="Times New Roman"/>
          <w:b/>
          <w:sz w:val="28"/>
        </w:rPr>
      </w:pPr>
      <w:r>
        <w:rPr>
          <w:rFonts w:ascii="Times New Roman" w:hAnsi="Times New Roman"/>
          <w:b/>
          <w:sz w:val="28"/>
        </w:rPr>
        <w:t xml:space="preserve">$   % Senior Notes due </w:t>
      </w:r>
    </w:p>
    <w:p>
      <w:pPr>
        <w:pStyle w:val="TextBody"/>
        <w:bidi w:val="0"/>
        <w:spacing w:before="0" w:after="0"/>
        <w:jc w:val="center"/>
        <w:rPr>
          <w:rFonts w:ascii="Times New Roman" w:hAnsi="Times New Roman"/>
          <w:b/>
          <w:sz w:val="28"/>
        </w:rPr>
      </w:pPr>
      <w:r>
        <w:rPr>
          <w:rFonts w:ascii="Times New Roman" w:hAnsi="Times New Roman"/>
          <w:b/>
          <w:sz w:val="28"/>
        </w:rPr>
        <w:t xml:space="preserve">$   % Senior Notes due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6"/>
        </w:rPr>
      </w:pPr>
      <w:r>
        <w:rPr>
          <w:rFonts w:ascii="Times New Roman" w:hAnsi="Times New Roman"/>
          <w:sz w:val="16"/>
        </w:rPr>
        <w:t xml:space="preserve">We are offering $    aggregate principal amount of our     % senior notes due     (the “    notes”), $    aggregate principal amount of our   % senior notes due     (the “    notes”), $    aggregate principal amount of our    % senior notes due     (the “    notes”) and $    aggregate principal amount of our  % senior notes due     (the “    notes” and, together with the     notes, the     notes and the     notes, the “notes”). The    notes will pay interest semi-annually in cash in arrears on    and    of each year, beginning on    , 2027. The    notes will pay interest semi-annually in cash in arrears on    and    of each year, beginning on    , 2027. The    notes will pay interest semi-annually in cash in arrears on    and    of each year, beginning on    , 2027. The    notes will pay interest semi-annually in cash in arrears on    and    of each year, beginning on    , 2027. At any time prior to    ,    , in the case of the     notes,    ,    , in the case of the    notes,    ,    , in the case of the    notes, and    ,    , in the case of the    notes, we may redeem some or all of the notes of the applicable series at the applicable “make-whole” price, plus accrued and unpaid interest, if any, to, but not including, the redemption date. At any time on or after    ,    , in the case of the    notes,   ,    , in the case of the    notes,    ,    , in the case of the    notes, and    ,    , in the case of the    notes, we may redeem some or all of the notes of the applicable series at a redemption price equal to 100% of the principal amount of the notes to be redeemed, plus accrued and unpaid interest, if any, to, but not including, the applicable redemption date. See “Description of the Notes — Optional Redemption.” </w:t>
      </w:r>
    </w:p>
    <w:p>
      <w:pPr>
        <w:pStyle w:val="TextBody"/>
        <w:bidi w:val="0"/>
        <w:spacing w:before="120" w:after="0"/>
        <w:jc w:val="left"/>
        <w:rPr>
          <w:rFonts w:ascii="Times New Roman" w:hAnsi="Times New Roman"/>
          <w:sz w:val="16"/>
        </w:rPr>
      </w:pPr>
      <w:r>
        <w:rPr>
          <w:rFonts w:ascii="Times New Roman" w:hAnsi="Times New Roman"/>
          <w:sz w:val="16"/>
        </w:rPr>
        <w:t xml:space="preserve">The notes will be our senior unsecured obligations and will rank equally in right of payment with all of our existing and future senior unsecured indebtedness. The notes will be effectively subordinated to all of our future secured indebtedness and will be structurally subordinated to all existing and future indebtedness and other obligations of our subsidiaries, including trade payables. The notes will rank senior to all of our future subordinated indebtedness.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20"/>
        </w:rPr>
        <w:t>Investing in our notes involves risks. Please read “</w:t>
      </w:r>
      <w:hyperlink w:anchor="supptoc110651_4">
        <w:r>
          <w:rPr>
            <w:rStyle w:val="InternetLink"/>
            <w:rFonts w:ascii="Times New Roman" w:hAnsi="Times New Roman"/>
            <w:b/>
            <w:sz w:val="20"/>
          </w:rPr>
          <w:t>Risk Factors</w:t>
        </w:r>
      </w:hyperlink>
      <w:r>
        <w:rPr>
          <w:rFonts w:ascii="Times New Roman" w:hAnsi="Times New Roman"/>
          <w:b/>
          <w:sz w:val="20"/>
        </w:rPr>
        <w:t xml:space="preserve">” beginning on page S-5 of this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6"/>
        </w:rPr>
      </w:pPr>
      <w:r>
        <w:rPr>
          <w:rFonts w:ascii="Times New Roman" w:hAnsi="Times New Roman"/>
          <w:b/>
          <w:sz w:val="16"/>
        </w:rPr>
        <w:t xml:space="preserve">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8"/>
        <w:gridCol w:w="62"/>
        <w:gridCol w:w="93"/>
        <w:gridCol w:w="782"/>
        <w:gridCol w:w="545"/>
        <w:gridCol w:w="62"/>
        <w:gridCol w:w="140"/>
        <w:gridCol w:w="560"/>
        <w:gridCol w:w="60"/>
        <w:gridCol w:w="62"/>
        <w:gridCol w:w="93"/>
        <w:gridCol w:w="782"/>
        <w:gridCol w:w="545"/>
        <w:gridCol w:w="62"/>
        <w:gridCol w:w="140"/>
        <w:gridCol w:w="559"/>
        <w:gridCol w:w="60"/>
        <w:gridCol w:w="62"/>
        <w:gridCol w:w="93"/>
        <w:gridCol w:w="782"/>
        <w:gridCol w:w="545"/>
        <w:gridCol w:w="62"/>
        <w:gridCol w:w="140"/>
        <w:gridCol w:w="560"/>
        <w:gridCol w:w="60"/>
        <w:gridCol w:w="62"/>
        <w:gridCol w:w="93"/>
        <w:gridCol w:w="782"/>
        <w:gridCol w:w="545"/>
        <w:gridCol w:w="62"/>
        <w:gridCol w:w="140"/>
        <w:gridCol w:w="560"/>
        <w:gridCol w:w="72"/>
      </w:tblGrid>
      <w:tr>
        <w:trPr/>
        <w:tc>
          <w:tcPr>
            <w:tcW w:w="978"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97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1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18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1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1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72" w:type="dxa"/>
            <w:tcBorders/>
            <w:vAlign w:val="bottom"/>
          </w:tcPr>
          <w:p>
            <w:pPr>
              <w:pStyle w:val="TableContents"/>
              <w:bidi w:val="0"/>
              <w:spacing w:before="0" w:after="283"/>
              <w:jc w:val="left"/>
              <w:rPr/>
            </w:pPr>
            <w:r>
              <w:rPr/>
              <w:t> </w:t>
            </w:r>
          </w:p>
        </w:tc>
      </w:tr>
      <w:tr>
        <w:trPr/>
        <w:tc>
          <w:tcPr>
            <w:tcW w:w="97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Per note </w:t>
            </w:r>
          </w:p>
        </w:tc>
        <w:tc>
          <w:tcPr>
            <w:tcW w:w="54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Total 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Per note </w:t>
            </w:r>
          </w:p>
        </w:tc>
        <w:tc>
          <w:tcPr>
            <w:tcW w:w="54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9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Total 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Per note </w:t>
            </w:r>
          </w:p>
        </w:tc>
        <w:tc>
          <w:tcPr>
            <w:tcW w:w="54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Total 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Per note </w:t>
            </w:r>
          </w:p>
        </w:tc>
        <w:tc>
          <w:tcPr>
            <w:tcW w:w="54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Total </w:t>
            </w:r>
          </w:p>
        </w:tc>
        <w:tc>
          <w:tcPr>
            <w:tcW w:w="72" w:type="dxa"/>
            <w:tcBorders/>
            <w:vAlign w:val="bottom"/>
          </w:tcPr>
          <w:p>
            <w:pPr>
              <w:pStyle w:val="TableContents"/>
              <w:bidi w:val="0"/>
              <w:spacing w:before="0" w:after="283"/>
              <w:jc w:val="left"/>
              <w:rPr/>
            </w:pPr>
            <w:r>
              <w:rPr/>
              <w:t> </w:t>
            </w:r>
          </w:p>
        </w:tc>
      </w:tr>
      <w:tr>
        <w:trPr/>
        <w:tc>
          <w:tcPr>
            <w:tcW w:w="978"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Public offering price</w:t>
            </w:r>
          </w:p>
        </w:tc>
        <w:tc>
          <w:tcPr>
            <w:tcW w:w="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545" w:type="dxa"/>
            <w:tcBorders/>
            <w:shd w:fill="CCEEFF" w:val="clear"/>
            <w:vAlign w:val="bottom"/>
          </w:tcPr>
          <w:p>
            <w:pPr>
              <w:pStyle w:val="TableContents"/>
              <w:bidi w:val="0"/>
              <w:spacing w:before="0" w:after="283"/>
              <w:jc w:val="left"/>
              <w:rPr/>
            </w:pPr>
            <w:r>
              <w:rPr/>
              <w:t>%(1) </w:t>
            </w:r>
          </w:p>
        </w:tc>
        <w:tc>
          <w:tcPr>
            <w:tcW w:w="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545" w:type="dxa"/>
            <w:tcBorders/>
            <w:shd w:fill="CCEEFF" w:val="clear"/>
            <w:vAlign w:val="bottom"/>
          </w:tcPr>
          <w:p>
            <w:pPr>
              <w:pStyle w:val="TableContents"/>
              <w:bidi w:val="0"/>
              <w:spacing w:before="0" w:after="283"/>
              <w:jc w:val="left"/>
              <w:rPr/>
            </w:pPr>
            <w:r>
              <w:rPr/>
              <w:t>%(2) </w:t>
            </w:r>
          </w:p>
        </w:tc>
        <w:tc>
          <w:tcPr>
            <w:tcW w:w="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545" w:type="dxa"/>
            <w:tcBorders/>
            <w:shd w:fill="CCEEFF" w:val="clear"/>
            <w:vAlign w:val="bottom"/>
          </w:tcPr>
          <w:p>
            <w:pPr>
              <w:pStyle w:val="TableContents"/>
              <w:bidi w:val="0"/>
              <w:spacing w:before="0" w:after="283"/>
              <w:jc w:val="left"/>
              <w:rPr/>
            </w:pPr>
            <w:r>
              <w:rPr/>
              <w:t>%(3) </w:t>
            </w:r>
          </w:p>
        </w:tc>
        <w:tc>
          <w:tcPr>
            <w:tcW w:w="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545" w:type="dxa"/>
            <w:tcBorders/>
            <w:shd w:fill="CCEEFF" w:val="clear"/>
            <w:vAlign w:val="bottom"/>
          </w:tcPr>
          <w:p>
            <w:pPr>
              <w:pStyle w:val="TableContents"/>
              <w:bidi w:val="0"/>
              <w:spacing w:before="0" w:after="283"/>
              <w:jc w:val="left"/>
              <w:rPr/>
            </w:pPr>
            <w:r>
              <w:rPr/>
              <w:t>%(4) </w:t>
            </w:r>
          </w:p>
        </w:tc>
        <w:tc>
          <w:tcPr>
            <w:tcW w:w="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r>
      <w:tr>
        <w:trPr/>
        <w:tc>
          <w:tcPr>
            <w:tcW w:w="978" w:type="dxa"/>
            <w:tcBorders/>
          </w:tcPr>
          <w:p>
            <w:pPr>
              <w:pStyle w:val="TableContents"/>
              <w:bidi w:val="0"/>
              <w:spacing w:before="0" w:after="0"/>
              <w:jc w:val="left"/>
              <w:rPr>
                <w:rFonts w:ascii="Times New Roman" w:hAnsi="Times New Roman"/>
                <w:sz w:val="17"/>
              </w:rPr>
            </w:pPr>
            <w:r>
              <w:rPr>
                <w:rFonts w:ascii="Times New Roman" w:hAnsi="Times New Roman"/>
                <w:sz w:val="17"/>
              </w:rPr>
              <w:t>Underwriting discounts</w:t>
            </w:r>
          </w:p>
        </w:tc>
        <w:tc>
          <w:tcPr>
            <w:tcW w:w="6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54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54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54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54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r>
      <w:tr>
        <w:trPr/>
        <w:tc>
          <w:tcPr>
            <w:tcW w:w="978"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Proceeds to The Williams Companies, Inc. (before expenses)</w:t>
            </w:r>
          </w:p>
        </w:tc>
        <w:tc>
          <w:tcPr>
            <w:tcW w:w="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54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54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54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54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from    , 2026, if settlement occurs after that date.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from    , 2026, if settlement occurs after that date.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from    , 2026, if settlement occurs after that date.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from    , 2026, if settlement occurs after that date. </w:t>
            </w:r>
          </w:p>
        </w:tc>
      </w:tr>
    </w:tbl>
    <w:p>
      <w:pPr>
        <w:pStyle w:val="TextBody"/>
        <w:bidi w:val="0"/>
        <w:spacing w:before="120" w:after="0"/>
        <w:jc w:val="left"/>
        <w:rPr>
          <w:rFonts w:ascii="Times New Roman" w:hAnsi="Times New Roman"/>
          <w:sz w:val="16"/>
        </w:rPr>
      </w:pPr>
      <w:r>
        <w:rPr>
          <w:rFonts w:ascii="Times New Roman" w:hAnsi="Times New Roman"/>
          <w:sz w:val="16"/>
        </w:rPr>
        <w:t xml:space="preserve">The underwriters expect to deliver the notes on or about    , 2026, through the book-entry facilities of The Depository Trust Company and its direct and indirect participants, including Euroclear Banking S.A./N.V., as operator of the Euroclear System, and Clearstream Banking, S.A.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64"/>
        <w:gridCol w:w="60"/>
        <w:gridCol w:w="2342"/>
        <w:gridCol w:w="104"/>
        <w:gridCol w:w="2665"/>
        <w:gridCol w:w="120"/>
        <w:gridCol w:w="2250"/>
      </w:tblGrid>
      <w:tr>
        <w:trPr/>
        <w:tc>
          <w:tcPr>
            <w:tcW w:w="2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r>
      <w:tr>
        <w:trPr/>
        <w:tc>
          <w:tcPr>
            <w:tcW w:w="2664" w:type="dxa"/>
            <w:tcBorders/>
          </w:tcPr>
          <w:p>
            <w:pPr>
              <w:pStyle w:val="TableContents"/>
              <w:bidi w:val="0"/>
              <w:spacing w:before="0" w:after="283"/>
              <w:jc w:val="left"/>
              <w:rPr>
                <w:b/>
              </w:rPr>
            </w:pPr>
            <w:r>
              <w:rPr>
                <w:b/>
              </w:rPr>
              <w:t>Citigroup</w:t>
            </w:r>
          </w:p>
        </w:tc>
        <w:tc>
          <w:tcPr>
            <w:tcW w:w="60" w:type="dxa"/>
            <w:tcBorders/>
            <w:vAlign w:val="bottom"/>
          </w:tcPr>
          <w:p>
            <w:pPr>
              <w:pStyle w:val="TableContents"/>
              <w:bidi w:val="0"/>
              <w:spacing w:before="0" w:after="283"/>
              <w:jc w:val="left"/>
              <w:rPr/>
            </w:pPr>
            <w:r>
              <w:rPr/>
              <w:t> </w:t>
            </w:r>
          </w:p>
        </w:tc>
        <w:tc>
          <w:tcPr>
            <w:tcW w:w="2342" w:type="dxa"/>
            <w:tcBorders/>
          </w:tcPr>
          <w:p>
            <w:pPr>
              <w:pStyle w:val="TableContents"/>
              <w:bidi w:val="0"/>
              <w:spacing w:before="0" w:after="283"/>
              <w:jc w:val="left"/>
              <w:rPr>
                <w:b/>
              </w:rPr>
            </w:pPr>
            <w:r>
              <w:rPr>
                <w:b/>
              </w:rPr>
              <w:t>Mizuho</w:t>
            </w:r>
          </w:p>
        </w:tc>
        <w:tc>
          <w:tcPr>
            <w:tcW w:w="104" w:type="dxa"/>
            <w:tcBorders/>
            <w:vAlign w:val="bottom"/>
          </w:tcPr>
          <w:p>
            <w:pPr>
              <w:pStyle w:val="TableContents"/>
              <w:bidi w:val="0"/>
              <w:spacing w:before="0" w:after="283"/>
              <w:jc w:val="left"/>
              <w:rPr/>
            </w:pPr>
            <w:r>
              <w:rPr/>
              <w:t> </w:t>
            </w:r>
          </w:p>
        </w:tc>
        <w:tc>
          <w:tcPr>
            <w:tcW w:w="2665" w:type="dxa"/>
            <w:tcBorders/>
          </w:tcPr>
          <w:p>
            <w:pPr>
              <w:pStyle w:val="TableContents"/>
              <w:bidi w:val="0"/>
              <w:spacing w:before="0" w:after="283"/>
              <w:jc w:val="left"/>
              <w:rPr>
                <w:b/>
              </w:rPr>
            </w:pPr>
            <w:r>
              <w:rPr>
                <w:b/>
              </w:rPr>
              <w:t>Morgan Stanley</w:t>
            </w:r>
          </w:p>
        </w:tc>
        <w:tc>
          <w:tcPr>
            <w:tcW w:w="120" w:type="dxa"/>
            <w:tcBorders/>
            <w:vAlign w:val="bottom"/>
          </w:tcPr>
          <w:p>
            <w:pPr>
              <w:pStyle w:val="TableContents"/>
              <w:bidi w:val="0"/>
              <w:spacing w:before="0" w:after="283"/>
              <w:jc w:val="left"/>
              <w:rPr/>
            </w:pPr>
            <w:r>
              <w:rPr/>
              <w:t>  </w:t>
            </w:r>
          </w:p>
        </w:tc>
        <w:tc>
          <w:tcPr>
            <w:tcW w:w="2250" w:type="dxa"/>
            <w:tcBorders/>
          </w:tcPr>
          <w:p>
            <w:pPr>
              <w:pStyle w:val="TableContents"/>
              <w:bidi w:val="0"/>
              <w:spacing w:before="0" w:after="283"/>
              <w:jc w:val="right"/>
              <w:rPr>
                <w:b/>
              </w:rPr>
            </w:pPr>
            <w:r>
              <w:rPr>
                <w:b/>
              </w:rPr>
              <w:t>SMBC Nikko</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7"/>
        </w:rPr>
      </w:pPr>
      <w:r>
        <w:rPr>
          <w:rFonts w:ascii="Times New Roman" w:hAnsi="Times New Roman"/>
          <w:b/>
          <w:sz w:val="17"/>
        </w:rPr>
        <w:t xml:space="preserve">Prospectus Supplement dated    ,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offering of the notes. The second part is the accompanying base prospectus, which gives more general information, some of which may not apply to this offering of the notes. Generally, when we refer only to the “prospectus,” we are referring to both parts combined. If the information about the offering of the notes varies between this prospectus supplement and the accompanying base prospectus,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made in this prospectus or in a document incorporated or deemed to be incorporated by reference into this prospectus will be deemed to be modified or superseded for purposes of this prospectus to the extent that a statement contained in this prospectus or in any other subsequently filed document that is also incorporated by reference into this prospectus modifies or supersedes that statement. Any statement so modified or superseded will not be deemed, except as so modified or superseded, to constitute a part of this prospectus. Please read “Where You Can Find More Information” on page S-46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have authorized anyone to provide you with additional or different information or to make representations other than those contained or incorporated by reference in this prospectus or in any free writing prospectus prepared by or on behalf of us. Neither we nor the underwriters take any responsibility for, and can provide no assurance as to the reliability of, any other information that others may give you. We are offering to sell the notes, and seeking offers to buy the notes, only in jurisdictions where offers and sales are permitted. You should not assume that the information contained in this prospectus supplement, the accompanying base prospectus or any free writing prospectus is accurate as of any date other than the dates shown in these documents or that any information we have incorporated by reference herein is accurate as of any date other than the date of the document incorporated by reference. Our business, financial condition, results of operations and prospects may have changed since such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1">
              <w:r>
                <w:rPr>
                  <w:rStyle w:val="InternetLink"/>
                  <w:rFonts w:ascii="Times New Roman" w:hAnsi="Times New Roman"/>
                  <w:sz w:val="20"/>
                </w:rPr>
                <w:t>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2">
              <w:r>
                <w:rPr>
                  <w:rStyle w:val="InternetLink"/>
                  <w:rFonts w:ascii="Times New Roman" w:hAnsi="Times New Roman"/>
                  <w:sz w:val="20"/>
                </w:rPr>
                <w:t>CERTAIN DEFINITIONS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S-vi</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3">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6">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7">
              <w:r>
                <w:rPr>
                  <w:rStyle w:val="InternetLink"/>
                  <w:rFonts w:ascii="Times New Roman" w:hAnsi="Times New Roman"/>
                  <w:sz w:val="20"/>
                </w:rPr>
                <w:t>DESCRIPTION OF THE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8">
              <w:r>
                <w:rPr>
                  <w:rStyle w:val="InternetLink"/>
                  <w:rFonts w:ascii="Times New Roman" w:hAnsi="Times New Roman"/>
                  <w:sz w:val="20"/>
                </w:rPr>
                <w:t>DESCRIPTION OF OTHER INDEBTEDNESS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9">
              <w:r>
                <w:rPr>
                  <w:rStyle w:val="InternetLink"/>
                  <w:rFonts w:ascii="Times New Roman" w:hAnsi="Times New Roman"/>
                  <w:sz w:val="20"/>
                </w:rPr>
                <w:t>CERTAIN MATERIAL 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10">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11">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12">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13">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14">
              <w:r>
                <w:rPr>
                  <w:rStyle w:val="InternetLink"/>
                  <w:rFonts w:ascii="Times New Roman" w:hAnsi="Times New Roman"/>
                  <w:sz w:val="20"/>
                </w:rPr>
                <w:t>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S-46</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2">
              <w:r>
                <w:rPr>
                  <w:rStyle w:val="InternetLink"/>
                  <w:rFonts w:ascii="Times New Roman" w:hAnsi="Times New Roman"/>
                  <w:sz w:val="20"/>
                </w:rPr>
                <w:t>ABOUT THE WILLIAMS COMPANIES, INC.</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5">
              <w:r>
                <w:rPr>
                  <w:rStyle w:val="InternetLink"/>
                  <w:rFonts w:ascii="Times New Roman" w:hAnsi="Times New Roman"/>
                  <w:sz w:val="20"/>
                </w:rPr>
                <w:t>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6">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8">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9">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10">
              <w:r>
                <w:rPr>
                  <w:rStyle w:val="InternetLink"/>
                  <w:rFonts w:ascii="Times New Roman" w:hAnsi="Times New Roman"/>
                  <w:sz w:val="20"/>
                </w:rPr>
                <w:t>DESCRIPTION OF PURCHASE CONTRACTS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11">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12">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13">
              <w:r>
                <w:rPr>
                  <w:rStyle w:val="InternetLink"/>
                  <w:rFonts w:ascii="Times New Roman" w:hAnsi="Times New Roman"/>
                  <w:sz w:val="20"/>
                </w:rPr>
                <w:t>SELLING SECURITYHOLDERS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14">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15">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110651_1"/>
      <w:bookmarkEnd w:id="3"/>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Certain matters discussed in this prospectus supplement and the documents incorporated herein by reference, excluding historical facts, are “forward-looking statements” within the meaning of Section 27A of the Securities Act of 1933, as amended (the “Securities Act”), and Section 21E of the Securities Exchange Act of 1934, as amended (the “Exchange Act”). These forward-looking statements relate to anticipated financial performance, management’s plans and objectives for future operations, business prospects, outcomes of regulatory proceedings, market conditions, and other matters. We make these forward-looking statements in reliance on the safe harbor protections provided under the Private Securities Litigation Reform Act of 1995.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other than statements of historical facts, included in this prospectus supplement that address activities, events, or developments that we expect, believe, or anticipate will exist or may occur in the future, are forward-looking statements. Forward-looking statements can be identified by various forms of words such as “anticipates,” “believes,” “seeks,” “could,” “may,” “should,” “continues,” “estimates,” “expects,” “forecasts,” “intends,” “might,” “goals,” “objectives,” “targets,” “planned,” “potential,” “projects,” “scheduled,” “will,” “assumes,” “guidance,” “outlook,” “in-service date,” or other similar expressions. These forward-looking statements are based on management’s beliefs and assumptions and on information currently available to management and include, among others, statements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levels of dividends to Williams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credit ratings of Williams and its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and nature of future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expansion and growth of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in-service dates for capital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condition and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flow from operations or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 case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seasonality of certain business components;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gas, natural gas liquids, and crude oil prices, supply, and demand;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demand for our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based on numerous assumptions, uncertainties, and risks that could cause future events or results to be materially different from those stated or implied in this prospectus supplement or in the documents incorporated herein by reference. You should carefully consider the risk factors discussed below in addition to the other information in this prospectus supplement and in the documents incorporated herein by reference. If any of the following risks were actually to occur, our business, results of operations and financial condition could be materially adversely affected. In that case, we might not be able to pay interest on, and the principal of, the notes, and holders of the notes could lose all or part of their investment. Many of the factors that will determine these results are beyond our ability to control or predict. Specific factors that could cause actual results to differ from results contemplated by the forward-looking statements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supplies, market demand, and volatility of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 and rate of adoption of alternative energy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existing and future laws and regulations, the regulatory environment, environmental matters, and litigation, as well as our ability and the ability of other energy companies with whom we conduct or seek to conduct business, to obtain necessary permits and approvals, and our ability to achieve favorable rate proceeding outcomes;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exposure to the credit risk of our customers and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acquire new businesses and assets and successfully integrate those operations and assets into existing businesses as well as successfully expand our facilities and consummate asset sales on acceptable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identify, evaluate, and timely execute our capital projects and investment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strength and financial resources of our competitors and the effects of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cash distributions from and capital requirements of our investments and joint ventures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effectively execute our financing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scrutiny and changing expectations from stakeholders with respect to our environmental, social, and governance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physical and financial risks associated with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impacts of operational and developmental hazards and unforeseen interruptions;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resulting from outbreaks or other public health crises;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weather and natural phenomena, including climate conditions and physical damage to our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of terrorism, cybersecurity incidents, and related disruptions;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costs and funding obligations for defined benefit pension plans and other postretirement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maintenance and construction costs, as well as our ability to obtain sufficient construction-related inputs, including skilled labor;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interest rates, tariffs on foreign made materials and goods (including steel and steel pipes) necessary to conduct business, and general economic conditions (including future disruptions and volatility in the global credit markets and the impact of these events on customers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financing, including restrictions stemming from debt agreements, future changes in credit ratings as determined by nationally recognized credit rating agencies, and the availability and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members of the Organization of Petroleum Exporting Countries (OPEC) and other oil exporting nations to agree to and maintain oil price and production controls and the impact on domestic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current geopolitical situation;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U.S. governmental administration and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are able to pay current and expected levels of dividends;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risks described in our filings with the Securities and Exchange Commission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the uncertainties and risk factors that could cause our actual results to differ materially from those contained in any forward-looking statement, we caution investors not to unduly rely on our forward-looking statements. We disclaim any obligations to and do not intend to update the above list or announce publicly the result of any revisions to any of the forward-looking statements to reflect future events or developments.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causing our actual results to differ, the factors listed above and referred to below may cause our intentions to change from those statements of intention set forth in or incorporated into this prospectus supplement. Such changes in our intentions may also cause our results to differ. We may change our intentions, at any time and without notice, based upon changes in such factors, our assumptions,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involve risks and uncertainties, we caution that there are important factors, in addition to those listed above, that may cause actual results to differ materially from those contained in the forward-looking statements. These factors include the risks set forth under the caption “Risk Factors”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oc110651_2"/>
      <w:bookmarkEnd w:id="4"/>
      <w:r>
        <w:rPr>
          <w:rFonts w:ascii="Times New Roman" w:hAnsi="Times New Roman"/>
          <w:b/>
          <w:sz w:val="20"/>
        </w:rPr>
        <w:t xml:space="preserve">CERTAIN DEFINITIONS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prospectus supplement, unless the context otherwise requires or indicates: </w:t>
      </w:r>
    </w:p>
    <w:p>
      <w:pPr>
        <w:pStyle w:val="TextBody"/>
        <w:bidi w:val="0"/>
        <w:spacing w:before="240" w:after="0"/>
        <w:jc w:val="left"/>
        <w:rPr/>
      </w:pPr>
      <w:r>
        <w:rPr/>
        <w:t>“</w:t>
      </w:r>
      <w:r>
        <w:rPr>
          <w:rFonts w:ascii="Times New Roman" w:hAnsi="Times New Roman"/>
          <w:i/>
          <w:sz w:val="20"/>
        </w:rPr>
        <w:t>MountainWest</w:t>
      </w:r>
      <w:r>
        <w:rPr>
          <w:rFonts w:ascii="Times New Roman" w:hAnsi="Times New Roman"/>
          <w:sz w:val="20"/>
        </w:rPr>
        <w:t xml:space="preserve">” refers to MountainWest Pipelines Holding Company. </w:t>
      </w:r>
    </w:p>
    <w:p>
      <w:pPr>
        <w:pStyle w:val="TextBody"/>
        <w:bidi w:val="0"/>
        <w:spacing w:before="240" w:after="0"/>
        <w:jc w:val="left"/>
        <w:rPr/>
      </w:pPr>
      <w:r>
        <w:rPr/>
        <w:t>“</w:t>
      </w:r>
      <w:r>
        <w:rPr>
          <w:rFonts w:ascii="Times New Roman" w:hAnsi="Times New Roman"/>
          <w:i/>
          <w:sz w:val="20"/>
        </w:rPr>
        <w:t>Northwest Pipeline</w:t>
      </w:r>
      <w:r>
        <w:rPr>
          <w:rFonts w:ascii="Times New Roman" w:hAnsi="Times New Roman"/>
          <w:sz w:val="20"/>
        </w:rPr>
        <w:t xml:space="preserve">” refers to Northwest Pipeline LLC. </w:t>
      </w:r>
    </w:p>
    <w:p>
      <w:pPr>
        <w:pStyle w:val="TextBody"/>
        <w:bidi w:val="0"/>
        <w:spacing w:before="240" w:after="0"/>
        <w:jc w:val="left"/>
        <w:rPr/>
      </w:pPr>
      <w:r>
        <w:rPr/>
        <w:t>“</w:t>
      </w:r>
      <w:r>
        <w:rPr>
          <w:rFonts w:ascii="Times New Roman" w:hAnsi="Times New Roman"/>
          <w:i/>
          <w:sz w:val="20"/>
        </w:rPr>
        <w:t>Transco</w:t>
      </w:r>
      <w:r>
        <w:rPr>
          <w:rFonts w:ascii="Times New Roman" w:hAnsi="Times New Roman"/>
          <w:sz w:val="20"/>
        </w:rPr>
        <w:t xml:space="preserve">” refers to Transcontinental Gas Pipe Line Company, LLC. </w:t>
      </w:r>
    </w:p>
    <w:p>
      <w:pPr>
        <w:pStyle w:val="TextBody"/>
        <w:bidi w:val="0"/>
        <w:spacing w:before="240" w:after="0"/>
        <w:jc w:val="left"/>
        <w:rPr/>
      </w:pPr>
      <w:r>
        <w:rPr/>
        <w:t>“</w:t>
      </w:r>
      <w:r>
        <w:rPr>
          <w:rFonts w:ascii="Times New Roman" w:hAnsi="Times New Roman"/>
          <w:i/>
          <w:sz w:val="20"/>
        </w:rPr>
        <w:t>Williams</w:t>
      </w:r>
      <w:r>
        <w:rPr>
          <w:rFonts w:ascii="Times New Roman" w:hAnsi="Times New Roman"/>
          <w:sz w:val="20"/>
        </w:rPr>
        <w:t>,” “</w:t>
      </w:r>
      <w:r>
        <w:rPr>
          <w:rFonts w:ascii="Times New Roman" w:hAnsi="Times New Roman"/>
          <w:i/>
          <w:sz w:val="20"/>
        </w:rPr>
        <w:t>we</w:t>
      </w:r>
      <w:r>
        <w:rPr>
          <w:rFonts w:ascii="Times New Roman" w:hAnsi="Times New Roman"/>
          <w:sz w:val="20"/>
        </w:rPr>
        <w:t>,” “</w:t>
      </w:r>
      <w:r>
        <w:rPr>
          <w:rFonts w:ascii="Times New Roman" w:hAnsi="Times New Roman"/>
          <w:i/>
          <w:sz w:val="20"/>
        </w:rPr>
        <w:t>our</w:t>
      </w:r>
      <w:r>
        <w:rPr>
          <w:rFonts w:ascii="Times New Roman" w:hAnsi="Times New Roman"/>
          <w:sz w:val="20"/>
        </w:rPr>
        <w:t>,” “</w:t>
      </w:r>
      <w:r>
        <w:rPr>
          <w:rFonts w:ascii="Times New Roman" w:hAnsi="Times New Roman"/>
          <w:i/>
          <w:sz w:val="20"/>
        </w:rPr>
        <w:t>us</w:t>
      </w:r>
      <w:r>
        <w:rPr>
          <w:rFonts w:ascii="Times New Roman" w:hAnsi="Times New Roman"/>
          <w:sz w:val="20"/>
        </w:rPr>
        <w:t xml:space="preserve">” and like terms refer to The Williams Companies, Inc. and its subsidiaries. In addition, our industry uses many terms and acronyms that may not be familiar to you. To assist you in reading this prospectus supplement, we have provided below definitions of some of these terms. </w:t>
      </w:r>
    </w:p>
    <w:p>
      <w:pPr>
        <w:pStyle w:val="TextBody"/>
        <w:bidi w:val="0"/>
        <w:spacing w:before="240" w:after="0"/>
        <w:jc w:val="left"/>
        <w:rPr>
          <w:rFonts w:ascii="Times New Roman" w:hAnsi="Times New Roman"/>
          <w:sz w:val="20"/>
        </w:rPr>
      </w:pPr>
      <w:r>
        <w:rPr>
          <w:rFonts w:ascii="Times New Roman" w:hAnsi="Times New Roman"/>
          <w:i/>
          <w:sz w:val="20"/>
        </w:rPr>
        <w:t>Fractionation:</w:t>
      </w:r>
      <w:r>
        <w:rPr>
          <w:rFonts w:ascii="Times New Roman" w:hAnsi="Times New Roman"/>
          <w:sz w:val="20"/>
        </w:rPr>
        <w:t xml:space="preserve"> The process by which a mixed stream of natural gas liquids is separated into its constituent products, such as ethane, propane, and butane. </w:t>
      </w:r>
    </w:p>
    <w:p>
      <w:pPr>
        <w:pStyle w:val="TextBody"/>
        <w:bidi w:val="0"/>
        <w:spacing w:before="240" w:after="0"/>
        <w:jc w:val="left"/>
        <w:rPr>
          <w:rFonts w:ascii="Times New Roman" w:hAnsi="Times New Roman"/>
          <w:sz w:val="20"/>
        </w:rPr>
      </w:pPr>
      <w:r>
        <w:rPr>
          <w:rFonts w:ascii="Times New Roman" w:hAnsi="Times New Roman"/>
          <w:i/>
          <w:sz w:val="20"/>
        </w:rPr>
        <w:t xml:space="preserve">NGLs: </w:t>
      </w:r>
      <w:r>
        <w:rPr>
          <w:rFonts w:ascii="Times New Roman" w:hAnsi="Times New Roman"/>
          <w:sz w:val="20"/>
        </w:rPr>
        <w:t xml:space="preserve">Natural gas liquids; natural gas liquids result from natural gas processing and crude oil refining and are used as petrochemical feedstocks, heating fuels, and gasoline additives, among other applications.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oc110651_3"/>
      <w:bookmarkEnd w:id="5"/>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or incorporated by reference in this prospectus supplement and the accompanying base prospectus. It does not contain all of the information that you should consider before making an investment decision. You should read the entire prospectus supplement, the accompanying base prospectus and the documents incorporated by reference for a more complete understanding of this offering of the notes. Please read “Risk Factors” beginning on page S-5 of this prospectus supplement for information regarding risks you should consider before investing in the notes.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Williams Companies,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energy company committed to being the leader in providing infrastructure that safely delivers natural gas products to reliably fuel the clean energy economy. As of December 31, 2025, we had operations in 11 supply areas that provide natural gas gathering and processing, transmission and storage services; NGL fractionation, transportation, and storage services; and marketing services to approximately 800 customers. As of December 31, 2025, we owned an interest in and operated over 32,000 miles of pipelines in 24 states and in the Gulf of America, 35 natural gas processing facilities, 9 NGL fractionation facilities, approximately 23 million barrels of NGL storage capacity, and 423 Bcf of natural gas storage capacity, and deliver natural gas that is used every day for clean-power generation, heating, and industrial use.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Principal Executive Offices and Internet Address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One Williams Center, Tulsa, Oklahoma 74172-0172, and our telephone number is (918) 573-2000. Our website is located at http://www.williams.com. We make our periodic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supplement or the accompanying base prospectus and does not constitute a part of this prospectus supplement or the accompanying base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Momentum Midstream Acquisition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3, 2026, we closed our previously announced acquisition of Momentum Midstream for total consideration of $5.5 billion, comprising approximately $3.5 billion of cash and debt consideration and approximately $2 billion of Williams common stock (the “Momentum Acquisition”).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Power Innovation Joint Venture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July 2026, we sold a 49 percent noncontrolling interest in five power innovation projects, Socrates, Apollo, Aquila, Socrates the Younger, and Neo, to an investor in exchange for $5.34 billion of committed capital (the “Power Innovation Joint Venture”), as described in our Quarterly Report on Form 10-Q for the period ended June 30, 2026, which is incorporated by reference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408"/>
        <w:gridCol w:w="120"/>
        <w:gridCol w:w="6677"/>
      </w:tblGrid>
      <w:tr>
        <w:trPr/>
        <w:tc>
          <w:tcPr>
            <w:tcW w:w="34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677" w:type="dxa"/>
            <w:tcBorders/>
            <w:vAlign w:val="center"/>
          </w:tcPr>
          <w:p>
            <w:pPr>
              <w:pStyle w:val="TableContents"/>
              <w:bidi w:val="0"/>
              <w:spacing w:before="0" w:after="283"/>
              <w:jc w:val="left"/>
              <w:rPr>
                <w:sz w:val="4"/>
                <w:szCs w:val="4"/>
              </w:rPr>
            </w:pPr>
            <w:r>
              <w:rPr>
                <w:sz w:val="4"/>
                <w:szCs w:val="4"/>
              </w:rPr>
            </w:r>
          </w:p>
        </w:tc>
      </w:tr>
      <w:tr>
        <w:trPr/>
        <w:tc>
          <w:tcPr>
            <w:tcW w:w="3408" w:type="dxa"/>
            <w:tcBorders/>
          </w:tcPr>
          <w:p>
            <w:pPr>
              <w:pStyle w:val="TableContents"/>
              <w:bidi w:val="0"/>
              <w:spacing w:before="0" w:after="0"/>
              <w:jc w:val="left"/>
              <w:rPr>
                <w:rFonts w:ascii="Times New Roman" w:hAnsi="Times New Roman"/>
                <w:sz w:val="20"/>
              </w:rPr>
            </w:pPr>
            <w:r>
              <w:rPr>
                <w:rFonts w:ascii="Times New Roman" w:hAnsi="Times New Roman"/>
                <w:sz w:val="20"/>
              </w:rPr>
              <w:t>Issuer</w:t>
            </w:r>
          </w:p>
        </w:tc>
        <w:tc>
          <w:tcPr>
            <w:tcW w:w="120" w:type="dxa"/>
            <w:tcBorders/>
            <w:vAlign w:val="bottom"/>
          </w:tcPr>
          <w:p>
            <w:pPr>
              <w:pStyle w:val="TableContents"/>
              <w:bidi w:val="0"/>
              <w:spacing w:before="0" w:after="283"/>
              <w:jc w:val="left"/>
              <w:rPr/>
            </w:pPr>
            <w:r>
              <w:rPr/>
              <w:t>  </w:t>
            </w:r>
          </w:p>
        </w:tc>
        <w:tc>
          <w:tcPr>
            <w:tcW w:w="6677" w:type="dxa"/>
            <w:tcBorders/>
            <w:vAlign w:val="bottom"/>
          </w:tcPr>
          <w:p>
            <w:pPr>
              <w:pStyle w:val="TableContents"/>
              <w:bidi w:val="0"/>
              <w:spacing w:before="0" w:after="283"/>
              <w:jc w:val="left"/>
              <w:rPr/>
            </w:pPr>
            <w:r>
              <w:rPr/>
              <w:t>The Williams Companies, Inc.</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488"/>
        <w:gridCol w:w="123"/>
        <w:gridCol w:w="6594"/>
      </w:tblGrid>
      <w:tr>
        <w:trPr/>
        <w:tc>
          <w:tcPr>
            <w:tcW w:w="348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594" w:type="dxa"/>
            <w:tcBorders/>
            <w:vAlign w:val="center"/>
          </w:tcPr>
          <w:p>
            <w:pPr>
              <w:pStyle w:val="TableContents"/>
              <w:bidi w:val="0"/>
              <w:spacing w:before="0" w:after="283"/>
              <w:jc w:val="left"/>
              <w:rPr>
                <w:sz w:val="4"/>
                <w:szCs w:val="4"/>
              </w:rPr>
            </w:pPr>
            <w:r>
              <w:rPr>
                <w:sz w:val="4"/>
                <w:szCs w:val="4"/>
              </w:rPr>
            </w:r>
          </w:p>
        </w:tc>
      </w:tr>
      <w:tr>
        <w:trPr/>
        <w:tc>
          <w:tcPr>
            <w:tcW w:w="3488" w:type="dxa"/>
            <w:tcBorders/>
          </w:tcPr>
          <w:p>
            <w:pPr>
              <w:pStyle w:val="TableContents"/>
              <w:bidi w:val="0"/>
              <w:spacing w:before="0" w:after="0"/>
              <w:jc w:val="left"/>
              <w:rPr>
                <w:rFonts w:ascii="Times New Roman" w:hAnsi="Times New Roman"/>
                <w:sz w:val="20"/>
              </w:rPr>
            </w:pPr>
            <w:r>
              <w:rPr>
                <w:rFonts w:ascii="Times New Roman" w:hAnsi="Times New Roman"/>
                <w:sz w:val="20"/>
              </w:rPr>
              <w:t>Notes Offered</w:t>
            </w:r>
          </w:p>
        </w:tc>
        <w:tc>
          <w:tcPr>
            <w:tcW w:w="123" w:type="dxa"/>
            <w:tcBorders/>
            <w:vAlign w:val="bottom"/>
          </w:tcPr>
          <w:p>
            <w:pPr>
              <w:pStyle w:val="TableContents"/>
              <w:bidi w:val="0"/>
              <w:spacing w:before="0" w:after="283"/>
              <w:jc w:val="left"/>
              <w:rPr/>
            </w:pPr>
            <w:r>
              <w:rPr/>
              <w:t>  </w:t>
            </w:r>
          </w:p>
        </w:tc>
        <w:tc>
          <w:tcPr>
            <w:tcW w:w="6594" w:type="dxa"/>
            <w:tcBorders/>
            <w:vAlign w:val="bottom"/>
          </w:tcPr>
          <w:p>
            <w:pPr>
              <w:pStyle w:val="TableContents"/>
              <w:bidi w:val="0"/>
              <w:spacing w:before="0" w:after="283"/>
              <w:jc w:val="left"/>
              <w:rPr/>
            </w:pPr>
            <w:r>
              <w:rPr/>
              <w:t>$    aggregate principal amount of our senior notes consisting of:</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0"/>
        <w:gridCol w:w="5819"/>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    aggregate principal amount of    % senior notes due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0"/>
        <w:gridCol w:w="5819"/>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    aggregate principal amount of    % senior notes due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0"/>
        <w:gridCol w:w="5819"/>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    aggregate principal amount of    % senior notes due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0"/>
        <w:gridCol w:w="5819"/>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    aggregate principal amount of    % senior notes due     .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571"/>
        <w:gridCol w:w="204"/>
        <w:gridCol w:w="643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430"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Maturity</w:t>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The     notes will mature on     ,   .</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663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The     notes will mature on     ,   .</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663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The     notes will mature on     ,   .</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663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The     notes will mature on     ,   .</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663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The interest rate on the     notes shall be   %.</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663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The interest rate on the     notes shall be   %.</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663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The interest rate on the     notes shall be   %.</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663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The interest rate on the     notes shall be   %.</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663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0"/>
              <w:jc w:val="left"/>
              <w:rPr>
                <w:rFonts w:ascii="Times New Roman" w:hAnsi="Times New Roman"/>
                <w:sz w:val="20"/>
              </w:rPr>
            </w:pPr>
            <w:r>
              <w:rPr>
                <w:rFonts w:ascii="Times New Roman" w:hAnsi="Times New Roman"/>
                <w:sz w:val="20"/>
              </w:rPr>
              <w:t>Interest Payment Dates</w:t>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Interest on the     notes will be payable semi-annually in arrears on     and     , beginning on     , 2027, and will be payable to holders of record at the close of business on the or immediately preceding the interest payment date (whether or not a business day).</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663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Interest on the     notes will be payable semi-annually in arrears on     and     , beginning on     , 2027, and will be payable to holders of record at the close of business on the or immediately preceding the interest payment date (whether or not a business day).</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663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Interest on the notes will be payable semi-annually in arrears on     and     , beginning on     , 2027, and will be payable to holders of record at the close of business on the or immediately preceding the interest payment date (whether or not a business day).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c>
          <w:tcPr>
            <w:tcW w:w="3367"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283"/>
              <w:jc w:val="left"/>
              <w:rPr/>
            </w:pPr>
            <w:r>
              <w:rPr/>
              <w:t>Interest on the notes will be payable semi-annually in arrears on     and     , beginning on     , 2027, and will be payable to holders of record at the close of business on the or immediately preceding the interest payment date (whether or not a business day).</w:t>
            </w:r>
          </w:p>
        </w:tc>
      </w:tr>
      <w:tr>
        <w:trPr>
          <w:trHeight w:val="24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Optional Redemption</w:t>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283"/>
              <w:jc w:val="left"/>
              <w:rPr/>
            </w:pPr>
            <w:r>
              <w:rPr/>
              <w:t>At any time prior to     ,     (    prior to the maturity date of     the     notes), in the case of the     notes,     ,    (    prior to the maturity date of the     notes), in the case of the     notes,     ,     (     prior to the maturity date of the     notes), in the case of the     notes, and     ,     (    prior to the maturity date of the     notes), in the case of the     notes, we may redeem some or all of the notes of the applicable series at the applicable “make whole” redemption price described in “Description of the Notes — Optional Redemption,” plus accrued and unpaid interest, if any, to, but not including, the applicable redemption date.</w:t>
            </w:r>
          </w:p>
        </w:tc>
      </w:tr>
      <w:tr>
        <w:trPr>
          <w:trHeight w:val="24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283"/>
              <w:jc w:val="left"/>
              <w:rPr/>
            </w:pPr>
            <w:r>
              <w:rPr/>
              <w:t>At any time on or after      ,      , in the case of the    notes,    ,    , in the case of the     notes,     ,     , in the case of the     notes, and     ,     , in the case of the     notes, we may redeem some or all of the notes of the applicable series at a redemption price equal to 100% of the principal amount of the notes to be redeemed, plus accrued and unpaid interest, if any, to, but not including, the redemption date.</w:t>
            </w:r>
          </w:p>
        </w:tc>
      </w:tr>
      <w:tr>
        <w:trPr>
          <w:trHeight w:val="24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Ranking</w:t>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283"/>
              <w:jc w:val="left"/>
              <w:rPr/>
            </w:pPr>
            <w:r>
              <w:rPr/>
              <w:t>The notes will be our senior unsecured obligations and will rank equally in right of payment with all of our existing and future senior unsecured indebtedness. The notes will be effectively subordinated to all of our existing and future secured indebtedness and will be structurally subordinated to all existing and future indebtedness and other obligations of our subsidiaries, including trade payables. The notes will rank senior to all of our future subordinated indebtedness.</w:t>
            </w:r>
          </w:p>
        </w:tc>
      </w:tr>
      <w:tr>
        <w:trPr>
          <w:trHeight w:val="24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283"/>
              <w:jc w:val="left"/>
              <w:rPr/>
            </w:pPr>
            <w:r>
              <w:rPr/>
              <w:t>As of June 30, 2026, we had outstanding indebtedness of approximately $30.8 billion, approximately $7.0 billion of which consisted of indebtedness of our subsidiaries. Borrowing capacity under our $3.75 billion credit facility (the “revolving credit facility”) as of September 4, 2026 was approximately $2.84 billion, borrowing capacity under our $1.0 billion 364-day credit facility (the “364-day credit facility”) as of September 4, 2026 was approximately $1 billion, and we had approximately $910 million of commercial paper outstanding under our $3.5 billion commercial paper program as of September 4, 2026.</w:t>
            </w:r>
          </w:p>
        </w:tc>
      </w:tr>
      <w:tr>
        <w:trPr>
          <w:trHeight w:val="24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Certain Covenants</w:t>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283"/>
              <w:jc w:val="left"/>
              <w:rPr/>
            </w:pPr>
            <w:r>
              <w:rPr/>
              <w:t>We will issue the notes under a supplemental indenture to the base indenture dated as of December 18, 2012, between us and The Bank of New York Mellon Trust Company, N.A., as trustee. We refer to the supplemental indenture and the base indenture collectively as the “indenture.” The indenture will contain limitations on, among other things:</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incurrence of liens on assets to secure debt;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100"/>
        <w:gridCol w:w="100"/>
        <w:gridCol w:w="6126"/>
      </w:tblGrid>
      <w:tr>
        <w:trPr/>
        <w:tc>
          <w:tcPr>
            <w:tcW w:w="387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mergers or consolidations and transfers of assets.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469"/>
        <w:gridCol w:w="204"/>
        <w:gridCol w:w="6532"/>
      </w:tblGrid>
      <w:tr>
        <w:trPr/>
        <w:tc>
          <w:tcPr>
            <w:tcW w:w="346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532" w:type="dxa"/>
            <w:tcBorders/>
            <w:vAlign w:val="center"/>
          </w:tcPr>
          <w:p>
            <w:pPr>
              <w:pStyle w:val="TableContents"/>
              <w:bidi w:val="0"/>
              <w:spacing w:before="0" w:after="283"/>
              <w:jc w:val="left"/>
              <w:rPr>
                <w:sz w:val="4"/>
                <w:szCs w:val="4"/>
              </w:rPr>
            </w:pPr>
            <w:r>
              <w:rPr>
                <w:sz w:val="4"/>
                <w:szCs w:val="4"/>
              </w:rPr>
            </w:r>
          </w:p>
        </w:tc>
      </w:tr>
      <w:tr>
        <w:trPr/>
        <w:tc>
          <w:tcPr>
            <w:tcW w:w="346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532" w:type="dxa"/>
            <w:tcBorders/>
            <w:vAlign w:val="bottom"/>
          </w:tcPr>
          <w:p>
            <w:pPr>
              <w:pStyle w:val="TableContents"/>
              <w:bidi w:val="0"/>
              <w:spacing w:before="0" w:after="283"/>
              <w:jc w:val="left"/>
              <w:rPr/>
            </w:pPr>
            <w:r>
              <w:rPr/>
              <w:t>These covenants are subject to exceptions. See “Description of the Notes — Certain Covenants.”</w:t>
            </w:r>
          </w:p>
        </w:tc>
      </w:tr>
      <w:tr>
        <w:trPr>
          <w:trHeight w:val="240" w:hRule="atLeast"/>
        </w:trPr>
        <w:tc>
          <w:tcPr>
            <w:tcW w:w="3469" w:type="dxa"/>
            <w:tcBorders/>
            <w:vAlign w:val="center"/>
          </w:tcPr>
          <w:p>
            <w:pPr>
              <w:pStyle w:val="TableContents"/>
              <w:bidi w:val="0"/>
              <w:spacing w:before="0" w:after="283"/>
              <w:jc w:val="left"/>
              <w:rPr>
                <w:sz w:val="4"/>
                <w:szCs w:val="4"/>
              </w:rPr>
            </w:pPr>
            <w:r>
              <w:rPr>
                <w:sz w:val="4"/>
                <w:szCs w:val="4"/>
              </w:rPr>
            </w:r>
          </w:p>
        </w:tc>
        <w:tc>
          <w:tcPr>
            <w:tcW w:w="6736"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204" w:type="dxa"/>
            <w:tcBorders/>
            <w:vAlign w:val="bottom"/>
          </w:tcPr>
          <w:p>
            <w:pPr>
              <w:pStyle w:val="TableContents"/>
              <w:bidi w:val="0"/>
              <w:spacing w:before="0" w:after="283"/>
              <w:jc w:val="left"/>
              <w:rPr/>
            </w:pPr>
            <w:r>
              <w:rPr/>
              <w:t>  </w:t>
            </w:r>
          </w:p>
        </w:tc>
        <w:tc>
          <w:tcPr>
            <w:tcW w:w="6532" w:type="dxa"/>
            <w:tcBorders/>
            <w:vAlign w:val="bottom"/>
          </w:tcPr>
          <w:p>
            <w:pPr>
              <w:pStyle w:val="TableContents"/>
              <w:bidi w:val="0"/>
              <w:spacing w:before="0" w:after="283"/>
              <w:jc w:val="left"/>
              <w:rPr/>
            </w:pPr>
            <w:r>
              <w:rPr/>
              <w:t>The net proceeds from this offering of notes will be approximately $     after deducting the estimated underwriting discounts and offering expenses payable by us. We intend to use the net proceeds of this offering to repay outstanding commercial paper and for other general corporate purposes, including funding capital expenditures. See “Use of Proceeds.”</w:t>
            </w:r>
          </w:p>
        </w:tc>
      </w:tr>
      <w:tr>
        <w:trPr>
          <w:trHeight w:val="240" w:hRule="atLeast"/>
        </w:trPr>
        <w:tc>
          <w:tcPr>
            <w:tcW w:w="3469" w:type="dxa"/>
            <w:tcBorders/>
            <w:vAlign w:val="center"/>
          </w:tcPr>
          <w:p>
            <w:pPr>
              <w:pStyle w:val="TableContents"/>
              <w:bidi w:val="0"/>
              <w:spacing w:before="0" w:after="283"/>
              <w:jc w:val="left"/>
              <w:rPr>
                <w:sz w:val="4"/>
                <w:szCs w:val="4"/>
              </w:rPr>
            </w:pPr>
            <w:r>
              <w:rPr>
                <w:sz w:val="4"/>
                <w:szCs w:val="4"/>
              </w:rPr>
            </w:r>
          </w:p>
        </w:tc>
        <w:tc>
          <w:tcPr>
            <w:tcW w:w="6736"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0"/>
              <w:jc w:val="left"/>
              <w:rPr>
                <w:rFonts w:ascii="Times New Roman" w:hAnsi="Times New Roman"/>
                <w:sz w:val="20"/>
              </w:rPr>
            </w:pPr>
            <w:r>
              <w:rPr>
                <w:rFonts w:ascii="Times New Roman" w:hAnsi="Times New Roman"/>
                <w:sz w:val="20"/>
              </w:rPr>
              <w:t>Form and Denomination</w:t>
            </w:r>
          </w:p>
        </w:tc>
        <w:tc>
          <w:tcPr>
            <w:tcW w:w="204" w:type="dxa"/>
            <w:tcBorders/>
            <w:vAlign w:val="bottom"/>
          </w:tcPr>
          <w:p>
            <w:pPr>
              <w:pStyle w:val="TableContents"/>
              <w:bidi w:val="0"/>
              <w:spacing w:before="0" w:after="283"/>
              <w:jc w:val="left"/>
              <w:rPr/>
            </w:pPr>
            <w:r>
              <w:rPr/>
              <w:t>  </w:t>
            </w:r>
          </w:p>
        </w:tc>
        <w:tc>
          <w:tcPr>
            <w:tcW w:w="6532" w:type="dxa"/>
            <w:tcBorders/>
            <w:vAlign w:val="bottom"/>
          </w:tcPr>
          <w:p>
            <w:pPr>
              <w:pStyle w:val="TableContents"/>
              <w:bidi w:val="0"/>
              <w:spacing w:before="0" w:after="283"/>
              <w:jc w:val="left"/>
              <w:rPr/>
            </w:pPr>
            <w:r>
              <w:rPr/>
              <w:t>The notes will be represented by one or more global notes. The global notes will be deposited with the trustee, as custodian for The Depository Trust Company (“DTC”).</w:t>
            </w:r>
          </w:p>
        </w:tc>
      </w:tr>
      <w:tr>
        <w:trPr>
          <w:trHeight w:val="240" w:hRule="atLeast"/>
        </w:trPr>
        <w:tc>
          <w:tcPr>
            <w:tcW w:w="3469" w:type="dxa"/>
            <w:tcBorders/>
            <w:vAlign w:val="center"/>
          </w:tcPr>
          <w:p>
            <w:pPr>
              <w:pStyle w:val="TableContents"/>
              <w:bidi w:val="0"/>
              <w:spacing w:before="0" w:after="283"/>
              <w:jc w:val="left"/>
              <w:rPr>
                <w:sz w:val="4"/>
                <w:szCs w:val="4"/>
              </w:rPr>
            </w:pPr>
            <w:r>
              <w:rPr>
                <w:sz w:val="4"/>
                <w:szCs w:val="4"/>
              </w:rPr>
            </w:r>
          </w:p>
        </w:tc>
        <w:tc>
          <w:tcPr>
            <w:tcW w:w="6736"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532" w:type="dxa"/>
            <w:tcBorders/>
          </w:tcPr>
          <w:p>
            <w:pPr>
              <w:pStyle w:val="TableContents"/>
              <w:bidi w:val="0"/>
              <w:spacing w:before="0" w:after="283"/>
              <w:jc w:val="left"/>
              <w:rPr/>
            </w:pPr>
            <w:r>
              <w:rPr/>
              <w:t>Ownership of beneficial interests in the global notes will be shown on, and transfers of such interests will be effected only through, records maintained in book-entry form by DTC and its direct and indirect participants, including Euroclear Banking S.A./N.V., as operator of the Euroclear System, and Clearstream Banking, S.A.</w:t>
            </w:r>
          </w:p>
        </w:tc>
      </w:tr>
      <w:tr>
        <w:trPr>
          <w:trHeight w:val="240" w:hRule="atLeast"/>
        </w:trPr>
        <w:tc>
          <w:tcPr>
            <w:tcW w:w="3469" w:type="dxa"/>
            <w:tcBorders/>
            <w:vAlign w:val="center"/>
          </w:tcPr>
          <w:p>
            <w:pPr>
              <w:pStyle w:val="TableContents"/>
              <w:bidi w:val="0"/>
              <w:spacing w:before="0" w:after="283"/>
              <w:jc w:val="left"/>
              <w:rPr>
                <w:sz w:val="4"/>
                <w:szCs w:val="4"/>
              </w:rPr>
            </w:pPr>
            <w:r>
              <w:rPr>
                <w:sz w:val="4"/>
                <w:szCs w:val="4"/>
              </w:rPr>
            </w:r>
          </w:p>
        </w:tc>
        <w:tc>
          <w:tcPr>
            <w:tcW w:w="6736"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532" w:type="dxa"/>
            <w:tcBorders/>
          </w:tcPr>
          <w:p>
            <w:pPr>
              <w:pStyle w:val="TableContents"/>
              <w:bidi w:val="0"/>
              <w:spacing w:before="0" w:after="283"/>
              <w:jc w:val="left"/>
              <w:rPr/>
            </w:pPr>
            <w:r>
              <w:rPr/>
              <w:t>The notes will be issued in minimum denominations of $2,000 and in integral multiples of $1,000 in excess thereof.</w:t>
            </w:r>
          </w:p>
        </w:tc>
      </w:tr>
      <w:tr>
        <w:trPr>
          <w:trHeight w:val="240" w:hRule="atLeast"/>
        </w:trPr>
        <w:tc>
          <w:tcPr>
            <w:tcW w:w="3469" w:type="dxa"/>
            <w:tcBorders/>
            <w:vAlign w:val="center"/>
          </w:tcPr>
          <w:p>
            <w:pPr>
              <w:pStyle w:val="TableContents"/>
              <w:bidi w:val="0"/>
              <w:spacing w:before="0" w:after="283"/>
              <w:jc w:val="left"/>
              <w:rPr>
                <w:sz w:val="4"/>
                <w:szCs w:val="4"/>
              </w:rPr>
            </w:pPr>
            <w:r>
              <w:rPr>
                <w:sz w:val="4"/>
                <w:szCs w:val="4"/>
              </w:rPr>
            </w:r>
          </w:p>
        </w:tc>
        <w:tc>
          <w:tcPr>
            <w:tcW w:w="6736"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0"/>
              <w:jc w:val="left"/>
              <w:rPr>
                <w:rFonts w:ascii="Times New Roman" w:hAnsi="Times New Roman"/>
                <w:sz w:val="20"/>
              </w:rPr>
            </w:pPr>
            <w:r>
              <w:rPr>
                <w:rFonts w:ascii="Times New Roman" w:hAnsi="Times New Roman"/>
                <w:sz w:val="20"/>
              </w:rPr>
              <w:t>Absence of Public Trading Market</w:t>
            </w:r>
          </w:p>
        </w:tc>
        <w:tc>
          <w:tcPr>
            <w:tcW w:w="204" w:type="dxa"/>
            <w:tcBorders/>
            <w:vAlign w:val="bottom"/>
          </w:tcPr>
          <w:p>
            <w:pPr>
              <w:pStyle w:val="TableContents"/>
              <w:bidi w:val="0"/>
              <w:spacing w:before="0" w:after="283"/>
              <w:jc w:val="left"/>
              <w:rPr/>
            </w:pPr>
            <w:r>
              <w:rPr/>
              <w:t>  </w:t>
            </w:r>
          </w:p>
        </w:tc>
        <w:tc>
          <w:tcPr>
            <w:tcW w:w="6532" w:type="dxa"/>
            <w:tcBorders/>
            <w:vAlign w:val="bottom"/>
          </w:tcPr>
          <w:p>
            <w:pPr>
              <w:pStyle w:val="TableContents"/>
              <w:bidi w:val="0"/>
              <w:spacing w:before="0" w:after="20"/>
              <w:jc w:val="left"/>
              <w:rPr>
                <w:rFonts w:ascii="Times New Roman" w:hAnsi="Times New Roman"/>
                <w:sz w:val="20"/>
              </w:rPr>
            </w:pPr>
            <w:r>
              <w:rPr>
                <w:rFonts w:ascii="Times New Roman" w:hAnsi="Times New Roman"/>
                <w:sz w:val="20"/>
              </w:rPr>
              <w:t>The notes will be a new issue of securities for which there is currently no market. We do not intend to apply for the notes to be listed on any securities exchange or to arrange for any quotation system to quote them. Accordingly, there can be no assurance that a liquid market for the notes will develop or be maintained. See “Risk Factors” in this prospectus supplement.</w:t>
            </w:r>
          </w:p>
        </w:tc>
      </w:tr>
      <w:tr>
        <w:trPr>
          <w:trHeight w:val="240" w:hRule="atLeast"/>
        </w:trPr>
        <w:tc>
          <w:tcPr>
            <w:tcW w:w="3469" w:type="dxa"/>
            <w:tcBorders/>
            <w:vAlign w:val="center"/>
          </w:tcPr>
          <w:p>
            <w:pPr>
              <w:pStyle w:val="TableContents"/>
              <w:bidi w:val="0"/>
              <w:spacing w:before="0" w:after="283"/>
              <w:jc w:val="left"/>
              <w:rPr>
                <w:sz w:val="4"/>
                <w:szCs w:val="4"/>
              </w:rPr>
            </w:pPr>
            <w:r>
              <w:rPr>
                <w:sz w:val="4"/>
                <w:szCs w:val="4"/>
              </w:rPr>
            </w:r>
          </w:p>
        </w:tc>
        <w:tc>
          <w:tcPr>
            <w:tcW w:w="6736"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204" w:type="dxa"/>
            <w:tcBorders/>
            <w:vAlign w:val="bottom"/>
          </w:tcPr>
          <w:p>
            <w:pPr>
              <w:pStyle w:val="TableContents"/>
              <w:bidi w:val="0"/>
              <w:spacing w:before="0" w:after="283"/>
              <w:jc w:val="left"/>
              <w:rPr/>
            </w:pPr>
            <w:r>
              <w:rPr/>
              <w:t>  </w:t>
            </w:r>
          </w:p>
        </w:tc>
        <w:tc>
          <w:tcPr>
            <w:tcW w:w="6532" w:type="dxa"/>
            <w:tcBorders/>
            <w:vAlign w:val="bottom"/>
          </w:tcPr>
          <w:p>
            <w:pPr>
              <w:pStyle w:val="TableContents"/>
              <w:bidi w:val="0"/>
              <w:spacing w:before="0" w:after="283"/>
              <w:jc w:val="left"/>
              <w:rPr/>
            </w:pPr>
            <w:r>
              <w:rPr/>
              <w:t>The notes and the indenture will be governed by the laws of the State of New York.</w:t>
            </w:r>
          </w:p>
        </w:tc>
      </w:tr>
      <w:tr>
        <w:trPr>
          <w:trHeight w:val="240" w:hRule="atLeast"/>
        </w:trPr>
        <w:tc>
          <w:tcPr>
            <w:tcW w:w="3469" w:type="dxa"/>
            <w:tcBorders/>
            <w:vAlign w:val="center"/>
          </w:tcPr>
          <w:p>
            <w:pPr>
              <w:pStyle w:val="TableContents"/>
              <w:bidi w:val="0"/>
              <w:spacing w:before="0" w:after="283"/>
              <w:jc w:val="left"/>
              <w:rPr>
                <w:sz w:val="4"/>
                <w:szCs w:val="4"/>
              </w:rPr>
            </w:pPr>
            <w:r>
              <w:rPr>
                <w:sz w:val="4"/>
                <w:szCs w:val="4"/>
              </w:rPr>
            </w:r>
          </w:p>
        </w:tc>
        <w:tc>
          <w:tcPr>
            <w:tcW w:w="6736"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0"/>
              <w:jc w:val="left"/>
              <w:rPr>
                <w:rFonts w:ascii="Times New Roman" w:hAnsi="Times New Roman"/>
                <w:sz w:val="20"/>
              </w:rPr>
            </w:pPr>
            <w:r>
              <w:rPr>
                <w:rFonts w:ascii="Times New Roman" w:hAnsi="Times New Roman"/>
                <w:sz w:val="20"/>
              </w:rPr>
              <w:t>Trustee</w:t>
            </w:r>
          </w:p>
        </w:tc>
        <w:tc>
          <w:tcPr>
            <w:tcW w:w="204" w:type="dxa"/>
            <w:tcBorders/>
            <w:vAlign w:val="bottom"/>
          </w:tcPr>
          <w:p>
            <w:pPr>
              <w:pStyle w:val="TableContents"/>
              <w:bidi w:val="0"/>
              <w:spacing w:before="0" w:after="283"/>
              <w:jc w:val="left"/>
              <w:rPr/>
            </w:pPr>
            <w:r>
              <w:rPr/>
              <w:t>  </w:t>
            </w:r>
          </w:p>
        </w:tc>
        <w:tc>
          <w:tcPr>
            <w:tcW w:w="6532" w:type="dxa"/>
            <w:tcBorders/>
            <w:vAlign w:val="bottom"/>
          </w:tcPr>
          <w:p>
            <w:pPr>
              <w:pStyle w:val="TableContents"/>
              <w:bidi w:val="0"/>
              <w:spacing w:before="0" w:after="283"/>
              <w:jc w:val="left"/>
              <w:rPr/>
            </w:pPr>
            <w:r>
              <w:rPr/>
              <w:t>The Bank of New York Mellon Trust Company, N.A.</w:t>
            </w:r>
          </w:p>
        </w:tc>
      </w:tr>
      <w:tr>
        <w:trPr>
          <w:trHeight w:val="240" w:hRule="atLeast"/>
        </w:trPr>
        <w:tc>
          <w:tcPr>
            <w:tcW w:w="3469" w:type="dxa"/>
            <w:tcBorders/>
            <w:vAlign w:val="center"/>
          </w:tcPr>
          <w:p>
            <w:pPr>
              <w:pStyle w:val="TableContents"/>
              <w:bidi w:val="0"/>
              <w:spacing w:before="0" w:after="283"/>
              <w:jc w:val="left"/>
              <w:rPr>
                <w:sz w:val="4"/>
                <w:szCs w:val="4"/>
              </w:rPr>
            </w:pPr>
            <w:r>
              <w:rPr>
                <w:sz w:val="4"/>
                <w:szCs w:val="4"/>
              </w:rPr>
            </w:r>
          </w:p>
        </w:tc>
        <w:tc>
          <w:tcPr>
            <w:tcW w:w="6736"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0"/>
              <w:jc w:val="left"/>
              <w:rPr>
                <w:rFonts w:ascii="Times New Roman" w:hAnsi="Times New Roman"/>
                <w:sz w:val="20"/>
              </w:rPr>
            </w:pPr>
            <w:r>
              <w:rPr>
                <w:rFonts w:ascii="Times New Roman" w:hAnsi="Times New Roman"/>
                <w:sz w:val="20"/>
              </w:rPr>
              <w:t>Risk Factors</w:t>
            </w:r>
          </w:p>
        </w:tc>
        <w:tc>
          <w:tcPr>
            <w:tcW w:w="204" w:type="dxa"/>
            <w:tcBorders/>
            <w:vAlign w:val="bottom"/>
          </w:tcPr>
          <w:p>
            <w:pPr>
              <w:pStyle w:val="TableContents"/>
              <w:bidi w:val="0"/>
              <w:spacing w:before="0" w:after="283"/>
              <w:jc w:val="left"/>
              <w:rPr/>
            </w:pPr>
            <w:r>
              <w:rPr/>
              <w:t>  </w:t>
            </w:r>
          </w:p>
        </w:tc>
        <w:tc>
          <w:tcPr>
            <w:tcW w:w="6532" w:type="dxa"/>
            <w:tcBorders/>
            <w:vAlign w:val="bottom"/>
          </w:tcPr>
          <w:p>
            <w:pPr>
              <w:pStyle w:val="TableContents"/>
              <w:bidi w:val="0"/>
              <w:spacing w:before="0" w:after="283"/>
              <w:jc w:val="left"/>
              <w:rPr/>
            </w:pPr>
            <w:r>
              <w:rPr/>
              <w:t>See “Risk Factors” beginning on page S-5 and the other information included in, or incorporated by reference into, this prospectus supplement and the accompanying base prospectus for a discussion of certain factors you should carefully consider before deciding to invest in the notes.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oc110651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our notes involves risks. Before you invest in the notes, you should carefully consider the following risk factors, together with all of the other information included in this prospectus supplement, the accompanying base prospectus and the documents incorporated herein by reference in evaluating an investment in the notes. In addition, you should carefully consider the other risks, uncertainties, and assumptions that are set forth under the caption “Risk Factors” in our Annual Report on Form 10-K for the year ended December 31, 2024, before investing in the notes. If any of the risks discussed below or in the foregoing documents were actually to occur, our business, prospects, financial condition, results of operations, cash flows, and, in some cases our reputation, could be materially adversely affected. In that case, we might not be able to pay interest on, or the principal of, the notes. In any such case, you may lose all or part of your original investment and not realize any return that you may have expected thereon. </w:t>
      </w:r>
    </w:p>
    <w:p>
      <w:pPr>
        <w:pStyle w:val="TextBody"/>
        <w:bidi w:val="0"/>
        <w:spacing w:before="240" w:after="0"/>
        <w:jc w:val="left"/>
        <w:rPr>
          <w:rFonts w:ascii="Times New Roman" w:hAnsi="Times New Roman"/>
          <w:i/>
          <w:sz w:val="20"/>
        </w:rPr>
      </w:pPr>
      <w:r>
        <w:rPr>
          <w:rFonts w:ascii="Times New Roman" w:hAnsi="Times New Roman"/>
          <w:i/>
          <w:sz w:val="20"/>
        </w:rPr>
        <w:t xml:space="preserve">In addition to the risks relating to us contained in the documents incorporated by reference in this prospectus supplement, the following are additional risks relating to an investment in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Restrictions in our debt agreements and the amount of our indebtedness may affect our future financial and operating flexibility.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we had outstanding indebtedness of approximately $30.8 billion, approximately $7.0 billion of which consisted of indebtedness of our subsidiaries. Borrowing capacity under our revolving credit facility was approximately $2.84 billion as of September 4, 2026, borrowing capacity under our 364-day credit facility as of September 4, 2026 was approximately $1 billion and we had approximately $910 million of commercial paper outstanding under our $3.5 billion commercial paper program as of September 4, 2026. </w:t>
      </w:r>
    </w:p>
    <w:p>
      <w:pPr>
        <w:pStyle w:val="TextBody"/>
        <w:bidi w:val="0"/>
        <w:spacing w:before="240" w:after="0"/>
        <w:jc w:val="left"/>
        <w:rPr>
          <w:rFonts w:ascii="Times New Roman" w:hAnsi="Times New Roman"/>
          <w:sz w:val="20"/>
        </w:rPr>
      </w:pPr>
      <w:r>
        <w:rPr>
          <w:rFonts w:ascii="Times New Roman" w:hAnsi="Times New Roman"/>
          <w:sz w:val="20"/>
        </w:rPr>
        <w:t xml:space="preserve">The agreements governing our indebtedness contain covenants that restrict our and our material subsidiaries’ ability to incur certain liens to support indebtedness and our ability to merge or consolidate or sell all or substantially all of our assets in certain circumstances. In addition, certain of our debt agreements contain various covenants that restrict or limit, among other things, our ability to make certain distributions during the continuation of an event of default, the ability of our subsidiaries to incur additional debt, and our, and our material subsidiaries’, ability to enter into certain affiliate transactions and certain restrictive agreements. Certain of our debt agreements also contain, and those we enter into in the future may contain, financial covenants, and other limitations with which we will need to comply. </w:t>
      </w:r>
    </w:p>
    <w:p>
      <w:pPr>
        <w:pStyle w:val="TextBody"/>
        <w:bidi w:val="0"/>
        <w:spacing w:before="240" w:after="0"/>
        <w:jc w:val="left"/>
        <w:rPr>
          <w:rFonts w:ascii="Times New Roman" w:hAnsi="Times New Roman"/>
          <w:sz w:val="20"/>
        </w:rPr>
      </w:pPr>
      <w:r>
        <w:rPr>
          <w:rFonts w:ascii="Times New Roman" w:hAnsi="Times New Roman"/>
          <w:sz w:val="20"/>
        </w:rPr>
        <w:t xml:space="preserve">Our debt service obligations and the covenants described above could have important consequences. For example, they could: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it more difficult for us to satisfy our obligations with respect to the notes and our other indebtedness, which could in turn result in an event of default on such other indebtedness or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our ability to obtain additional financing in the future for working capital, capital expenditures, acquisitions, general corporate purposes, or other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diminish our ability to withstand a continued or future downturn in our business or the economy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dedicate a substantial portion of our cash flow from operations to debt service payments, thereby reducing the availability of cash for working capital, capital expenditures, acquisitions, the payments of dividends, general corporate purposes, or other purposes;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flexibility in planning for, or reacting to, changes in our business and the industry in which we operate, including limiting our ability to expand or pursue our business activities and preventing us from engaging in certain transactions that might otherwise be considered beneficial to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ability to comply with our debt covenants, to repay, extend, or refinance our existing debt obligations, to make payments of interest on, and the principal of, the notes, and to obtain future credit will depend primarily on our operating performance. Our ability to refinance existing debt obligations or obtain future credit will also depend upon the current conditions in the credit markets and the availability of credit generally. If we are unable to comply with these covenants, meet our debt service obligations, or obtain future credit on favorable terms, or at all, we could be forced to restructure or refinance our indebtedness, seek additional equity capital or sell assets. We may be unable to obtain financing or sell assets on satisfactory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Our failure to comply with the covenants in the documents governing our indebtedness could result in events of default, which could render such indebtedness due and payable. We may not have sufficient liquidity to repay our indebtedness in such circumstances. In addition, cross-default or cross-acceleration provisions in our debt agreements could cause a default or acceleration to have a wider impact on our liquidity than might otherwise arise from a default or acceleration of a single debt instrument. For more information regarding our debt agreements, please read “Description of Other Indebtedness.” </w:t>
      </w:r>
    </w:p>
    <w:p>
      <w:pPr>
        <w:pStyle w:val="TextBody"/>
        <w:bidi w:val="0"/>
        <w:spacing w:before="240" w:after="0"/>
        <w:jc w:val="left"/>
        <w:rPr>
          <w:rFonts w:ascii="Times New Roman" w:hAnsi="Times New Roman"/>
          <w:sz w:val="20"/>
        </w:rPr>
      </w:pPr>
      <w:r>
        <w:rPr>
          <w:rFonts w:ascii="Times New Roman" w:hAnsi="Times New Roman"/>
          <w:sz w:val="20"/>
        </w:rPr>
        <w:t xml:space="preserve">We are not prohibited under the indenture that will govern the notes or the indentures that govern our existing senior unsecured notes from incurring additional indebtedness in addition to the notes. Our incurrence of significant additional indebtedness would exacerbate the negative consequences mentioned above, and could adversely affect our ability to pay the interest on, and principal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holding company structure in which our subsidiaries conduct our operations and own our operating assets, which may affect our ability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We have a holding company structure, and our subsidiaries conduct all of our operations and own all of our operating assets. We have no significant assets other than the ownership interests in these subsidiaries. As a result, our ability to make required payments on the notes depends on the performance of our subsidiaries and their ability to distribute funds to us. The ability of our subsidiaries to make distributions to us may be restricted by, among other things, applicable state partnership and limited liability company laws and other laws and regulations. If we are unable to obtain the funds necessary to pay the principal amount at maturity of the notes, we may be required to adopt one or more alternatives, such as a refinancing of the notes. We cannot assure you that we would be able to refinance the notes. As part of our cash management program with our subsidiaries, we enter into certain intercompany debt agreements with Transco, Northwest Pipeline and MountainWest. The amounts that we owe under these debt agreements could rank </w:t>
      </w:r>
      <w:r>
        <w:rPr>
          <w:rFonts w:ascii="Times New Roman" w:hAnsi="Times New Roman"/>
          <w:i/>
          <w:sz w:val="20"/>
        </w:rPr>
        <w:t>pari passu</w:t>
      </w:r>
      <w:r>
        <w:rPr>
          <w:rFonts w:ascii="Times New Roman" w:hAnsi="Times New Roman"/>
          <w:sz w:val="20"/>
        </w:rPr>
        <w:t xml:space="preserve"> with the notes and our existing senior indebtedness. As of June 30, 2026, the amount of our intercompany obligations to Northwest Pipeline, Transco and MountainWest totaled approximately $212 million, $900 million and $141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subsidiaries are not prohibited from incurring indebtedness by their organizational documents, which may affect our ability to pay interest on, and the principal of, the notes. </w:t>
      </w:r>
    </w:p>
    <w:p>
      <w:pPr>
        <w:pStyle w:val="TextBody"/>
        <w:bidi w:val="0"/>
        <w:spacing w:before="120" w:after="0"/>
        <w:jc w:val="left"/>
        <w:rPr>
          <w:rFonts w:ascii="Times New Roman" w:hAnsi="Times New Roman"/>
          <w:sz w:val="20"/>
        </w:rPr>
      </w:pPr>
      <w:r>
        <w:rPr>
          <w:rFonts w:ascii="Times New Roman" w:hAnsi="Times New Roman"/>
          <w:sz w:val="20"/>
        </w:rPr>
        <w:t xml:space="preserve">Our subsidiaries are not prohibited by the terms of their respective organizational documents from incurring indebtedness. If they were to incur significant amounts of indebtedness, such occurrence may inhibit their ability to make distributions to us. An inability by our subsidiaries to make distributions to us would materially and adversely affect our ability to pay interest on, and the principal of, the notes because we expect distributions we receive from our subsidiaries to represent a significant portion of the cash we use to pay interest on, and the principal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be structurally subordinated to liabilities and indebtedness of our subsidiaries and effectively subordinated to any of our secured indebtedness to the extent of the assets securing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no secured indebtedness outstanding, but holders of any secured indebtedness that we may incur in the future would have claims with respect to our assets constituting collateral for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are effectively prior to any claims you may have under the notes. In the event of a default on such secured indebtedness or our bankruptcy, liquidation or reorganization, those assets would be available to satisfy obligations with respect to the indebtedness secured thereby before any payment could be made on the notes. </w:t>
      </w:r>
    </w:p>
    <w:p>
      <w:pPr>
        <w:pStyle w:val="TextBody"/>
        <w:bidi w:val="0"/>
        <w:spacing w:before="240" w:after="0"/>
        <w:jc w:val="left"/>
        <w:rPr>
          <w:rFonts w:ascii="Times New Roman" w:hAnsi="Times New Roman"/>
          <w:sz w:val="20"/>
        </w:rPr>
      </w:pPr>
      <w:r>
        <w:rPr>
          <w:rFonts w:ascii="Times New Roman" w:hAnsi="Times New Roman"/>
          <w:sz w:val="20"/>
        </w:rPr>
        <w:t xml:space="preserve">Accordingly, any such secured indebtedness would effectively be senior to the notes to the extent of the value of the collateral securing the indebtedness. While the indenture governing the notes places some limitations on our ability to create liens, there are significant exceptions to these limitations that will allow us to secure some kinds of indebtedness without equally and ratably securing the notes. To the extent the value of the collateral is not sufficient to satisfy the secured indebtedness, the holders of that indebtedness would be entitled to share with the holders of the notes and the holders of other claims against us with respect to our other assets.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 In any of the foregoing events, we cannot assure you that there will be sufficient assets to pay amounts due on the notes. As a result, holders of notes may receive less, ratably, than holders of secured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notes are not guaranteed by our subsidiaries and our subsidiaries are generally not prohibited under the indenture from incurring additional indebtedness (in particular, Transco, Northwest Pipeline and MountainWest collectively had approximately $7.0 billion of indebtedness outstanding as of June 30, 2026; see “Description of Other Indebtedness” for a current description of our subsidiaries’ indebtedness). As a result, holders of the notes will be structurally subordinated to claims of third party creditors, including holders of indebtedness, of these subsidiaries. Claims of those other creditors, including trade creditors, secured creditors, governmental authorities, and holders of indebtedness or guarantees issued by the subsidiaries, will generally have priority as to the assets of the subsidiaries over claims by the holders of the notes. As a result, rights of payment of holders of our indebtedness, including the holders of the notes, will be structurally subordinated to all those claims of creditors of our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may not develop for our notes. </w:t>
      </w:r>
    </w:p>
    <w:p>
      <w:pPr>
        <w:pStyle w:val="TextBody"/>
        <w:bidi w:val="0"/>
        <w:spacing w:before="120" w:after="0"/>
        <w:jc w:val="left"/>
        <w:rPr>
          <w:rFonts w:ascii="Times New Roman" w:hAnsi="Times New Roman"/>
          <w:sz w:val="20"/>
        </w:rPr>
      </w:pPr>
      <w:r>
        <w:rPr>
          <w:rFonts w:ascii="Times New Roman" w:hAnsi="Times New Roman"/>
          <w:sz w:val="20"/>
        </w:rPr>
        <w:t xml:space="preserve">Prior to this offering, there was no established trading market for the notes. We do not intend to apply for the notes to be listed on any securities exchange or to arrange for any quotation system to quote. We have been informed by the underwriters that they intend to make a market in the notes after this offering is completed. However, none of the underwriters is obligated to make a market in the notes and, even if the underwriters commence market making, they may cease their market-making at any time. In addition, the liquidity of the trading market in the notes and the market price quoted for the notes may be adversely affected by changes in the overall market for debt securities and by changes in our financial performance or prospects or in the financial performance or prospects of companies in our industry. As a result, an active trading market may not develop or be maintained for our notes. If an active trading market does not develop or is not maintained, the market price and liquidity of our notes may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110651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this offering of notes will be approximately $    , after deducting estimated underwriting discounts and offering expenses payable by us. We intend to use the net proceeds of this offering to repay outstanding commercial paper and for other general corporate purposes, including funding capital expenditures. As of September 4, 2026, we had approximately $910 million of commercial paper outstanding with a weighted average annual interest rate of 3.8802% and a weighted average maturity of 6.14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110651_6"/>
      <w:bookmarkEnd w:id="8"/>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historical cash and cash equivalents and capitalization as of June 30, 2026, as adjusted to reflect: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of the notes offered by us in this offering, after deducting estimated underwriting discounts and offering expenses payable by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application of the net proceeds of this offering as described under “Use of Proceeds” in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does not contain any adjustments related to the Momentum Acquisition or the Power Innovation Joint Venture, each of which occurred after June 30, 2026. This table is derived from and should be read together with our historical consolidated financial statements and the accompanying notes included in our Quarterly Report on Form 10-Q for the period ended June 30, 2026, which is incorporated by reference in this prospectus supplement. You should also read this table in conjunction with “Management’s Discussion and Analysis of Financial Condition and Results of Operations” in our Quarterly Report on Form 10-Q for the period ended June 30, 2026, which is incorporated by reference into this prospectus supplement.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017"/>
        <w:gridCol w:w="481"/>
        <w:gridCol w:w="169"/>
        <w:gridCol w:w="826"/>
        <w:gridCol w:w="60"/>
        <w:gridCol w:w="481"/>
        <w:gridCol w:w="218"/>
        <w:gridCol w:w="1072"/>
        <w:gridCol w:w="64"/>
      </w:tblGrid>
      <w:tr>
        <w:trPr/>
        <w:tc>
          <w:tcPr>
            <w:tcW w:w="6017"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017"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8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w:t>
              <w:br/>
              <w:t>2026</w:t>
            </w:r>
          </w:p>
        </w:tc>
        <w:tc>
          <w:tcPr>
            <w:tcW w:w="64" w:type="dxa"/>
            <w:tcBorders/>
            <w:vAlign w:val="bottom"/>
          </w:tcPr>
          <w:p>
            <w:pPr>
              <w:pStyle w:val="TableContents"/>
              <w:bidi w:val="0"/>
              <w:spacing w:before="0" w:after="283"/>
              <w:jc w:val="left"/>
              <w:rPr/>
            </w:pPr>
            <w:r>
              <w:rPr/>
              <w:t> </w:t>
            </w:r>
          </w:p>
        </w:tc>
      </w:tr>
      <w:tr>
        <w:trPr/>
        <w:tc>
          <w:tcPr>
            <w:tcW w:w="6017"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12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64" w:type="dxa"/>
            <w:tcBorders/>
            <w:vAlign w:val="bottom"/>
          </w:tcPr>
          <w:p>
            <w:pPr>
              <w:pStyle w:val="TableContents"/>
              <w:bidi w:val="0"/>
              <w:spacing w:before="0" w:after="283"/>
              <w:jc w:val="left"/>
              <w:rPr/>
            </w:pPr>
            <w:r>
              <w:rPr/>
              <w:t> </w:t>
            </w:r>
          </w:p>
        </w:tc>
      </w:tr>
      <w:tr>
        <w:trPr/>
        <w:tc>
          <w:tcPr>
            <w:tcW w:w="6017"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826" w:type="dxa"/>
            <w:gridSpan w:val="6"/>
            <w:tcBorders/>
            <w:vAlign w:val="bottom"/>
          </w:tcPr>
          <w:p>
            <w:pPr>
              <w:pStyle w:val="TableContents"/>
              <w:bidi w:val="0"/>
              <w:spacing w:before="0" w:after="283"/>
              <w:jc w:val="center"/>
              <w:rPr>
                <w:b/>
              </w:rPr>
            </w:pPr>
            <w:r>
              <w:rPr>
                <w:b/>
              </w:rPr>
              <w:t>($ in millions)</w:t>
            </w:r>
          </w:p>
        </w:tc>
        <w:tc>
          <w:tcPr>
            <w:tcW w:w="64" w:type="dxa"/>
            <w:tcBorders/>
            <w:vAlign w:val="bottom"/>
          </w:tcPr>
          <w:p>
            <w:pPr>
              <w:pStyle w:val="TableContents"/>
              <w:bidi w:val="0"/>
              <w:spacing w:before="0" w:after="283"/>
              <w:jc w:val="left"/>
              <w:rPr/>
            </w:pPr>
            <w:r>
              <w:rPr/>
              <w:t> </w:t>
            </w:r>
          </w:p>
        </w:tc>
      </w:tr>
      <w:tr>
        <w:trPr/>
        <w:tc>
          <w:tcPr>
            <w:tcW w:w="60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203</w:t>
            </w:r>
          </w:p>
        </w:tc>
        <w:tc>
          <w:tcPr>
            <w:tcW w:w="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07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6017" w:type="dxa"/>
            <w:tcBorders/>
            <w:vAlign w:val="bottom"/>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017" w:type="dxa"/>
            <w:tcBorders/>
          </w:tcPr>
          <w:p>
            <w:pPr>
              <w:pStyle w:val="TableContents"/>
              <w:bidi w:val="0"/>
              <w:spacing w:before="0" w:after="0"/>
              <w:jc w:val="left"/>
              <w:rPr>
                <w:rFonts w:ascii="Times New Roman" w:hAnsi="Times New Roman"/>
                <w:sz w:val="20"/>
              </w:rPr>
            </w:pPr>
            <w:r>
              <w:rPr>
                <w:rFonts w:ascii="Times New Roman" w:hAnsi="Times New Roman"/>
                <w:sz w:val="20"/>
              </w:rPr>
              <w:t>Short-term debt:</w:t>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0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and other financing obligations due within one year (a)</w:t>
            </w:r>
          </w:p>
        </w:tc>
        <w:tc>
          <w:tcPr>
            <w:tcW w:w="4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2,197</w:t>
            </w:r>
          </w:p>
        </w:tc>
        <w:tc>
          <w:tcPr>
            <w:tcW w:w="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072" w:type="dxa"/>
            <w:tcBorders/>
            <w:shd w:fill="CCEEFF" w:val="clear"/>
            <w:vAlign w:val="bottom"/>
          </w:tcPr>
          <w:p>
            <w:pPr>
              <w:pStyle w:val="TableContents"/>
              <w:bidi w:val="0"/>
              <w:spacing w:before="0" w:after="283"/>
              <w:jc w:val="right"/>
              <w:rPr/>
            </w:pPr>
            <w:r>
              <w:rPr/>
              <w:t>2,197</w:t>
            </w:r>
          </w:p>
        </w:tc>
        <w:tc>
          <w:tcPr>
            <w:tcW w:w="64" w:type="dxa"/>
            <w:tcBorders/>
            <w:shd w:fill="CCEEFF" w:val="clear"/>
            <w:vAlign w:val="bottom"/>
          </w:tcPr>
          <w:p>
            <w:pPr>
              <w:pStyle w:val="TableContents"/>
              <w:bidi w:val="0"/>
              <w:spacing w:before="0" w:after="283"/>
              <w:jc w:val="left"/>
              <w:rPr/>
            </w:pPr>
            <w:r>
              <w:rPr/>
              <w:t> </w:t>
            </w:r>
          </w:p>
        </w:tc>
      </w:tr>
      <w:tr>
        <w:trPr/>
        <w:tc>
          <w:tcPr>
            <w:tcW w:w="6017" w:type="dxa"/>
            <w:tcBorders/>
          </w:tcPr>
          <w:p>
            <w:pPr>
              <w:pStyle w:val="TableContents"/>
              <w:bidi w:val="0"/>
              <w:spacing w:before="0" w:after="0"/>
              <w:jc w:val="left"/>
              <w:rPr>
                <w:rFonts w:ascii="Times New Roman" w:hAnsi="Times New Roman"/>
                <w:sz w:val="20"/>
              </w:rPr>
            </w:pPr>
            <w:r>
              <w:rPr>
                <w:rFonts w:ascii="Times New Roman" w:hAnsi="Times New Roman"/>
                <w:sz w:val="20"/>
              </w:rPr>
              <w:t>Commercial paper notes (b)</w:t>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475</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017" w:type="dxa"/>
            <w:tcBorders/>
            <w:vAlign w:val="bottom"/>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0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short-term debt</w:t>
            </w:r>
          </w:p>
        </w:tc>
        <w:tc>
          <w:tcPr>
            <w:tcW w:w="4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2,672</w:t>
            </w:r>
          </w:p>
        </w:tc>
        <w:tc>
          <w:tcPr>
            <w:tcW w:w="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07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017"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(less unamortized debt discount and issuance costs):</w:t>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0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Our revolving credit facility (c)</w:t>
            </w:r>
          </w:p>
        </w:tc>
        <w:tc>
          <w:tcPr>
            <w:tcW w:w="4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6017" w:type="dxa"/>
            <w:tcBorders/>
          </w:tcPr>
          <w:p>
            <w:pPr>
              <w:pStyle w:val="TableContents"/>
              <w:bidi w:val="0"/>
              <w:spacing w:before="0" w:after="0"/>
              <w:jc w:val="left"/>
              <w:rPr>
                <w:rFonts w:ascii="Times New Roman" w:hAnsi="Times New Roman"/>
                <w:sz w:val="20"/>
              </w:rPr>
            </w:pPr>
            <w:r>
              <w:rPr>
                <w:rFonts w:ascii="Times New Roman" w:hAnsi="Times New Roman"/>
                <w:sz w:val="20"/>
              </w:rPr>
              <w:t>Our 364-day credit facility (d)</w:t>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6017" w:type="dxa"/>
            <w:tcBorders/>
            <w:shd w:fill="CCEEFF" w:val="clear"/>
          </w:tcPr>
          <w:p>
            <w:pPr>
              <w:pStyle w:val="TableContents"/>
              <w:bidi w:val="0"/>
              <w:spacing w:before="0" w:after="0"/>
              <w:jc w:val="left"/>
              <w:rPr/>
            </w:pPr>
            <w:r>
              <w:rPr/>
              <w:t>  </w:t>
            </w:r>
            <w:r>
              <w:rPr>
                <w:rFonts w:ascii="Times New Roman" w:hAnsi="Times New Roman"/>
                <w:sz w:val="20"/>
              </w:rPr>
              <w:t>% Senior Notes due   offered hereby</w:t>
            </w:r>
          </w:p>
        </w:tc>
        <w:tc>
          <w:tcPr>
            <w:tcW w:w="4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07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017" w:type="dxa"/>
            <w:tcBorders/>
          </w:tcPr>
          <w:p>
            <w:pPr>
              <w:pStyle w:val="TableContents"/>
              <w:bidi w:val="0"/>
              <w:spacing w:before="0" w:after="0"/>
              <w:jc w:val="left"/>
              <w:rPr/>
            </w:pPr>
            <w:r>
              <w:rPr/>
              <w:t>  </w:t>
            </w:r>
            <w:r>
              <w:rPr>
                <w:rFonts w:ascii="Times New Roman" w:hAnsi="Times New Roman"/>
                <w:sz w:val="20"/>
              </w:rPr>
              <w:t>% Senior Notes due   offered hereby</w:t>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017" w:type="dxa"/>
            <w:tcBorders/>
            <w:shd w:fill="CCEEFF" w:val="clear"/>
          </w:tcPr>
          <w:p>
            <w:pPr>
              <w:pStyle w:val="TableContents"/>
              <w:bidi w:val="0"/>
              <w:spacing w:before="0" w:after="0"/>
              <w:jc w:val="left"/>
              <w:rPr/>
            </w:pPr>
            <w:r>
              <w:rPr/>
              <w:t>  </w:t>
            </w:r>
            <w:r>
              <w:rPr>
                <w:rFonts w:ascii="Times New Roman" w:hAnsi="Times New Roman"/>
                <w:sz w:val="20"/>
              </w:rPr>
              <w:t>% Senior Notes due   offered hereby</w:t>
            </w:r>
          </w:p>
        </w:tc>
        <w:tc>
          <w:tcPr>
            <w:tcW w:w="4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07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017" w:type="dxa"/>
            <w:tcBorders/>
          </w:tcPr>
          <w:p>
            <w:pPr>
              <w:pStyle w:val="TableContents"/>
              <w:bidi w:val="0"/>
              <w:spacing w:before="0" w:after="0"/>
              <w:jc w:val="left"/>
              <w:rPr/>
            </w:pPr>
            <w:r>
              <w:rPr/>
              <w:t>  </w:t>
            </w:r>
            <w:r>
              <w:rPr>
                <w:rFonts w:ascii="Times New Roman" w:hAnsi="Times New Roman"/>
                <w:sz w:val="20"/>
              </w:rPr>
              <w:t>% Senior Notes due   offered hereby</w:t>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0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Our notes and debentures with various interest rates ranging from 2.600% to 8.750% and maturities from 2028 to 2056</w:t>
            </w:r>
          </w:p>
        </w:tc>
        <w:tc>
          <w:tcPr>
            <w:tcW w:w="4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21,849</w:t>
            </w:r>
          </w:p>
        </w:tc>
        <w:tc>
          <w:tcPr>
            <w:tcW w:w="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21,849</w:t>
            </w:r>
          </w:p>
        </w:tc>
        <w:tc>
          <w:tcPr>
            <w:tcW w:w="64" w:type="dxa"/>
            <w:tcBorders/>
            <w:shd w:fill="CCEEFF" w:val="clear"/>
            <w:vAlign w:val="bottom"/>
          </w:tcPr>
          <w:p>
            <w:pPr>
              <w:pStyle w:val="TableContents"/>
              <w:bidi w:val="0"/>
              <w:spacing w:before="0" w:after="283"/>
              <w:jc w:val="left"/>
              <w:rPr/>
            </w:pPr>
            <w:r>
              <w:rPr/>
              <w:t> </w:t>
            </w:r>
          </w:p>
        </w:tc>
      </w:tr>
      <w:tr>
        <w:trPr/>
        <w:tc>
          <w:tcPr>
            <w:tcW w:w="6017" w:type="dxa"/>
            <w:tcBorders/>
          </w:tcPr>
          <w:p>
            <w:pPr>
              <w:pStyle w:val="TableContents"/>
              <w:bidi w:val="0"/>
              <w:spacing w:before="0" w:after="0"/>
              <w:jc w:val="left"/>
              <w:rPr>
                <w:rFonts w:ascii="Times New Roman" w:hAnsi="Times New Roman"/>
                <w:sz w:val="20"/>
              </w:rPr>
            </w:pPr>
            <w:r>
              <w:rPr>
                <w:rFonts w:ascii="Times New Roman" w:hAnsi="Times New Roman"/>
                <w:sz w:val="20"/>
              </w:rPr>
              <w:t>Transco notes and debentures with various interest rates ranging from 3.250% to 5.750% and maturities from 2028 to 2056 and other financing obligations (a)</w:t>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5,643</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5,643</w:t>
            </w:r>
          </w:p>
        </w:tc>
        <w:tc>
          <w:tcPr>
            <w:tcW w:w="64" w:type="dxa"/>
            <w:tcBorders/>
            <w:vAlign w:val="bottom"/>
          </w:tcPr>
          <w:p>
            <w:pPr>
              <w:pStyle w:val="TableContents"/>
              <w:bidi w:val="0"/>
              <w:spacing w:before="0" w:after="283"/>
              <w:jc w:val="left"/>
              <w:rPr/>
            </w:pPr>
            <w:r>
              <w:rPr/>
              <w:t> </w:t>
            </w:r>
          </w:p>
        </w:tc>
      </w:tr>
      <w:tr>
        <w:trPr/>
        <w:tc>
          <w:tcPr>
            <w:tcW w:w="60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Northwest Pipeline Credit Agreement</w:t>
            </w:r>
          </w:p>
        </w:tc>
        <w:tc>
          <w:tcPr>
            <w:tcW w:w="4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250</w:t>
            </w:r>
          </w:p>
        </w:tc>
        <w:tc>
          <w:tcPr>
            <w:tcW w:w="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250</w:t>
            </w:r>
          </w:p>
        </w:tc>
        <w:tc>
          <w:tcPr>
            <w:tcW w:w="64" w:type="dxa"/>
            <w:tcBorders/>
            <w:shd w:fill="CCEEFF" w:val="clear"/>
            <w:vAlign w:val="bottom"/>
          </w:tcPr>
          <w:p>
            <w:pPr>
              <w:pStyle w:val="TableContents"/>
              <w:bidi w:val="0"/>
              <w:spacing w:before="0" w:after="283"/>
              <w:jc w:val="left"/>
              <w:rPr/>
            </w:pPr>
            <w:r>
              <w:rPr/>
              <w:t> </w:t>
            </w:r>
          </w:p>
        </w:tc>
      </w:tr>
      <w:tr>
        <w:trPr/>
        <w:tc>
          <w:tcPr>
            <w:tcW w:w="601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MountainWest notes and debentures with various interest rates ranging from 3.530% to 4.875% and maturities from </w:t>
              <w:br/>
              <w:t>2028 to 2041</w:t>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379</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379</w:t>
            </w:r>
          </w:p>
        </w:tc>
        <w:tc>
          <w:tcPr>
            <w:tcW w:w="64" w:type="dxa"/>
            <w:tcBorders/>
            <w:vAlign w:val="bottom"/>
          </w:tcPr>
          <w:p>
            <w:pPr>
              <w:pStyle w:val="TableContents"/>
              <w:bidi w:val="0"/>
              <w:spacing w:before="0" w:after="283"/>
              <w:jc w:val="left"/>
              <w:rPr/>
            </w:pPr>
            <w:r>
              <w:rPr/>
              <w:t> </w:t>
            </w:r>
          </w:p>
        </w:tc>
      </w:tr>
      <w:tr>
        <w:trPr/>
        <w:tc>
          <w:tcPr>
            <w:tcW w:w="6017" w:type="dxa"/>
            <w:tcBorders/>
            <w:vAlign w:val="bottom"/>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0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debt (e)</w:t>
            </w:r>
          </w:p>
        </w:tc>
        <w:tc>
          <w:tcPr>
            <w:tcW w:w="4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28,121</w:t>
            </w:r>
          </w:p>
        </w:tc>
        <w:tc>
          <w:tcPr>
            <w:tcW w:w="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07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5956"/>
        <w:gridCol w:w="416"/>
        <w:gridCol w:w="155"/>
        <w:gridCol w:w="847"/>
        <w:gridCol w:w="155"/>
        <w:gridCol w:w="416"/>
        <w:gridCol w:w="204"/>
        <w:gridCol w:w="1080"/>
        <w:gridCol w:w="159"/>
      </w:tblGrid>
      <w:tr>
        <w:trPr/>
        <w:tc>
          <w:tcPr>
            <w:tcW w:w="5956"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8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w:t>
              <w:br/>
              <w:t>2026</w:t>
            </w:r>
          </w:p>
        </w:tc>
        <w:tc>
          <w:tcPr>
            <w:tcW w:w="159" w:type="dxa"/>
            <w:tcBorders/>
            <w:vAlign w:val="bottom"/>
          </w:tcPr>
          <w:p>
            <w:pPr>
              <w:pStyle w:val="TableContents"/>
              <w:bidi w:val="0"/>
              <w:spacing w:before="0" w:after="283"/>
              <w:jc w:val="left"/>
              <w:rPr/>
            </w:pPr>
            <w:r>
              <w:rPr/>
              <w:t> </w:t>
            </w:r>
          </w:p>
        </w:tc>
      </w:tr>
      <w:tr>
        <w:trPr/>
        <w:tc>
          <w:tcPr>
            <w:tcW w:w="5956"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159" w:type="dxa"/>
            <w:tcBorders/>
            <w:vAlign w:val="bottom"/>
          </w:tcPr>
          <w:p>
            <w:pPr>
              <w:pStyle w:val="TableContents"/>
              <w:bidi w:val="0"/>
              <w:spacing w:before="0" w:after="283"/>
              <w:jc w:val="left"/>
              <w:rPr/>
            </w:pPr>
            <w:r>
              <w:rPr/>
              <w:t> </w:t>
            </w:r>
          </w:p>
        </w:tc>
      </w:tr>
      <w:tr>
        <w:trPr/>
        <w:tc>
          <w:tcPr>
            <w:tcW w:w="5956"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857" w:type="dxa"/>
            <w:gridSpan w:val="6"/>
            <w:tcBorders/>
            <w:vAlign w:val="bottom"/>
          </w:tcPr>
          <w:p>
            <w:pPr>
              <w:pStyle w:val="TableContents"/>
              <w:bidi w:val="0"/>
              <w:spacing w:before="0" w:after="283"/>
              <w:jc w:val="center"/>
              <w:rPr>
                <w:b/>
              </w:rPr>
            </w:pPr>
            <w:r>
              <w:rPr>
                <w:b/>
              </w:rPr>
              <w:t>($ in millions)</w:t>
            </w:r>
          </w:p>
        </w:tc>
        <w:tc>
          <w:tcPr>
            <w:tcW w:w="159" w:type="dxa"/>
            <w:tcBorders/>
            <w:vAlign w:val="bottom"/>
          </w:tcPr>
          <w:p>
            <w:pPr>
              <w:pStyle w:val="TableContents"/>
              <w:bidi w:val="0"/>
              <w:spacing w:before="0" w:after="283"/>
              <w:jc w:val="left"/>
              <w:rPr/>
            </w:pPr>
            <w:r>
              <w:rPr/>
              <w:t> </w:t>
            </w:r>
          </w:p>
        </w:tc>
      </w:tr>
      <w:tr>
        <w:trPr/>
        <w:tc>
          <w:tcPr>
            <w:tcW w:w="5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41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08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956"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41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84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($1 par value; 30 million shares authorized at June 30, 2026; 35,000 shares issued at June 30, 2026)</w:t>
            </w:r>
          </w:p>
        </w:tc>
        <w:tc>
          <w:tcPr>
            <w:tcW w:w="41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35</w:t>
            </w:r>
          </w:p>
        </w:tc>
        <w:tc>
          <w:tcPr>
            <w:tcW w:w="159" w:type="dxa"/>
            <w:tcBorders/>
            <w:shd w:fill="CCEEFF" w:val="clear"/>
            <w:vAlign w:val="bottom"/>
          </w:tcPr>
          <w:p>
            <w:pPr>
              <w:pStyle w:val="TableContents"/>
              <w:bidi w:val="0"/>
              <w:spacing w:before="0" w:after="283"/>
              <w:jc w:val="left"/>
              <w:rPr/>
            </w:pPr>
            <w:r>
              <w:rPr/>
              <w:t> </w:t>
            </w:r>
          </w:p>
        </w:tc>
      </w:tr>
      <w:tr>
        <w:trPr/>
        <w:tc>
          <w:tcPr>
            <w:tcW w:w="5956"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($1 par value; 1,470 million shares authorized at June 30, 2026; 1,261 million shares issued at June 30, 2026)</w:t>
            </w:r>
          </w:p>
        </w:tc>
        <w:tc>
          <w:tcPr>
            <w:tcW w:w="41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1,262</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1,262</w:t>
            </w:r>
          </w:p>
        </w:tc>
        <w:tc>
          <w:tcPr>
            <w:tcW w:w="159" w:type="dxa"/>
            <w:tcBorders/>
            <w:vAlign w:val="bottom"/>
          </w:tcPr>
          <w:p>
            <w:pPr>
              <w:pStyle w:val="TableContents"/>
              <w:bidi w:val="0"/>
              <w:spacing w:before="0" w:after="283"/>
              <w:jc w:val="left"/>
              <w:rPr/>
            </w:pPr>
            <w:r>
              <w:rPr/>
              <w:t> </w:t>
            </w:r>
          </w:p>
        </w:tc>
      </w:tr>
      <w:tr>
        <w:trPr/>
        <w:tc>
          <w:tcPr>
            <w:tcW w:w="5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in excess of par value</w:t>
            </w:r>
          </w:p>
        </w:tc>
        <w:tc>
          <w:tcPr>
            <w:tcW w:w="41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24,783</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24,783</w:t>
            </w:r>
          </w:p>
        </w:tc>
        <w:tc>
          <w:tcPr>
            <w:tcW w:w="159" w:type="dxa"/>
            <w:tcBorders/>
            <w:shd w:fill="CCEEFF" w:val="clear"/>
            <w:vAlign w:val="bottom"/>
          </w:tcPr>
          <w:p>
            <w:pPr>
              <w:pStyle w:val="TableContents"/>
              <w:bidi w:val="0"/>
              <w:spacing w:before="0" w:after="283"/>
              <w:jc w:val="left"/>
              <w:rPr/>
            </w:pPr>
            <w:r>
              <w:rPr/>
              <w:t> </w:t>
            </w:r>
          </w:p>
        </w:tc>
      </w:tr>
      <w:tr>
        <w:trPr/>
        <w:tc>
          <w:tcPr>
            <w:tcW w:w="5956" w:type="dxa"/>
            <w:tcBorders/>
          </w:tcPr>
          <w:p>
            <w:pPr>
              <w:pStyle w:val="TableContents"/>
              <w:bidi w:val="0"/>
              <w:spacing w:before="0" w:after="0"/>
              <w:jc w:val="left"/>
              <w:rPr>
                <w:rFonts w:ascii="Times New Roman" w:hAnsi="Times New Roman"/>
                <w:sz w:val="20"/>
              </w:rPr>
            </w:pPr>
            <w:r>
              <w:rPr>
                <w:rFonts w:ascii="Times New Roman" w:hAnsi="Times New Roman"/>
                <w:sz w:val="20"/>
              </w:rPr>
              <w:t>Retained deficit</w:t>
            </w:r>
          </w:p>
        </w:tc>
        <w:tc>
          <w:tcPr>
            <w:tcW w:w="41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(11,834</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(11,834</w:t>
            </w:r>
          </w:p>
        </w:tc>
        <w:tc>
          <w:tcPr>
            <w:tcW w:w="159" w:type="dxa"/>
            <w:tcBorders/>
            <w:vAlign w:val="bottom"/>
          </w:tcPr>
          <w:p>
            <w:pPr>
              <w:pStyle w:val="TableContents"/>
              <w:bidi w:val="0"/>
              <w:spacing w:before="0" w:after="283"/>
              <w:jc w:val="left"/>
              <w:rPr/>
            </w:pPr>
            <w:r>
              <w:rPr/>
              <w:t>) </w:t>
            </w:r>
          </w:p>
        </w:tc>
      </w:tr>
      <w:tr>
        <w:trPr/>
        <w:tc>
          <w:tcPr>
            <w:tcW w:w="5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41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124</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124</w:t>
            </w:r>
          </w:p>
        </w:tc>
        <w:tc>
          <w:tcPr>
            <w:tcW w:w="159" w:type="dxa"/>
            <w:tcBorders/>
            <w:shd w:fill="CCEEFF" w:val="clear"/>
            <w:vAlign w:val="bottom"/>
          </w:tcPr>
          <w:p>
            <w:pPr>
              <w:pStyle w:val="TableContents"/>
              <w:bidi w:val="0"/>
              <w:spacing w:before="0" w:after="283"/>
              <w:jc w:val="left"/>
              <w:rPr/>
            </w:pPr>
            <w:r>
              <w:rPr/>
              <w:t> </w:t>
            </w:r>
          </w:p>
        </w:tc>
      </w:tr>
      <w:tr>
        <w:trPr/>
        <w:tc>
          <w:tcPr>
            <w:tcW w:w="5956" w:type="dxa"/>
            <w:tcBorders/>
          </w:tcPr>
          <w:p>
            <w:pPr>
              <w:pStyle w:val="TableContents"/>
              <w:bidi w:val="0"/>
              <w:spacing w:before="0" w:after="0"/>
              <w:jc w:val="left"/>
              <w:rPr>
                <w:rFonts w:ascii="Times New Roman" w:hAnsi="Times New Roman"/>
                <w:sz w:val="20"/>
              </w:rPr>
            </w:pPr>
            <w:r>
              <w:rPr>
                <w:rFonts w:ascii="Times New Roman" w:hAnsi="Times New Roman"/>
                <w:sz w:val="20"/>
              </w:rPr>
              <w:t>Treasury stock, at cost (39 million shares of common stock)</w:t>
            </w:r>
          </w:p>
        </w:tc>
        <w:tc>
          <w:tcPr>
            <w:tcW w:w="41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(1,180</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(1,180</w:t>
            </w:r>
          </w:p>
        </w:tc>
        <w:tc>
          <w:tcPr>
            <w:tcW w:w="159" w:type="dxa"/>
            <w:tcBorders/>
            <w:vAlign w:val="bottom"/>
          </w:tcPr>
          <w:p>
            <w:pPr>
              <w:pStyle w:val="TableContents"/>
              <w:bidi w:val="0"/>
              <w:spacing w:before="0" w:after="283"/>
              <w:jc w:val="left"/>
              <w:rPr/>
            </w:pPr>
            <w:r>
              <w:rPr/>
              <w:t>) </w:t>
            </w:r>
          </w:p>
        </w:tc>
      </w:tr>
      <w:tr>
        <w:trPr/>
        <w:tc>
          <w:tcPr>
            <w:tcW w:w="595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41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13,190</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13,190</w:t>
            </w:r>
          </w:p>
        </w:tc>
        <w:tc>
          <w:tcPr>
            <w:tcW w:w="159" w:type="dxa"/>
            <w:tcBorders/>
            <w:shd w:fill="CCEEFF" w:val="clear"/>
            <w:vAlign w:val="bottom"/>
          </w:tcPr>
          <w:p>
            <w:pPr>
              <w:pStyle w:val="TableContents"/>
              <w:bidi w:val="0"/>
              <w:spacing w:before="0" w:after="283"/>
              <w:jc w:val="left"/>
              <w:rPr/>
            </w:pPr>
            <w:r>
              <w:rPr/>
              <w:t> </w:t>
            </w:r>
          </w:p>
        </w:tc>
      </w:tr>
      <w:tr>
        <w:trPr/>
        <w:tc>
          <w:tcPr>
            <w:tcW w:w="5956"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interests in consolidated subsidiaries</w:t>
            </w:r>
          </w:p>
        </w:tc>
        <w:tc>
          <w:tcPr>
            <w:tcW w:w="41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2,178</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2,178</w:t>
            </w:r>
          </w:p>
        </w:tc>
        <w:tc>
          <w:tcPr>
            <w:tcW w:w="159" w:type="dxa"/>
            <w:tcBorders/>
            <w:vAlign w:val="bottom"/>
          </w:tcPr>
          <w:p>
            <w:pPr>
              <w:pStyle w:val="TableContents"/>
              <w:bidi w:val="0"/>
              <w:spacing w:before="0" w:after="283"/>
              <w:jc w:val="left"/>
              <w:rPr/>
            </w:pPr>
            <w:r>
              <w:rPr/>
              <w:t> </w:t>
            </w:r>
          </w:p>
        </w:tc>
      </w:tr>
      <w:tr>
        <w:trPr/>
        <w:tc>
          <w:tcPr>
            <w:tcW w:w="595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41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15,368</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15,368</w:t>
            </w:r>
          </w:p>
        </w:tc>
        <w:tc>
          <w:tcPr>
            <w:tcW w:w="159" w:type="dxa"/>
            <w:tcBorders/>
            <w:shd w:fill="CCEEFF" w:val="clear"/>
            <w:vAlign w:val="bottom"/>
          </w:tcPr>
          <w:p>
            <w:pPr>
              <w:pStyle w:val="TableContents"/>
              <w:bidi w:val="0"/>
              <w:spacing w:before="0" w:after="283"/>
              <w:jc w:val="left"/>
              <w:rPr/>
            </w:pPr>
            <w:r>
              <w:rPr/>
              <w:t> </w:t>
            </w:r>
          </w:p>
        </w:tc>
      </w:tr>
      <w:tr>
        <w:trPr/>
        <w:tc>
          <w:tcPr>
            <w:tcW w:w="595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56"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 (including current maturities of long-term debt)</w:t>
            </w:r>
          </w:p>
        </w:tc>
        <w:tc>
          <w:tcPr>
            <w:tcW w:w="41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46,161</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95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8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pPr>
            <w:r>
              <w:rPr/>
              <w:t>“</w:t>
            </w:r>
            <w:r>
              <w:rPr>
                <w:rFonts w:ascii="Times New Roman" w:hAnsi="Times New Roman"/>
                <w:sz w:val="20"/>
              </w:rPr>
              <w:t xml:space="preserve">Other financing obligations” is comprised of (1) approximately $741 million of debt obligations related to Transco’s Atlantic Sunrise project, $34 million of which is included in Long-term debt and other financing obligations due within one year, (2) approximately $73 million of debt obligations related to Transco’s Leidy South project, $2 million of which is included in Long-term debt and other financing obligations due within one year, and (3) approximately $245 million of debt obligations related to Transco’s Dalton project, $4 million of which is included in Long-term debt and other financing obligations due within one year. The obligations, which mature in 2038, 2041, and 2052, respectively, require monthly interest and principal payments and bear interest rates of approximately 9 percent, 13 percent, and 9 percent, respectively. See “Description of Other Indebtedness — Transco and Northwest Pipeline Indebtedness — Other Obligations.”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September 4, 2026, we had approximately $910 million of commercial paper outstanding and approximately $2.59 billion of borrowing capacity available under our $3.5 billion commercial paper program.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Borrowing capacity under our $3.75 billion revolving credit facility as of September 4, 2026 was approximately $2.84 billion. Borrowing capacity under the revolving credit facility is reduced by the amount of any commercial paper outstanding.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Borrowing capacity under our $1.0 billion 364-day credit facility as of September 4, 2026 was approximately $1 billion.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include intercompany debt. See “Risk Factors — Risks Related to the Notes — We have a holding company structure in which our subsidiaries conduct our operations and own our operating assets, which may affect our ability to make payments on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110651_7"/>
      <w:bookmarkEnd w:id="9"/>
      <w:r>
        <w:rPr>
          <w:rFonts w:ascii="Times New Roman" w:hAnsi="Times New Roman"/>
          <w:b/>
          <w:sz w:val="20"/>
        </w:rPr>
        <w:t xml:space="preserve">DESCRIPTION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$     in aggregate principal amount of     % senior notes due     (the “     notes”), $     in aggregate principal amount of     % senior notes due     (the “     notes”), $     in aggregate principal amount of     % senior notes due     (the “     notes”) and $     in aggregate principal amount of     % senior notes due     (the “     notes” and, together with the     notes, the     notes and the     notes, the “notes”) under an indenture (the “base indenture”), dated as of December 18, 2012, between the Company and The Bank of New York Mellon Trust Company, N.A., as trustee (the “trustee”), as amended and supplemented by a supplemental indenture (the “supplemental indenture”) to be entered into by the Company and the trustee relating to the issuance of the notes. The base indenture, as amended and supplemented by the supplemental indenture, is referred to herein as the “indenture.” The terms of the notes include those stated in the indenture and those made part of the indenture by reference to the Trust Indenture Act of 1939, as amended (the “Trust Indenture Act”). Each of the    notes, the     notes, the     notes and the     notes will be separate series of securities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certain terms of the notes supplements, and to the extent inconsistent, replaces, the description under “Description of Debt Securities” in the accompanying base prospectus. The following description and the description under “Description of Debt Securities” in the accompanying base prospectus together constitute a summary of the material provisions of the indenture and the notes. They do not restate those documents in their entirety. We urge you to read the indenture in its entirety, because it, and not this description or the description under “Description of Debt Securities” in the accompanying base prospectus, defines your rights as holders of the notes. Copies of the indenture are or will be made available as set forth below under “— Additional Information.” You can find the definitions of certain terms used in this description under the subheading “— Certain Definitions.” In this description, the terms “Company,” “us,” “our” and “we” refer only to The Williams Companies, Inc. and not to any of our subsidiaries. Certain defined terms used in this “Description of the Notes” but not defined below under “— Certain Definitions” have the meanings assigned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holder of a note will be treated as the owner of it for all purposes. Only registered holders will have rights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Brief Description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our senior unsecured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equal in right of payment with all of our existing and future senior unsecured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effectively subordinated to all of our future secured indebtedness and structurally subordinated to all existing and future indebtedness and other obligations of our Subsidiaries, including trade payables;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senior to all of our future subordinated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we had outstanding indebtedness of approximately $30.8 billion, approximately $7.0 billion of which consisted of indebtedness of our Subsidiaries. As of June 30, 2026, assuming that we had completed this offering of the notes (including the expected application of the net proceeds of this offering) on June 30, 2026, we would have had outstanding indebtedness of approximately $     billion, approximately $7.0 billion of which would have consisted of indebtedness of our Subsidiaries. Borrowing capacity under our revolving credit facility as of September 4, 2026 was approximately $2.84 billion, borrowing capacity under our 364-day credit facility as of September 4, 2026 was approximately $1 billion, and we had approximately $910 million of commercial paper outstanding under our $3.5 billion commercial paper program as of September 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will permit us to incur additional indebtedness, including additional senior unsecured indebtedness. The indenture also will not restrict the ability of our Subsidiaries to incur additional indebtedness. See “Risks Related to the Notes — Restrictions in our debt agreements and the amount of our indebtedness may affect our future financial and operating flexibility.” </w:t>
      </w:r>
    </w:p>
    <w:p>
      <w:pPr>
        <w:pStyle w:val="TextBody"/>
        <w:bidi w:val="0"/>
        <w:spacing w:before="240" w:after="0"/>
        <w:jc w:val="left"/>
        <w:rPr>
          <w:rFonts w:ascii="Times New Roman" w:hAnsi="Times New Roman"/>
          <w:sz w:val="20"/>
        </w:rPr>
      </w:pPr>
      <w:r>
        <w:rPr>
          <w:rFonts w:ascii="Times New Roman" w:hAnsi="Times New Roman"/>
          <w:sz w:val="20"/>
        </w:rPr>
        <w:t xml:space="preserve">We own a noncontrolling interest in Baton Rouge Fractionators LLC, Blue Racer Midstream LLC, Cardinal Pipeline Company LLC, Cogentrix Co-Investment Fund, LP, Gulfstream Natural Gas System, L.L.C., Gulfstream Management and Operating Services, L.L.C., Laurel Mountain Midstream, LLC, Louisiana LNG LLC, Overland Pass Pipeline Company LLC, Pine Needle LNG Company, LLC, Pacific Connector Gas Pipeline, LLC, Targa Train 7 LLC and White River Hub, LLC. These entities will not be classified as Subsidiaries of ours under the indenture so long as we continue to own a noncontrolling interest in them. As a result, the entities listed above will not be subject to the restrictive covenants in the indenture so long as they are not Subsidiaries of ours.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Maturity and Interest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    notes with an initial maximum aggregate principal amount of $    . The     notes will mature on     ,     . We will issue the     notes with an initial maximum aggregate principal amount of $    . The     notes will mature on     ,     . We will issue the     notes with an initial maximum aggregate principal amount of $    . The     notes will mature on     ,     . We will issue the     notes with an initial maximum aggregate principal amount of $    . The     notes will mature on     ,     . We will issue the notes in minimum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    notes will accrue at the rate of     % per annum, and will be payable semi-annually in arrears on      and     , beginning on     , 2027. We will make each interest payment on the     notes to the holders of record at the close of business on the immediately preceding     or     (whether or not a Business Day). Interest on the     notes will accrue at the rate of  % per annum, and will be payable semi-annually in arrears on     and     , beginning on     , 2027. We will make each interest payment on the     notes to the holders of record at the close of business on the immediately preceding     or     (whether or not a Business Day). Interest on the     notes will accrue at the rate of     % per annum, and will be payable semi-annually in arrears on      and     , beginning on     , 2027. We will make each interest payment on the     notes to the holders of record at the close of business on the immediately preceding     or     (whether or not a Business Day). Interest on the     notes will accrue at the rate of     % per annum, and will be payable semi-annually in arrears on      and     , beginning on     , 2027. We will make each interest payment on the     notes to the holders of record at the close of business on the immediately preceding     or     (whether or not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notes will accrue from the date of original issuance or, if interest has already been paid or duly provided for, from the date it was most recently paid or duly provided for. Interest will be computed on the basis of a 360-day year comprised of twelve 30-day months. If any interest or other payment date of the notes falls on a day that is not a Business Day, the required payment of principal, premium, if any, or interest will be due on the next succeeding Business Day as if made on the date that payment was due, and no interest will accrue on that payment for the period from and after that interest or other payment date, as the case may be, to the date of that payment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We may, without the consent of the holders of the notes of any series, issue additional notes having the same ranking and the same interest rate, maturity and other terms as the notes of such series, except the issue date, the public offering price and, if applicable, the initial interest payment date and the initial interest accrual date, and such additional notes may not be fungible for trading purposes with, and may initially bear different identifying numbers than, the notes of the applicable series offered hereby. Any additional notes having such similar terms, together with the notes of the applicable series offered hereby, will constitute a single series of debt securities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Methods of Receiving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principal, interest and premium, if any, on the notes in the manner described under “—Same-Day Settlement and Payment” below. </w:t>
      </w:r>
    </w:p>
    <w:p>
      <w:pPr>
        <w:pStyle w:val="TextBody"/>
        <w:bidi w:val="0"/>
        <w:spacing w:before="360" w:after="0"/>
        <w:jc w:val="left"/>
        <w:rPr>
          <w:rFonts w:ascii="Times New Roman" w:hAnsi="Times New Roman"/>
          <w:b/>
          <w:sz w:val="20"/>
        </w:rPr>
      </w:pPr>
      <w:r>
        <w:rPr>
          <w:rFonts w:ascii="Times New Roman" w:hAnsi="Times New Roman"/>
          <w:b/>
          <w:sz w:val="20"/>
        </w:rPr>
        <w:t xml:space="preserve">Paying Agent and Registrar for the Notes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initially act as paying agent and registrar. We may change the paying agent or registrar without prior notice to the holders of the notes, and we or any of our Subsidiaries may act as paying agent or registrar.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A holder may transfer or exchange notes in accordance with the indenture. The registrar and the trustee may require a holder to furnish appropriate endorsements and transfer documents in connection with a transfer of notes. No service charges will be imposed on the holders by us, the trustee or the registrar for any registration of transfer or exchange of notes, but holders may be required to pay all taxes due on transfer or exchange. We are not required to transfer or exchange any note selected for redemption. Also, we are not required to transfer or exchange any note for a period of 15 days before mailing notice of any redemption of notes.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At any time prior to the applicable Par Call Date (as defined below), we may, at our option, redeem the notes of each series, in whole or in part,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the notes matured on the applicable Par Call Date) on a semi-annual basis (assuming a 360-day year consisting of twelve 30-day months) at the Treasury Rate plus      basis points, in the case of the    notes,      basis points, in the case of the    notes,      basis points, in the case of the     notes, and      basis points, in the case of the    notes, less (b) interest accrued to the date of redemption, and </w:t>
      </w:r>
    </w:p>
    <w:p>
      <w:pPr>
        <w:pStyle w:val="TextBody"/>
        <w:bidi w:val="0"/>
        <w:spacing w:before="240" w:after="0"/>
        <w:jc w:val="left"/>
        <w:rPr>
          <w:rFonts w:ascii="Times New Roman" w:hAnsi="Times New Roman"/>
          <w:sz w:val="20"/>
        </w:rPr>
      </w:pPr>
      <w:r>
        <w:rPr>
          <w:rFonts w:ascii="Times New Roman" w:hAnsi="Times New Roman"/>
          <w:sz w:val="20"/>
        </w:rPr>
        <w:t xml:space="preserve">(2) 100% of the principal amount of the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if any, to, but not including, the applicable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At any time on or after the applicable Par Call Date, we may, at our option, redeem any series of notes, in whole or in part, at a redemption price equal to 100% of the principal amount of the notes of the series to be redeemed plus accrued and unpaid interest thereon, if any, to, but not including, the applicable redemption date.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360" w:after="0"/>
        <w:jc w:val="left"/>
        <w:rPr>
          <w:rFonts w:ascii="Times New Roman" w:hAnsi="Times New Roman"/>
          <w:b/>
          <w:sz w:val="20"/>
        </w:rPr>
      </w:pPr>
      <w:r>
        <w:rPr>
          <w:rFonts w:ascii="Times New Roman" w:hAnsi="Times New Roman"/>
          <w:b/>
          <w:sz w:val="20"/>
        </w:rPr>
        <w:t xml:space="preserve">Selection and Notice </w:t>
      </w:r>
    </w:p>
    <w:p>
      <w:pPr>
        <w:pStyle w:val="TextBody"/>
        <w:bidi w:val="0"/>
        <w:spacing w:before="120" w:after="0"/>
        <w:jc w:val="left"/>
        <w:rPr>
          <w:rFonts w:ascii="Times New Roman" w:hAnsi="Times New Roman"/>
          <w:sz w:val="20"/>
        </w:rPr>
      </w:pPr>
      <w:r>
        <w:rPr>
          <w:rFonts w:ascii="Times New Roman" w:hAnsi="Times New Roman"/>
          <w:sz w:val="20"/>
        </w:rPr>
        <w:t xml:space="preserve">Notice of any redemption of a series of notes will be mailed or electronically delivered (or otherwise transmitted in accordance with the depositary’s procedures) at least 10 days but not more than 60 days before the applicable redemption date to each holder of notes to be redeemed. Any such redemption may, at the Company’s discretion, be subject to one or more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of a series of notes, selection of such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Depository Trust Company (“DTC”)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notes or portions thereof called for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Mandatory Redemption </w:t>
      </w:r>
    </w:p>
    <w:p>
      <w:pPr>
        <w:pStyle w:val="TextBody"/>
        <w:bidi w:val="0"/>
        <w:spacing w:before="120" w:after="0"/>
        <w:jc w:val="left"/>
        <w:rPr>
          <w:rFonts w:ascii="Times New Roman" w:hAnsi="Times New Roman"/>
          <w:sz w:val="20"/>
        </w:rPr>
      </w:pPr>
      <w:r>
        <w:rPr>
          <w:rFonts w:ascii="Times New Roman" w:hAnsi="Times New Roman"/>
          <w:sz w:val="20"/>
        </w:rPr>
        <w:t xml:space="preserve">We are not required to make mandatory redemption or sinking fund payments with respect to the notes or to repurchase the notes at the option of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in this “Description of the Notes,” neither we nor any of our Subsidiaries will be restricted by the indenture from incurring additional indebtedness or other obligations, from making distributions or paying dividends on our or our Subsidiaries’ equity interests or from purchasing our or our Subsidiaries’ equity interests. The indenture does not require the maintenance of any financial ratios or specified levels of net worth or liquidity. In addition, the indenture does not contain any provisions that would require us to repurchase or redeem any of the notes in situations that may adversely affect the creditworthiness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Liens </w:t>
      </w:r>
    </w:p>
    <w:p>
      <w:pPr>
        <w:pStyle w:val="TextBody"/>
        <w:bidi w:val="0"/>
        <w:spacing w:before="120" w:after="0"/>
        <w:jc w:val="left"/>
        <w:rPr>
          <w:rFonts w:ascii="Times New Roman" w:hAnsi="Times New Roman"/>
          <w:sz w:val="20"/>
        </w:rPr>
      </w:pPr>
      <w:r>
        <w:rPr>
          <w:rFonts w:ascii="Times New Roman" w:hAnsi="Times New Roman"/>
          <w:sz w:val="20"/>
        </w:rPr>
        <w:t xml:space="preserve">We will not, and will not permit any Subsidiary of ours to, issue, assume or guarantee any Indebtedness secured by a Lien, other than Permitted Liens, upon any of our or any of our Subsidiaries’ property, owned on the date of the indenture or thereafter acquired, unless the notes are equally and ratably secured with such Indebtedness until such time as such Indebtedness is no longer secured by such a Lien.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paragraph, we may, and may permit any Subsidiary of ours to, issue, assume or guarantee any Indebtedness secured by a Lien, other than a Permitted Lien, upon any of our or any of our Subsidiaries’ property, without securing the notes; provided that the aggregate principal amount of all Indebtedness of ours and any Subsidiary of ours then outstanding secured by any such Liens (other than Permitted Liens) does not exceed 15% of Consolidated Net Tangible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directly or indirectly consolidate with or merge with or into, or sell, assign, transfer, lease, convey or otherwise dispose of all or substantially all of our assets and properties and the assets and properties of our Subsidiaries (taken as a whole) in one or more related transactions to another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we are the survivor; or (b) the Person formed by or surviving any such consolidation or merger (if other than us) or to which such sale, assignment, transfer, lease, conveyance or other disposition has been made is a Person formed, organized or existing under the laws of the United States, any state of the United States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 formed by or surviving any such consolidation or merger (if other than us) or the Person to which such sale, assignment, transfer, lease, conveyance or other disposition has been made expressly assumes by supplemental indenture, in form reasonably satisfactory to the trustee, executed by the successor person and delivered to the trustee, the due and punctual payment of the principal of and any premium and interest on the notes and the performance of all of our obligations under the indenture and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the Person formed by or surviving any such merger will deliver to the trustee an officer’s certificate and an opinion of counsel, each stating that such consolidation, merger, sale, assignment, transfer, lease, conveyance or other disposition and such supplemental indenture (if any) comply with the indenture and that all conditions precedent in the indenture relating to such transaction have been complied with;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no Event of Default or event which, after notice or lapse of time, or both, would become an Event of Default,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any consolidation by us with or our merger into any other Person or Persons where we are not the survivor or any sale, assignment, transfer, lease, conveyance or other disposition of all or substantially all of our properties and assets and the properties and assets of our Subsidiaries (taken as a whole) to any Person or Persons in accordance herewith, the successor Person formed by such consolidation or into which we are merged or to which such sale, assignment, transfer, lease, conveyance or other disposition is made shall succeed to, and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substituted for, and may exercise every right and power of, us under the indenture with the same effect as if such successor Person had been named as the Company therein; and thereafter, except in the case of a lease, the predecessor Person shall be released from all obligations and covenants under the indenture and the notes. </w:t>
      </w:r>
    </w:p>
    <w:p>
      <w:pPr>
        <w:pStyle w:val="TextBody"/>
        <w:bidi w:val="0"/>
        <w:spacing w:before="240" w:after="0"/>
        <w:jc w:val="left"/>
        <w:rPr>
          <w:rFonts w:ascii="Times New Roman" w:hAnsi="Times New Roman"/>
          <w:sz w:val="20"/>
        </w:rPr>
      </w:pPr>
      <w:r>
        <w:rPr>
          <w:rFonts w:ascii="Times New Roman" w:hAnsi="Times New Roman"/>
          <w:sz w:val="20"/>
        </w:rPr>
        <w:t xml:space="preserve">Although there is a limited body of case law interpreting the phrase “all or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Reports </w:t>
      </w:r>
    </w:p>
    <w:p>
      <w:pPr>
        <w:pStyle w:val="TextBody"/>
        <w:bidi w:val="0"/>
        <w:spacing w:before="120" w:after="0"/>
        <w:jc w:val="left"/>
        <w:rPr>
          <w:rFonts w:ascii="Times New Roman" w:hAnsi="Times New Roman"/>
          <w:sz w:val="20"/>
        </w:rPr>
      </w:pPr>
      <w:r>
        <w:rPr>
          <w:rFonts w:ascii="Times New Roman" w:hAnsi="Times New Roman"/>
          <w:sz w:val="20"/>
        </w:rPr>
        <w:t xml:space="preserve">We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with the trustee, within 30 days after we have filed the same with the Commission, unless such reports are available on the Commission’s EDGAR filing system (or any successor thereto), copies of the annual reports and of the information, documents, and other reports (or copies of such portions of any of the foregoing as the Commission may from time to time by rules and regulations prescribe) which we may be required to file with the Commission pursuant to Section 13 or Section 15(d) of the Exchange Act; or, if we are not required to file information, documents or reports pursuant to either of said Sections, then we shall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with the trustee and the Commission, in accordance with rules and regulations prescribed from time to time by the Commission, such additional information, documents and reports with respect to compliance by us with the conditions and covenants of the indenture as may be required from time to time by such rules and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transmit within 30 days after the filing thereof with the trustee, in the manner and to the extent provided in Section 313(c) of the Trust Indenture Act, such summaries of any information, documents and reports required to be filed by us pursuant to clauses (1) and (2) of this paragraph as may be required by rules and regulations prescribed from time to time by the Commission.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and Remedies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is an “Event of Default” with respect to the notes of a series, and any references under “Description of Debt Securities” in the accompanying base prospectus to events of default described in the first paragraph under the heading “Events of Default” therein shall be deemed to be references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for 30 days in the payment when due of any interest on or any additional amount in respect of the notes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the principal of or any premium on the notes of such series when the principal or premium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us duly to observe or perform any other of the covenants or agreements (other than those described in clause (a) or (b) above) in the indenture with respect to the notes of such series, which failure continues for a period of 60 days, or, in the case of the covenant set forth under “— Certain Covenants — Reports” above, which failure continues for a period of 90 days, after the date on which written notice of such failure, requiring the same to be remedied and stating that such notice is a “Notice of Default” has been given to us by the trustee, upon direction of holders of at least 25% in principal amount of then outstanding notes of such series; provided, however, that if such failure is not capable of cure within such 60-day or 90-day period, as the case may be, such 60-day or 90-day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as the case may be, shall be automatically extended by an additional 60 days so long as (i) such failure is subject to cure, and (ii) we are using commercially reasonable efforts to cure such failure; and provided, further, that a failure to comply with any such other agreement in the indenture that results from a change in GAAP shall not be deemed to be an Event of Default;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described in the indenture with respect to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case an Event of Default specified in clause (a) or (b) above shall occur and be continuing with respect to the notes of a series, holders of at least 25% in aggregate principal amount of the notes of such series then outstanding may declare the principal to be due and payable. If an Event of Default specified in clause (c) above shall occur and be continuing with respect to the notes of a series, holders of at least a majority in aggregate principal amount of the notes of such series then outstanding may declare the principal to be due and payable. If an Event of Default described in clause (d) above shall occur and be continuing then the principal amount of all the debt securities then outstanding under the indenture shall be and become due and payable automatically, without notice or other action by any holder of such series of notes or the trustee, to the full extent permitted by law. Any past or existing default or Event of Default with respect to the notes of a series may be waived by the holders of a majority in aggregate principal amount of the outstanding notes of such series, except in each case a continuing default (1) in the payment of the principal of, any premium or interest on, or any additional amounts with respect to, any notes of such series, or (2) in respect of a covenant or provision which cannot be modified or amended without the consent of each holder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may withhold notice to the holders of any default with respect to the notes of such series (except in payment of principal of or interest or premium on the notes of such series) if the trustee considers it in the interest of holders to do so. The indenture contains a provision entitling the trustee to be indemnified by the holders before proceeding to exercise any trust or power under the indenture at the request of such holders. The indenture provides that the holders of a majority in aggregate principal amount of the then outstanding notes of such series may direct the time, method and place of conducting any proceedings for any remedy available to the trustee or of exercising any trust or power conferred upon the trustee with respect to the notes of such series; provided, however, that the trustee may decline to follow any such direction if, among other reasons, the trustee determines that the actions or proceedings as directed would be unduly prejudicial to the holders of the notes of such series not joining in such direction. The right of a holder to institute a proceeding with respect to the notes of a series will be subject to certain conditions precedent including, without limitation, that in case of an Event of Default specified in clause (a), (b) or (d) of the first paragraph above under “— Events of Default and Remedies,” holders of at least 25%, or in case of an Event of Default specified in clause (c) of the first paragraph above under “— Events of Default and Remedies,” holders of at least a majority, in aggregate principal amount of the notes of such series then outstanding make a written request upon the trustee to exercise its powers under the indenture, indemnify the trustee and afford the trustee reasonable opportunity to act.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each holder has an absolute right to receipt of the principal of, premium, if any, and interest on and additional amounts with respect to the notes of the applicable series when due and to institute suit for the enforcement thereof. We are required to deliver to the trustee annually a statement regarding compliance with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w:t>
      </w:r>
    </w:p>
    <w:p>
      <w:pPr>
        <w:pStyle w:val="TextBody"/>
        <w:bidi w:val="0"/>
        <w:spacing w:before="120" w:after="0"/>
        <w:jc w:val="left"/>
        <w:rPr>
          <w:rFonts w:ascii="Times New Roman" w:hAnsi="Times New Roman"/>
          <w:sz w:val="20"/>
        </w:rPr>
      </w:pPr>
      <w:r>
        <w:rPr>
          <w:rFonts w:ascii="Times New Roman" w:hAnsi="Times New Roman"/>
          <w:sz w:val="20"/>
        </w:rPr>
        <w:t xml:space="preserve">No director, officer, employee, incorporator, or stockholder will have any liability for any of our obligations under the notes or the indenture,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will be governed by, and construed in accordance with, the laws of the State of New York. The Company, the Trustee and each holder by purchase of its notes waives any right it may have under applicable law to trial by jury.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will file the supplemental indenture as an exhibit to a current report on Form 8-K at the completion of this offering. Anyone who receives this prospectus supplement may also obtain a copy of the base indenture or the supplemental indenture without charge by writing to The Williams Companies, Inc., One Williams Center, Tulsa, Oklahoma 74172-0172; Attention: Investor Relations.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below, notes will be issued in registered, global form, without interest coupons, which we refer to as “Global Notes.” Notes will be issued at the closing of this offering only against payment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The Global Notes will be deposited upon issuance with the trustee as custodian for DTC, in New York, New York, and registered in the name of DTC’s nominee, Cede &amp; Co., in each case for credit to an account of a direct or indirect participant in DTC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below, the Global Notes may be transferred, in whole but not in part, only to DTC, to a nominee of DTC or to a successor of DTC or its nominee. Beneficial interests in the Global Notes may not be exchanged for notes in registered, certificated form (“Certificated Notes”) except in the limited circumstances described below. See “— Exchange of Global Notes for Certificated Notes.” Except in the limited circumstances described below, owners of beneficial interests in the Global Notes will not be entitled to receive physical delivery of notes in 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Transfers of beneficial interests in the Global Notes will be subject to the applicable rules and procedures of DTC and its direct or indirect participants (including, if applicable, those of the Euroclear System (“Euroclear”) and Clearstream Banking, S.A. (“Clearstream”)), which may change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Depositary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operations and procedures of DTC is provided solely as a matter of convenience. These operations and procedures are solely within the control of DTC and are subject to changes by it. We take no responsibility for these operations and procedures and urge investors to contact DTC or its participants directly to discuss these matters.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DTC is a limited-purpose trust company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DTC has also advised us that, pursuant to procedures established by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deposit of the Global Notes, DTC will credit the accounts of the Participants designated by the underwriters with portions of the principal amount of the Global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Except as described below, owners of an interest in the Global Notes will not have notes registered in their names, will not receive physical delivery of Certificated Notes and will not be considered the registered owners or “holders” thereof under the indenture for any purpose. </w:t>
      </w:r>
    </w:p>
    <w:p>
      <w:pPr>
        <w:pStyle w:val="TextBody"/>
        <w:bidi w:val="0"/>
        <w:spacing w:before="120" w:after="0"/>
        <w:jc w:val="left"/>
        <w:rPr>
          <w:rFonts w:ascii="Times New Roman" w:hAnsi="Times New Roman"/>
          <w:sz w:val="20"/>
        </w:rPr>
      </w:pPr>
      <w:r>
        <w:rPr>
          <w:rFonts w:ascii="Times New Roman" w:hAnsi="Times New Roman"/>
          <w:sz w:val="20"/>
        </w:rPr>
        <w:t xml:space="preserve">Payments in respect of the principal of, and interest and premium, if any, on a Global Note registered in the name of DTC or its nominee will be payable to DTC in its capacity as the registered holder under the indenture. 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nor any agent of ours or of the trustee has or will have any responsibility 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matter relating to the actions and practices of DTC or any of its Participants or Indirect Participants.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its current practice, at the due date of any payment in respect of securities such as the notes,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notes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us. Neither we nor the trustee will be liable for any delay by DTC or any of its Participants in identifying the beneficial owners of the notes, and the Company and the trustee may conclusively rely on and will be protected in relying on instructions from DTC or its nominee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Transfers between Participants in DTC will be effected in accordance with DTC’s procedures, and will be settled in same-day funds, and transfers between participants in Euroclear and Clearstream will be effected in accordance with their respective rules and operating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compliance with the transfer restrictions applicable to the notes described herein, cross-market transfers between the Participants in DTC, on the one hand, and Euroclear or Clearstream participants, on the other hand, will be effected through DTC in accordance with DTC’s rules on behalf of Euroclear or Clearstream, as the case may be, by its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Certificated Notes, and to distribute such notes to its Participants. </w:t>
      </w:r>
    </w:p>
    <w:p>
      <w:pPr>
        <w:pStyle w:val="TextBody"/>
        <w:bidi w:val="0"/>
        <w:spacing w:before="240" w:after="0"/>
        <w:jc w:val="left"/>
        <w:rPr>
          <w:rFonts w:ascii="Times New Roman" w:hAnsi="Times New Roman"/>
          <w:sz w:val="20"/>
        </w:rPr>
      </w:pPr>
      <w:r>
        <w:rPr>
          <w:rFonts w:ascii="Times New Roman" w:hAnsi="Times New Roman"/>
          <w:sz w:val="20"/>
        </w:rPr>
        <w:t xml:space="preserve">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Neither the Company nor the trustee nor any of their respective agents will have any responsibility for the performance by DTC, Euroclear or Clearstream or their respective Participants or Indirect Participants of their respective obligations under the rules and procedures governing their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of Global Notes for 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A beneficial interest in a Global Note of a series is exchangeable for Certificated Notes of such series in minimum denominations of $2,000 and in integral multiples of $1,000 in excess thereof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depositary for such Global Notes or that it has ceased to be a clearing agency registered under the Exchange Act and, in either case, we fail to appoint a successor depositary within 90 days after the date of such notice from DTC;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at our option and subject to the procedures of DTC, notify the trustee in writing that we elect to cause the issuance of the Certificated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all cases, Certificated Notes delivered in exchange for any Global Note or beneficial interests in Global Notes will be registered in the names, and issued in any approved denominations, requested by or on behalf of the depositary (in accordance with its customary procedures). </w:t>
      </w:r>
    </w:p>
    <w:p>
      <w:pPr>
        <w:pStyle w:val="TextBody"/>
        <w:bidi w:val="0"/>
        <w:spacing w:before="360" w:after="0"/>
        <w:jc w:val="left"/>
        <w:rPr>
          <w:rFonts w:ascii="Times New Roman" w:hAnsi="Times New Roman"/>
          <w:b/>
          <w:sz w:val="20"/>
        </w:rPr>
      </w:pPr>
      <w:r>
        <w:rPr>
          <w:rFonts w:ascii="Times New Roman" w:hAnsi="Times New Roman"/>
          <w:b/>
          <w:sz w:val="20"/>
        </w:rPr>
        <w:t xml:space="preserve">Same-Day Settlement and Payment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in respect of the notes represented by the Global Notes (including principal, interest and premium, if any) by wire transfer of immediately available funds to the accounts specified by the Global Note holder. We will make all payments of principal, interest and premium, if any, with respect to Certificated Notes (i) to holders having an aggregate principal amount of $2,000,000 or less, by check mailed to such holder’s registered address or (ii) to holders having an aggregate principal amount of more than $2,000,000, by check mailed to such holder’s registered address or, upon application by a holder to the registrar not later than the relevant record date or in the case of payments of principal or premium, if any, not later than 15 days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principal payment date, by wire transfer in immediately available funds to that holder’s account within the United States (subject to surrender of the Certificated Note in the case of payments of principal or premium), which application shall remain in effect until the holder notifies the registrar to the contrary in writing. The notes represented by the Global Notes are expected to be eligible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 zone differences, the securities account of a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us that cash received in Euroclear or Clearstream as a result of sales of interests in a Global Note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Definitions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certain defined terms used in the indenture. Reference is made to the indenture for a full disclosure of all such terms, as well as any other capitalized terms used herein for which no definition is provided.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of any specified Person means any other Person directly or indirectly controlling or controlled by or under direct or indirect common control with such specified Person. For purposes of this definition, “control,” when used with respect to any Person, means the power to direct the management and policies of such Person, directly or indirectly, whether through the ownership of voting securities, by contract or otherwise. For purposes of this definition, the terms “controlling,” “controlled by” and “under common control with” have meanings correlative to the foregoing.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corporation, the board of directors of the corporation or any authorized committee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limited liability company, the managing member or managing members or board of directors, as applicable, of such limited liability company or any authorized committee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other partnership, the board of directors of the general partner of the partnership or any authorized committee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other Person, the board or committee of such Person serving a similar function. </w:t>
            </w:r>
          </w:p>
        </w:tc>
      </w:tr>
    </w:tbl>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each day that is not a Saturday, Sunday or other day on which banking institutions in New York, New York or another place of payment are authorized or required by law, regulation or executive order to close. </w:t>
      </w:r>
    </w:p>
    <w:p>
      <w:pPr>
        <w:pStyle w:val="TextBody"/>
        <w:bidi w:val="0"/>
        <w:spacing w:before="240" w:after="0"/>
        <w:jc w:val="left"/>
        <w:rPr/>
      </w:pPr>
      <w:r>
        <w:rPr/>
        <w:t>“</w:t>
      </w:r>
      <w:r>
        <w:rPr>
          <w:rFonts w:ascii="Times New Roman" w:hAnsi="Times New Roman"/>
          <w:i/>
          <w:sz w:val="20"/>
        </w:rPr>
        <w:t>Capital Stock</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corporation, corporate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association or business entity, any and all shares, interests, participations, rights or other equivalents (however designated) of corporate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partnership or limited liability company, partnership or membership interests (whether general or limited);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interest or participation that confers on a Person the right to receive a share of the profits and losses of, or distributions of assets of, the issuing Person. </w:t>
            </w:r>
          </w:p>
        </w:tc>
      </w:tr>
    </w:tbl>
    <w:p>
      <w:pPr>
        <w:pStyle w:val="TextBody"/>
        <w:bidi w:val="0"/>
        <w:spacing w:before="240" w:after="0"/>
        <w:jc w:val="left"/>
        <w:rPr/>
      </w:pPr>
      <w:r>
        <w:rPr/>
        <w:t>“</w:t>
      </w:r>
      <w:r>
        <w:rPr>
          <w:rFonts w:ascii="Times New Roman" w:hAnsi="Times New Roman"/>
          <w:i/>
          <w:sz w:val="20"/>
        </w:rPr>
        <w:t>Commission</w:t>
      </w:r>
      <w:r>
        <w:rPr>
          <w:rFonts w:ascii="Times New Roman" w:hAnsi="Times New Roman"/>
          <w:sz w:val="20"/>
        </w:rPr>
        <w:t xml:space="preserve">” means the U.S. Securities and Exchange Commission, as from time to time constituted, created under the Exchange Act or any successor agency. </w:t>
      </w:r>
    </w:p>
    <w:p>
      <w:pPr>
        <w:pStyle w:val="TextBody"/>
        <w:bidi w:val="0"/>
        <w:spacing w:before="240" w:after="0"/>
        <w:jc w:val="left"/>
        <w:rPr/>
      </w:pPr>
      <w:r>
        <w:rPr/>
        <w:t>“</w:t>
      </w:r>
      <w:r>
        <w:rPr>
          <w:rFonts w:ascii="Times New Roman" w:hAnsi="Times New Roman"/>
          <w:i/>
          <w:sz w:val="20"/>
        </w:rPr>
        <w:t>Consolidated Net Tangible Assets</w:t>
      </w:r>
      <w:r>
        <w:rPr>
          <w:rFonts w:ascii="Times New Roman" w:hAnsi="Times New Roman"/>
          <w:sz w:val="20"/>
        </w:rPr>
        <w:t xml:space="preserve">” means at any date of determination, the total amount of assets of us and our Subsidiaries after deducting therefrom: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current liabilities (excluding (A) any current liabilities that by their terms are extendable or renewable at the option of the obligor thereon to a time more than 12 months after the time as of which the amount thereof is being computed, and (B) current maturities of long-term debt);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(net of any applicable reserves) of all goodwill, trade names, trademarks, patents, and other like intangible assets, all as set forth, or on a pro forma basis would be set forth, on our consolidated balance sheet for our most recently completed fiscal quarter, prepared in accordance with GAAP. </w:t>
            </w:r>
          </w:p>
        </w:tc>
      </w:tr>
    </w:tbl>
    <w:p>
      <w:pPr>
        <w:pStyle w:val="TextBody"/>
        <w:bidi w:val="0"/>
        <w:spacing w:before="240" w:after="0"/>
        <w:jc w:val="left"/>
        <w:rPr/>
      </w:pPr>
      <w:r>
        <w:rPr/>
        <w:t>“</w:t>
      </w:r>
      <w:r>
        <w:rPr>
          <w:rFonts w:ascii="Times New Roman" w:hAnsi="Times New Roman"/>
          <w:i/>
          <w:sz w:val="20"/>
        </w:rPr>
        <w:t>Domestic Subsidiary</w:t>
      </w:r>
      <w:r>
        <w:rPr>
          <w:rFonts w:ascii="Times New Roman" w:hAnsi="Times New Roman"/>
          <w:sz w:val="20"/>
        </w:rPr>
        <w:t xml:space="preserve">” means any Subsidiary of ours that is incorporated or organized under the laws of the United States of America, any state thereof or the District of Columbia.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generally accepted accounting principles in the United States, which are in effect from time to time. </w:t>
      </w:r>
    </w:p>
    <w:p>
      <w:pPr>
        <w:pStyle w:val="TextBody"/>
        <w:bidi w:val="0"/>
        <w:spacing w:before="240" w:after="0"/>
        <w:jc w:val="left"/>
        <w:rPr/>
      </w:pPr>
      <w:r>
        <w:rPr/>
        <w:t>“</w:t>
      </w:r>
      <w:r>
        <w:rPr>
          <w:rFonts w:ascii="Times New Roman" w:hAnsi="Times New Roman"/>
          <w:i/>
          <w:sz w:val="20"/>
        </w:rPr>
        <w:t>holder</w:t>
      </w:r>
      <w:r>
        <w:rPr>
          <w:rFonts w:ascii="Times New Roman" w:hAnsi="Times New Roman"/>
          <w:sz w:val="20"/>
        </w:rPr>
        <w:t xml:space="preserve">” means a Person in whose name a note is registered. </w:t>
      </w:r>
    </w:p>
    <w:p>
      <w:pPr>
        <w:pStyle w:val="TextBody"/>
        <w:bidi w:val="0"/>
        <w:spacing w:before="240" w:after="0"/>
        <w:jc w:val="left"/>
        <w:rPr/>
      </w:pPr>
      <w:r>
        <w:rPr/>
        <w:t>“</w:t>
      </w:r>
      <w:r>
        <w:rPr>
          <w:rFonts w:ascii="Times New Roman" w:hAnsi="Times New Roman"/>
          <w:i/>
          <w:sz w:val="20"/>
        </w:rPr>
        <w:t>Indebtedness</w:t>
      </w:r>
      <w:r>
        <w:rPr>
          <w:rFonts w:ascii="Times New Roman" w:hAnsi="Times New Roman"/>
          <w:sz w:val="20"/>
        </w:rPr>
        <w:t>” means, with respect to any specified Person, any obligation created or assumed by such Person, whether or not contingent, for the repayment of money borrowed from others or any guarantee thereof. “</w:t>
      </w:r>
      <w:r>
        <w:rPr>
          <w:rFonts w:ascii="Times New Roman" w:hAnsi="Times New Roman"/>
          <w:i/>
          <w:sz w:val="20"/>
        </w:rPr>
        <w:t>International Subsidiary</w:t>
      </w:r>
      <w:r>
        <w:rPr>
          <w:rFonts w:ascii="Times New Roman" w:hAnsi="Times New Roman"/>
          <w:sz w:val="20"/>
        </w:rPr>
        <w:t xml:space="preserve">” means each Subsidiary of ours other than a Domestic Subsidiary. </w:t>
      </w:r>
    </w:p>
    <w:p>
      <w:pPr>
        <w:pStyle w:val="TextBody"/>
        <w:bidi w:val="0"/>
        <w:spacing w:before="240" w:after="0"/>
        <w:jc w:val="left"/>
        <w:rPr/>
      </w:pPr>
      <w:r>
        <w:rPr/>
        <w:t>“</w:t>
      </w:r>
      <w:r>
        <w:rPr>
          <w:rFonts w:ascii="Times New Roman" w:hAnsi="Times New Roman"/>
          <w:i/>
          <w:sz w:val="20"/>
        </w:rPr>
        <w:t>Joint Venture</w:t>
      </w:r>
      <w:r>
        <w:rPr>
          <w:rFonts w:ascii="Times New Roman" w:hAnsi="Times New Roman"/>
          <w:sz w:val="20"/>
        </w:rPr>
        <w:t xml:space="preserve">” means any Person that is not a direct or indirect Subsidiary of ours in which we or any of our Subsidiaries owns any Capital Stock. </w:t>
      </w:r>
    </w:p>
    <w:p>
      <w:pPr>
        <w:pStyle w:val="TextBody"/>
        <w:bidi w:val="0"/>
        <w:spacing w:before="240" w:after="0"/>
        <w:jc w:val="left"/>
        <w:rPr/>
      </w:pPr>
      <w:r>
        <w:rPr/>
        <w:t>“</w:t>
      </w:r>
      <w:r>
        <w:rPr>
          <w:rFonts w:ascii="Times New Roman" w:hAnsi="Times New Roman"/>
          <w:i/>
          <w:sz w:val="20"/>
        </w:rPr>
        <w:t>Lien</w:t>
      </w:r>
      <w:r>
        <w:rPr>
          <w:rFonts w:ascii="Times New Roman" w:hAnsi="Times New Roman"/>
          <w:sz w:val="20"/>
        </w:rPr>
        <w:t xml:space="preserve">” means any mortgage, pledge, lien, security interest or other similar encumbrance. </w:t>
      </w:r>
    </w:p>
    <w:p>
      <w:pPr>
        <w:pStyle w:val="TextBody"/>
        <w:bidi w:val="0"/>
        <w:spacing w:before="240" w:after="0"/>
        <w:jc w:val="left"/>
        <w:rPr/>
      </w:pPr>
      <w:r>
        <w:rPr/>
        <w:t>“</w:t>
      </w:r>
      <w:r>
        <w:rPr>
          <w:rFonts w:ascii="Times New Roman" w:hAnsi="Times New Roman"/>
          <w:i/>
          <w:sz w:val="20"/>
        </w:rPr>
        <w:t>Non-Recourse Indebtedness</w:t>
      </w:r>
      <w:r>
        <w:rPr>
          <w:rFonts w:ascii="Times New Roman" w:hAnsi="Times New Roman"/>
          <w:sz w:val="20"/>
        </w:rPr>
        <w:t xml:space="preserve">” means any Indebtedness incurred by any Joint Venture or Non-Recourse Subsidiary which does not provide for recourse against us or any Subsidiary of ours (other than a Non-Recourse Subsidiary) or any property or asset of ours or any Subsidiary of ours (other than the Capital Stock or the properties or assets of a Joint Venture or Non-Recourse Subsidiary). </w:t>
      </w:r>
    </w:p>
    <w:p>
      <w:pPr>
        <w:pStyle w:val="TextBody"/>
        <w:bidi w:val="0"/>
        <w:spacing w:before="240" w:after="0"/>
        <w:jc w:val="left"/>
        <w:rPr/>
      </w:pPr>
      <w:r>
        <w:rPr/>
        <w:t>“</w:t>
      </w:r>
      <w:r>
        <w:rPr>
          <w:rFonts w:ascii="Times New Roman" w:hAnsi="Times New Roman"/>
          <w:i/>
          <w:sz w:val="20"/>
        </w:rPr>
        <w:t>Non-Recourse Subsidiary</w:t>
      </w:r>
      <w:r>
        <w:rPr>
          <w:rFonts w:ascii="Times New Roman" w:hAnsi="Times New Roman"/>
          <w:sz w:val="20"/>
        </w:rPr>
        <w:t xml:space="preserve">” means any Subsidiary of ours (i) whose principal purpose is to incur Non-Recourse Indebtedness and/or construct, lease, own or operate the assets financed thereby, or to become a direct or indirect partner, member or other equity participant or owner in a partnership, limited partnership, limited liability partnership, corporation (including a business trust), limited liability company, unlimited liability company, joint stock company, trust, unincorporated association or joint venture created for such purpose (collectively, a “Business Entity”), (ii) who is not an obligor or otherwise bound with respect to any Indebtedness other than Non-Recourse Indebtedness, (iii) substantially all the assets of which Subsidiary or Business Entity are limited to (x) those assets being financed (or to be financed), or the operation of which is being financed (or to be financed), in whole or in part by Non-Recourse Indebtedness or (y) Capital Stock in, or Indebtedness or other obligations of, one or more other Non-Recourse Subsidiaries or Business Entities and (iv) any Subsidiary of a Non-Recourse Subsidiary; provided that such Subsidiary shall be considered to be a Non-Recourse Subsidiary only to the extent that and for so long as each of the above requirements are met. </w:t>
      </w:r>
    </w:p>
    <w:p>
      <w:pPr>
        <w:pStyle w:val="TextBody"/>
        <w:bidi w:val="0"/>
        <w:spacing w:before="240" w:after="0"/>
        <w:jc w:val="left"/>
        <w:rPr/>
      </w:pPr>
      <w:r>
        <w:rPr/>
        <w:t>“</w:t>
      </w:r>
      <w:r>
        <w:rPr>
          <w:rFonts w:ascii="Times New Roman" w:hAnsi="Times New Roman"/>
          <w:i/>
          <w:sz w:val="20"/>
        </w:rPr>
        <w:t>Par Call Date</w:t>
      </w:r>
      <w:r>
        <w:rPr>
          <w:rFonts w:ascii="Times New Roman" w:hAnsi="Times New Roman"/>
          <w:sz w:val="20"/>
        </w:rPr>
        <w:t xml:space="preserve">” means, with respect to the    notes,    ,    , with respect to the    notes,    ,    , with respect to the      notes,     ,     , and, with respect to the    notes,    ,    .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Permitted International Debt</w:t>
      </w:r>
      <w:r>
        <w:rPr>
          <w:rFonts w:ascii="Times New Roman" w:hAnsi="Times New Roman"/>
          <w:sz w:val="20"/>
        </w:rPr>
        <w:t xml:space="preserve">” means Indebtedness of any International Subsidiary for which neither we nor any Domestic Subsidiary, directly or indirectly, provides any guarantee or other credit support and which is secured, if at all, only by pledges of or Liens on assets (i) held by an International Subsidiary on the date of the indenture, (ii) acquired by an International Subsidiary from a Person not constituting an Affiliate or (iii) acquired by an International Subsidiary from us, any Domestic Subsidiary or other Affiliate on terms that, in the good faith judgment of our Board of Directors, are no less favorable to us or the relevant Domestic Subsidiary or other Affiliate than those that would have been obtained in a comparable transaction by us or such Domestic Subsidiary or other Affiliate with an unrelated Person or, if in the good faith judgment of our Board of Directors, no comparable transaction is available with which to compare such transaction, such transaction is otherwise fair to us or the relevant Domestic Subsidiary or other Affiliate from a financial point of view. </w:t>
      </w:r>
    </w:p>
    <w:p>
      <w:pPr>
        <w:pStyle w:val="TextBody"/>
        <w:bidi w:val="0"/>
        <w:spacing w:before="240" w:after="0"/>
        <w:jc w:val="left"/>
        <w:rPr/>
      </w:pPr>
      <w:r>
        <w:rPr/>
        <w:t>“</w:t>
      </w:r>
      <w:r>
        <w:rPr>
          <w:rFonts w:ascii="Times New Roman" w:hAnsi="Times New Roman"/>
          <w:i/>
          <w:sz w:val="20"/>
        </w:rPr>
        <w:t>Permitted Liens</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existing on any property at the time of the acquisition thereof and not created in contemplation of such acquisition by us or any of our Subsidiaries, whether or not assumed by us or any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existing on any property of a Subsidiary of ours at the time it becomes a Subsidiary of ours and not created in contemplation thereof and any Lien existing on any property of any Person at the time such Person is merged or liquidated into or consolidated with us or any Subsidiary of ours and not created in contemplation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money and analogous Liens incurred in connection with the acquisition, development, construction, improvement, repair or replacement of property (including such Liens securing Indebtedness incurred within 12 months of the date on which such property was acquired, developed, constructed, improved, repaired or replaced); provided that all such Liens attach only to the property acquired, developed, constructed, improved, repaired or replaced and the principal amount of the Indebtedness secured by such Lien shall not exceed the gross cost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Liens created or assumed to secure Indebtedness of ours or of any Subsidiary of ours maturing within 12 months of the date of creation thereof and not renewable or extendible by the terms thereof at the option of the obligor beyond such 12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accounts receivable and related proceeds thereof arising in connection with a receivables financing and any Lien held by the purchaser of receivables derived from property or assets sold by us or any Subsidiary of ours and securing such receivables resulting from the exercise of any rights arising out of defaults on such receivables;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leases constituting Liens existing on the date of the indenture or thereafter existing and any renewals or extensions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securing industrial development, pollution control or similar revenue bonds;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existing on the date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favor of us or any Subsidiary of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Indebtedness incurred to refund, extend, refinance or otherwise replace Indebtedness (“Refinanced Indebtedness”) secured by a Lien permitted to be incurred under the indenture; provided that the principal amount of such Refinanced Indebtedness does not exceed the principal amount of Indebtedness refinanced (plus the amount of penalties, premiums, fees, accrued interest and reasonable expenses incurred therewith) at the time of refinancing;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any assets or properties, or pledges of the Capital Stock, of (a) any Joint Venture owned by us or any Subsidiary of ours or (b) any Non-Recourse Subsidiary, in each case only to the extent securing Non-Recourse Indebtedness of such Joint Venture or Non-Recourse Subsidiary;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the products and proceeds (including insurance, condemnation, and eminent domain proceeds) of and accessions to, and contract or other rights (including rights under insurance policies and product warranties) derivative of or relating to, property permitted by the indenture to be subject to Liens but subject to the same restrictions and limitations set forth in the indenture as to Liens on such property (including the requirement that such Liens on products, proceeds, accessions, and rights secure only obligations that such property is permitted to secure);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Liens securing Indebtedness neither assumed nor guaranteed by us or any Subsidiary of ours nor on which we or they customarily pay interest, existing upon real estate or rights in or relating to real estate (including rights-of-way and easements) acquired by us or such Subsidiary, which mortgage Liens do not materially impair the use of such property for the purposes for which it is held by us or such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existing or hereafter created on any office equipment, data processing equipment (including computer and computer peripheral equipment) or transportation equipment (including motor vehicles, aircraft, and marine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undetermined Liens and charges incidental to construction or maintenance;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created or assumed by us or any Subsidiary of ours on oil, gas, coal or other mineral or timber property owned by us or a Subsidiary of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created by us or any Subsidiary of ours on any contract (or any rights thereunder or proceeds therefrom) providing for advances by us or such Subsidiary to finance gas exploration and development, which Lien is created to secure Indebtedness incurred to finance such advances;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granted in connection with a cash collateralization or similar arrangement to secure obligations of ours or any Subsidiary of ours to issuing banks in connection with letters of credits issued at the request of us or any Subsidiary of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cash deposits in the nature of a right of setoff, banker’s lien, counterclaim or netting of cash amounts owed arising in the ordinary course of business on deposit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Permitted International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not otherwise permitted so long as the aggregate outstanding principal amount of the Indebtedness secured thereby does not exceed $10,000,000 at any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occurring in, arising from, or associated with Specified Escrow Arrangements. </w:t>
            </w:r>
          </w:p>
        </w:tc>
      </w:tr>
    </w:tbl>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partnership, joint venture, association, joint-stock company, trust, unincorporated organization, limited liability company or government or any agency or political subdivision thereof. </w:t>
      </w:r>
    </w:p>
    <w:p>
      <w:pPr>
        <w:pStyle w:val="TextBody"/>
        <w:bidi w:val="0"/>
        <w:spacing w:before="240" w:after="0"/>
        <w:jc w:val="left"/>
        <w:rPr/>
      </w:pPr>
      <w:r>
        <w:rPr/>
        <w:t>“</w:t>
      </w:r>
      <w:r>
        <w:rPr>
          <w:rFonts w:ascii="Times New Roman" w:hAnsi="Times New Roman"/>
          <w:i/>
          <w:sz w:val="20"/>
        </w:rPr>
        <w:t>Specified Escrow Arrangements</w:t>
      </w:r>
      <w:r>
        <w:rPr>
          <w:rFonts w:ascii="Times New Roman" w:hAnsi="Times New Roman"/>
          <w:sz w:val="20"/>
        </w:rPr>
        <w:t xml:space="preserve">” means cash deposits at one or more financial institutions for the purpose of funding any potential shortfall in the daily net cash position of us or any of our Subsidiaries.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with respect to any specified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association or other business entity (other than a partnership or limited liability company) of which more than 50% of the total voting power of Voting Stock is at the time owned or controlled, directly or indirectly, by that Person or one or more of the other Subsidiaries of that Person (or a combination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partnership (whether general or limited) or limited liability company (a) the sole general partner or member of which is such Person or a Subsidiary of such Person or (b) if there is more than a single general partner or member, either (x) the only managing general partners or managing members of which are such Person or one or more Subsidiaries of such Person (or any combination thereof)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(y) such Person owns or controls, directly or indirectly, a majority of the outstanding general partner interests, member interests or other Voting Stock of such partnership or limited liability company, respectively. </w:t>
            </w:r>
          </w:p>
        </w:tc>
      </w:tr>
    </w:tbl>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Person as of any date means the Capital Stock of such Person that is at the time entitled (without regard to the occurrence of any contingency) to vote in the election of the Board of Directors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110651_8"/>
      <w:bookmarkEnd w:id="10"/>
      <w:r>
        <w:rPr>
          <w:rFonts w:ascii="Times New Roman" w:hAnsi="Times New Roman"/>
          <w:b/>
          <w:sz w:val="20"/>
        </w:rPr>
        <w:t xml:space="preserve">DESCRIPTION OF OTHER INDEBTEDNESS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descriptions constitute a summary of certain provisions of our other indebtedness. They do not restate the governing instruments in their entirety. We urge you to read the governing instruments in their entirety. </w:t>
      </w:r>
    </w:p>
    <w:p>
      <w:pPr>
        <w:pStyle w:val="TextBody"/>
        <w:bidi w:val="0"/>
        <w:spacing w:before="360" w:after="0"/>
        <w:jc w:val="left"/>
        <w:rPr>
          <w:rFonts w:ascii="Times New Roman" w:hAnsi="Times New Roman"/>
          <w:b/>
          <w:sz w:val="20"/>
        </w:rPr>
      </w:pPr>
      <w:r>
        <w:rPr>
          <w:rFonts w:ascii="Times New Roman" w:hAnsi="Times New Roman"/>
          <w:b/>
          <w:sz w:val="20"/>
        </w:rPr>
        <w:t xml:space="preserve">Credit Facilities </w:t>
      </w:r>
    </w:p>
    <w:p>
      <w:pPr>
        <w:pStyle w:val="TextBody"/>
        <w:bidi w:val="0"/>
        <w:spacing w:before="120" w:after="0"/>
        <w:jc w:val="left"/>
        <w:rPr>
          <w:rFonts w:ascii="Times New Roman" w:hAnsi="Times New Roman"/>
          <w:sz w:val="20"/>
        </w:rPr>
      </w:pPr>
      <w:r>
        <w:rPr>
          <w:rFonts w:ascii="Times New Roman" w:hAnsi="Times New Roman"/>
          <w:sz w:val="20"/>
        </w:rPr>
        <w:t xml:space="preserve">On May 19, 2026, we along with Transco and Northwest Pipeline, entered into a second amended and restated credit agreement (the “Revolving Credit Agreement”) with the lenders named therein and the administrative agent that provides for aggregate commitments of up to $3.75 billion, with the ability to increase such commitments by up to an additional $500 million under certain circumstances, not to exceed $4.25 billion in total. The Revolving Credit Agreement was effective on May 19, 2026 and matures on May 19, 2031, and permits an additional one-year maturity extension up to two times, subject to specified conditions. The Revolving Credit Agreement also permits swing line loans of up to $200 million and letters of credit commitments of up to $500 million. Transco and Northwest Pipeline are each able to borrow up to $500 million under the Revolving Credit Agreement, subject to availability. </w:t>
      </w:r>
    </w:p>
    <w:p>
      <w:pPr>
        <w:pStyle w:val="TextBody"/>
        <w:bidi w:val="0"/>
        <w:spacing w:before="240" w:after="0"/>
        <w:jc w:val="left"/>
        <w:rPr>
          <w:rFonts w:ascii="Times New Roman" w:hAnsi="Times New Roman"/>
          <w:sz w:val="20"/>
        </w:rPr>
      </w:pPr>
      <w:r>
        <w:rPr>
          <w:rFonts w:ascii="Times New Roman" w:hAnsi="Times New Roman"/>
          <w:sz w:val="20"/>
        </w:rPr>
        <w:t xml:space="preserve">On May 19, 2026, we along with Transco and Northwest Pipeline, also entered into a 364-day credit agreement (the “364-Day Credit Agreement,” and together with the Revolving Credit Agreement, the “Credit Agreements”) with the lenders named therein and the administrative agent that provides for aggregate commitments of up to $1 billion with the ability to increase such commitments by up to an additional $150 million under certain circumstances. However, at no time may the aggregate commitments under the 364-Day Credit Agreement exceed $1.15 billion. The facility made available on a revolving basis under the 364-Day Credit Agreement matures on May 18, 2027 (the “364-Day Maturity Date”). The borrowers may request, prior to the 364-Day Maturity Date, that the revolving loans under the 364-Day Credit Agreement be converted on the 364-Day Maturity Date into term loans that mature one year after the 364-Day Maturity Date, subject to certain conditions. Transco and Northwest Pipeline are each subject to a $100 million borrowing sublimit under the 364-Day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Agreements contain the following terms and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Various covenants may limit, among other things, a borrower’s and its material subsidiaries’ ability to grant certain liens supporting indebtedness, merge or consolidate, sell all or substantially all of its assets in certain circumstances, make certain distributions during an event of default, and each borrower and each borrower’s respective material subsidiaries’ ability to enter into certain restrictive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with respect to a borrower occurs under the Credit Agreements, the lenders will be able to terminate the commitments for the respective borrowers under the applicable Credit Agreement and accelerate the maturity of the loans of the defaulting borrower under the applicable Credit Agreement and exercise other rights and remedies.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swing line loans, each time funds are borrowed, the applicable borrower may choose from two methods of calculating interest based on either a fluctuating or periodic fixed base rate, plus an applicable margin. We are required to pay a commitment fee based on the unused portion of the applicable Credit Agreements. The applicable margin is determined by reference to a pricing schedule based on the applicable borrower’s senior unsecured long-term debt ratings and the commitment fee is determined by reference to a pricing schedule based on our senior unsecured long-term debt ratings.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Significant financial covenants under the Credit Agreements require our ratio of debt to EBITDA (earnings before interest, taxes, depreciation, and amortization), each as defined therein, to be no greater than 5.0 to 1.0, except that for any fiscal quarter in which the funding of the purchase price for an acquisition (whether effectuated as one or a series of related transactions) with an aggregate purchase price of $25 million or more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been effected, and the following two fiscal quarters (in each case subject to certain limitations), the ratio of debt to EBITDA is to be no greater than 5.5 to 1.0. The ratio of debt to capitalization (defined as net worth plus debt), each as defined therein, must be no greater than 65 percent for each of Transco and Northwest Pipeline. </w:t>
      </w:r>
    </w:p>
    <w:p>
      <w:pPr>
        <w:pStyle w:val="TextBody"/>
        <w:bidi w:val="0"/>
        <w:spacing w:before="240" w:after="0"/>
        <w:jc w:val="left"/>
        <w:rPr>
          <w:rFonts w:ascii="Times New Roman" w:hAnsi="Times New Roman"/>
          <w:sz w:val="20"/>
        </w:rPr>
      </w:pPr>
      <w:r>
        <w:rPr>
          <w:rFonts w:ascii="Times New Roman" w:hAnsi="Times New Roman"/>
          <w:sz w:val="20"/>
        </w:rPr>
        <w:t xml:space="preserve">At June 30, 2026, we had no indebtedness outstanding under the Credit Agreements and no letters of credit had been issued under the Revolving Credit Agreement. We have issued letters of credit totaling $15 million as of June 30, 2026 under certain bilateral bank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Commercial Paper Program </w:t>
      </w:r>
    </w:p>
    <w:p>
      <w:pPr>
        <w:pStyle w:val="TextBody"/>
        <w:bidi w:val="0"/>
        <w:spacing w:before="120" w:after="0"/>
        <w:jc w:val="left"/>
        <w:rPr>
          <w:rFonts w:ascii="Times New Roman" w:hAnsi="Times New Roman"/>
          <w:sz w:val="20"/>
        </w:rPr>
      </w:pPr>
      <w:r>
        <w:rPr>
          <w:rFonts w:ascii="Times New Roman" w:hAnsi="Times New Roman"/>
          <w:sz w:val="20"/>
        </w:rPr>
        <w:t xml:space="preserve">On August 10, 2018, we entered into a $4 billion commercial paper program. Effective October 8, 2021, we reduced the size of our commercial paper program to $3.5 billion. The maturities of the commercial paper notes vary but may not exceed 397 days from the date of issuance. The commercial paper notes are sold under customary terms in the commercial paper market and are issued at a discount from par, or, alternatively, are sold at par and bear varying interest rates on a fixed or floating basis. The net proceeds of issuances of the commercial paper notes are used to fund planned capital expenditures and for other general corporate purposes. At June 30, 2026, we had $475 million commercial paper outstanding, and at September 4, 2026, we had approximately $910 million of commercial paper outstanding under our $3.5 billion commercial paper program. </w:t>
      </w:r>
    </w:p>
    <w:p>
      <w:pPr>
        <w:pStyle w:val="TextBody"/>
        <w:bidi w:val="0"/>
        <w:spacing w:before="360" w:after="0"/>
        <w:jc w:val="left"/>
        <w:rPr>
          <w:rFonts w:ascii="Times New Roman" w:hAnsi="Times New Roman"/>
          <w:b/>
          <w:sz w:val="20"/>
        </w:rPr>
      </w:pPr>
      <w:r>
        <w:rPr>
          <w:rFonts w:ascii="Times New Roman" w:hAnsi="Times New Roman"/>
          <w:b/>
          <w:sz w:val="20"/>
        </w:rPr>
        <w:t xml:space="preserve">Williams Notes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The Williams Companies, Inc. had outstanding a total of approximately $23.5 billion aggregate principal face amount of senior unsecured debt issues with various interest rates from 2.600% to 8.750% and maturities ranging from 2027 to 2056 (collectively, the “Williams Notes”).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Williams Notes are governed by indentures that contain covenants that, among other things, limit (1) our ability and the ability of our subsidiaries to incur liens on assets to secure certain debt and (2) certain mergers or consolidations and transfers of assets. The indentures also contain customary events of default, upon which the trustee or the holders of the Williams Notes may declare all outstanding Williams Notes to be due and payable immediately. </w:t>
      </w:r>
    </w:p>
    <w:p>
      <w:pPr>
        <w:pStyle w:val="TextBody"/>
        <w:bidi w:val="0"/>
        <w:spacing w:before="240" w:after="0"/>
        <w:jc w:val="left"/>
        <w:rPr>
          <w:rFonts w:ascii="Times New Roman" w:hAnsi="Times New Roman"/>
          <w:sz w:val="20"/>
        </w:rPr>
      </w:pPr>
      <w:r>
        <w:rPr>
          <w:rFonts w:ascii="Times New Roman" w:hAnsi="Times New Roman"/>
          <w:sz w:val="20"/>
        </w:rPr>
        <w:t xml:space="preserve">We may redeem the Williams Notes at our option in whole or in part at any time or from time to time prior to the respective maturity dates, at the applicable redemption prices described in the indentures governing the Williams Notes. We are not required to make mandatory redemption or sinking fund payments with respect to the Williams Notes or to repurchase the Williams Notes at the option of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Transco and Northwest Pipeline Indebtedness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Transco had outstanding a total of $4.9 billion aggregate principal face amount of senior unsecured debt issues with various interest rates from 3.250% to 7.250% and maturities ranging from 2026 to 2056 (all such notes, the “Transco Notes”). As of June 30, 2026, Northwest Pipeline had outstanding a total of $500 million aggregate principal face amount of 4.000% senior unsecured notes that mature in 2027 (the “Northwest Pipeline Notes”).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governing the Transco Notes and the Northwest Pipeline Notes contain covenants that, among other things, limit Transco and Northwest Pipeline’s ability to (1) incur liens securing indebtedness, (2) engage in certain sale and lease-back transactions and (3) consolidate, merge, transfer or lease assets. The indentures also contain customary events of default including non-payment of principal or interest, failure to comply with covenants, and certain bankruptcy or insolvency events. All of the Transco Notes and Northwest Pipeline Notes may be redeemed, in whole or in part, at any time and from time to time, as provided in the indentures governing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Northwest Pipeline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1, 2025 (the “Effective Date”), Northwest Pipeline entered into a Credit Agreement (the “NWP Credit Agreement”) with the lenders named therein and PNC Bank, National Association, as administrative agent. The NWP Credit Agreement proceeds were made available to be used (i) to refinance the outstanding indebtedness of Northwest Pipeline under its 7.125% Debentures due December 1, 2025 on the Effective Date and (ii) for working capital, acquisitions, capital expenditures and other general corporate or limited liability company purposes. Northwest Pipeline borrowed $250 million under the NWP Credit Agreement as term loans made on the Effective Date. The term loans made available under the NWP Credit Agreement mature on the third anniversary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Interest on borrowings under the NWP Credit Agreement is payable at rates equal to: (1) for ABR Borrowings (as defined in the NWP Credit Agreement), the Alternate Base Rate (as defined in the NWP Credit Agreement) for each day plus the Applicable Rate (as defined in the NWP Credit Agreement), and (2) for SOFR Borrowings (as defined in the NWP Credit Agreement), the Adjusted Term SOFR rate for the interest period in effect for such borrowing plus the Applicable Rate. The applicable rates are determined by reference to a pricing schedule based on Northwest Pipeline’s senior unsecured debt ratings. Under the NWP Credit Agreement Northwest Pipeline is required to maintain a ratio of debt to capitalization (defined as net worth plus debt) of no greater than 65%. This ratio will be tested at the end of each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The NWP Credit Agreement contains customary representations and warranties and affirmative, negative and financial covenants which were made only for the purposes of the NWP Credit Agreement and as of the specific date (or dates) set forth therein, and may be subject to certain limitations as agreed upon by the contracting parties. The NWP Credit Agreement contains various covenants that limit, among other things, Northwest Pipeline’s and its material subsidiaries’ ability to grant certain liens supporting indebtedness, Northwest Pipeline’s ability to merge or consolidate, sell all or substantially all of its assets in certain circumstances, make certain distributions during an event of default, and Northwest Pipeline’s and its respective material subsidiaries’ ability to enter into certain restrictive agreements. The NWP Credit Agreement includes customary events of default. If an event of default occurs, the lenders will be able to accelerate the maturity of the loans under the NWP Credit Agreement and exercise other rights and remedies.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Obligations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Transco had outstanding a total of approximately $1.06 billion of other financing obligations consisting of (1) approximately $741 million of funding from a partner for its proportionate share of construction costs related to its undivided ownership interest in construction of Transco’s Atlantic Sunrise project, (2) approximately $73 million of funding from a partner for its proportionate share of construction costs related to its undivided ownership interest in construction of Transco’s Leidy South project, and (3) approximately $245 million of funding from a partner for its proportionate share of construction costs related to its undivided ownership interest in construction of Transco’s Dalton project. Amounts received were recorded within noncurrent liabilities and the costs associated with construction were capitalized in our Consolidated Balance Sheet. Upon placing these projects into service Transco began utilizing the partners’ undivided interest in the assets, including the associated pipeline capacity, and reclassified the funding previously received from its partners from noncurrent liabilities to debt. The obligations, which mature in 2038, 2041, and 2052, respectively, require monthly interest and principal payments and bear interest rates of approximately 9 percent, 13 percent, and 9 percent,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MountainWest Indebtedness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MountainWest or its subsidiaries had outstanding a total of $430 million aggregate principal amount of long-term indebtedness with various interest rates ranging from 3.530% to 4.875% and maturities from 2028 to 2041 (the “MountainWest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indentures or agreements governing the MountainWest Notes contain covenants that, among other things, limit the issuing entity’s ability to (1) incur liens securing indebtedness, (2) engage in certain sale and lease-back transactions, (3) consolidate, merge, transfer or lease assets, and (4) engage in certain transactions with affiliates other than its parent, subsidiaries, or subsidiaries of its parent. These documents also contain customary events of default including non-payment of principal or interest, failure to comply with covenants, and certain bankruptcy or insolvency events. The MountainWest Notes may be redeemed, in whole or in part, at any time and from time to time, as provided in the indentures or agreements governing such notes. Additionally, the note purchase agreement governing the 2018 Series A 3.53% Senior Notes due January 31, 2028 and 2018 Series B 3.91% Senior Notes due January 31, 2038 issued by a subsidiary of MountainWest requires that the issuer offer to prepay such notes in connection with certain negative ratings actions occurring within 120 days of a change of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oc110651_9"/>
      <w:bookmarkEnd w:id="11"/>
      <w:r>
        <w:rPr>
          <w:rFonts w:ascii="Times New Roman" w:hAnsi="Times New Roman"/>
          <w:b/>
          <w:sz w:val="20"/>
        </w:rPr>
        <w:t xml:space="preserve">CERTAIN MATERIAL U.S. FEDERAL INCOME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material U.S. federal income tax consequences of the acquisition, ownership, and disposition of the notes. It is based on provisions of the Internal Revenue Code of 1986, as amended (the “Code”), existing and proposed Treasury regulations promulgated thereunder (the “Treasury Regulations”), and administrative and judicial interpretations thereof, all as of the date hereof and all of which are subject to change, possibly on a retroactive basis. No ruling from the Internal Revenue Service (the “IRS”) has been or will be sought with respect to the acquisition, ownership, and disposition of the notes. Accordingly, no assurance can be given that the IRS will agree with the views expressed in this summary, or that a court will not sustain any challenge by the IRS in the event of litigation. The following applies to holders of notes who are the initial holder of the notes and acquire the notes for an amount of cash equal to their issue price, which is an amount equal to the first price at which a substantial amount of the notes is sold for cash to the public (not including bond houses, brokers, or similar persons or organizations acting in the capacity of underwriters, placement agents, or wholesalers), and that are held as capital assets (i.e., generally, property held for investment).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all of the U.S. federal income tax consequences that may be relevant to particular holders in light of their personal circumstances, or to certain types of holders that may be subject to special tax treatment (such as banks and other financial institutions, employee stock ownership plans, partnerships or other pass-through entities for U.S. federal income tax purposes, certain former citizens or residents of the United States, controlled foreign corporations, foreign controlled foreign corporations, corporations that accumulate earnings to avoid U.S. federal income tax, insurance companies, tax-exempt organizations, regulated investment companies, real estate investment trusts, dealers in securities and foreign currencies, traders in securities that elect to use a mark-to-market method of accounting for their securities, brokers, persons who hold the notes as a hedge or other integrated transaction or who hedge the interest rate on the notes, U.S. holders (as defined below) whose functional currency is not U.S. dollars, persons subject to the alternative minimum tax, or taxpayers required to accelerate the recognition of any item of gross income with respect to a note as a result of such income being recognized on an applicable financial statement). In addition, this summary does not include any description of the tax laws of any state, local, or non-U.S. jurisdiction that may be applicable to a particular holder and does not consider any aspects of U.S. federal tax law other than income taxation, including any tax arising under section 1411 of the Code (the “Medicare” tax on certain investment income).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an individual, corporation, estate, or trust that is a beneficial owner of the notes and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or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court within the United States can exercise primary supervision over its administration, and one or more United States persons have the authority to control all of the substantial decisions of that trust (or the trust was in existence on August 20, 1996, and validly elected to continue to be treated as a U.S. 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is an individual, corporation, estate, or trust that is a beneficial owner of the notes and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income tax treatment of a partner in a partnership (or other entity or arrangement classified as a pass-through entity for U.S. federal income tax purposes) that holds the notes generally will depend on such partner’s particular circumstances and on the activities of the partnership. Partners in such partnerships should consult their own tax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U.S. Federal Income Tax Consequences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Treatment of Interest </w:t>
      </w:r>
    </w:p>
    <w:p>
      <w:pPr>
        <w:pStyle w:val="TextBody"/>
        <w:bidi w:val="0"/>
        <w:spacing w:before="120" w:after="0"/>
        <w:jc w:val="left"/>
        <w:rPr>
          <w:rFonts w:ascii="Times New Roman" w:hAnsi="Times New Roman"/>
          <w:sz w:val="20"/>
        </w:rPr>
      </w:pPr>
      <w:r>
        <w:rPr>
          <w:rFonts w:ascii="Times New Roman" w:hAnsi="Times New Roman"/>
          <w:sz w:val="20"/>
        </w:rPr>
        <w:t xml:space="preserve">It is expected, and the rest of this discussion assumes, that the notes will be issued without original issue discount for U.S. federal income tax purposes. Accordingly, stated interest on the notes will generally be taxable to a U.S. holder as ordinary income at the time it is paid or accrues in accordance with the U.S. holder’s method of accounting for U.S. federal income tax purposes. If, however, the notes’ “stated redemption price at maturity” (generally, the sum of all payments required under the note other than payments of stated interest) exceeds the issue price by more than a de minimis amount, a U.S. holder will be required to include such excess in income as original issue discount, as it accrues, in accordance with a constant yield method based on a compounding of interest before the receipt of cash payments attributable to this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Retirement, Redemption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In general, upon the sale, exchange, redemption, retirement, or other taxable disposition of a note, a U.S. holder will recognize taxable gain or loss equal to the difference between (1) the amount of the cash and the fair market value of any property received (less any portion allocable to any accrued and unpaid interest, which will be taxable as interest to the extent not previously included in income, as described above under the heading “U.S. Federal Income Tax Consequences to U.S. Holders — Treatment of Interest”) and (2) the U.S. holder’s adjusted tax basis in the note. A U.S. holder’s adjusted tax basis in the note will generally be its cost for the note. Gain or loss realized on the sale, exchange, redemption, retirement, or other taxable disposition of a note will generally be capital gain or loss, and will be long-term capital gain or loss if the U.S. holder held the note for more than one year at the time of the sale, exchange, redemption, retirement or other taxable disposition. Long-term capital gains recognized by certain non-corporate U.S. holders, including individuals, will be taxable at a reduced rate. The deductibility of capital losses is subject to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In general, a U.S. holder of the notes will be subject to backup withholding with respect to interest on the notes, and the proceeds of a sale, exchange, redemption, retirement, or other taxable disposition of the notes, at the applicable tax rate, unless such holder (a) is an entity that is exempt from withholding and, when required, demonstrates this fact, or (b) provides the payor with its taxpayer identification number (“TIN”), certifies that the TIN provided to the payor is correct and that the holder has not been notified by the IRS that such holder is subject to backup withholding due to underreporting of interest or dividends, and otherwise complies with applicable requirements of the backup withholding rules. In addition, such payments to U.S. holders that are not exempt entities will generally be subject to information reporting requirements. A U.S. holder who does not provide the payor with its correct TIN may be subject to various penalties. Backup withholding is not an additional tax. The amount of any backup withholding from a payment to a U.S. holder generally will be allowed as a credit against such holder’s U.S. federal income tax liability and may entitle such holder to a refund, provided that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Consequences to 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Treatment of Interest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of backup withholding and FATCA below, under the “portfolio interest exemption,” a non-U.S. holder will generally not be subject to U.S. federal income tax (or any withholding tax) on payments of interest on the notes if the interest is not effectively connected with its conduct of a U.S. trade or business,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does not actually or constructively own 10% or more of the total combined voting power of all classes of our stock that are entitled to vote within the meaning of Section 871(h)(3)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bank receiving interest on an extension of credit pursuant to a loan agreement entered into in the ordinary course of its trade or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“controlled foreign corporation” that is related (actually or constructively) to us through stock ownership;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certification requirements are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current law, the certification requirements described above will be satisfied in any of the following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non-U.S. holder provides to us or our paying agent a statement on IRS Form W-8BEN or W-8BEN-E (or suitable successor form), together with all appropriate attachments, signed under penalties of perjury, identifying the non-U.S. holder by name and address and stating, among other things, that the non-U.S. holder is not a United States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note is held through a securities clearing organization, bank, or another financial institution that holds customers’ securities in the ordinary course of its trade or business, (i) the non-U.S. holder provides such a form to such organization or institution, and (ii) such organization or institution, under penalty of perjury, certifies to us that it has received such statement from the beneficial owner or another intermediary and furnishes us or our paying agent with a copy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financial institution or other intermediary that holds the note on behalf of the non-U.S. holder has entered into a withholding agreement with the IRS and submits an IRS Form W-8IMY (or suitable successor form) and certain other required documentation to us or our paying agent.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requirements of the portfolio interest exemption described above are not satisfied, a 30% withholding tax will apply to the gross amount of interest on the notes that is paid to a non-U.S. holder, unless either: (a) an applicable income tax treaty reduces or eliminates such tax, and the non-U.S. holder claims the benefit of that treaty by providing a properly completed and duly executed IRS Form W-8BEN or W-8BEN-E (or suitable successor or substitute form) establishing qualification for benefits under the treaty, or (b) the interest is effectively connected with the non-U.S. holder’s conduct of a trade or business in the United States and the non-U.S. holder provides an appropriate statement to that effect on a properly completed and duly executed IRS Form W-8ECI (or suitable successor form).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is engaged in a trade or business in the United States and interest on a note is effectively connected with the conduct of that trade or business, the non-U.S. holder will be required to pay U.S. federal income tax on that interest on a net income basis (and the 30% withholding tax described above will not apply provided the duly executed IRS Form W-8ECI is provided to us or our paying agent) generally in the same manner as a U.S. person. If a non-U.S. holder is eligible for the benefits of an income tax treaty between the United States and its country of residence, and the non-U.S. holder satisfies certain certification requirements, any interest income that is effectively connected with a U.S. trade or business will be subject to U.S. federal income tax in the manner specified by the treaty and generally will only be subject to tax on a net basis if such income is attributable to a permanent establishment (or a fixed base in the case of an individual) maintained by the non-U.S. holder in the United States. In addition, a non-U.S. holder that is treated as a corporation for U.S. federal income tax purposes may be subject to a branch profits tax equal to 30% (or lower applicable income tax treaty rate) of its earnings and profits for the taxable year, subject to adjustments, that are effectively connected with its conduct of a trade 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Retirement, Redemption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of backup withholding and FATCA below, a non-U.S. holder generally will not be subject to U.S. federal income tax (or any withholding thereof) on any gain (other than any gain attributable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accrued and unpaid interest, which will be taxable as interest and may be subject to the rules described above under the heading “U.S. Federal Income Tax Consequences to Non-U.S. Holders — Treatment of Interest”) realized by such holder upon a sale, exchange, redemption, retirement, or other taxable disposition of a note,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U.S. for 183 days or more during the taxable year of disposition and certain other conditions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conduct of a U.S. trade or business of the non-U.S. holder (and, if an applicable income tax treaty so provides, the gain is attributable to a U.S. permanent establishment of the non-U.S. holder or a fixed base in the case of an individual).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first exception applies, the non-U.S. holder generally will be subject to U.S. federal income tax at a rate of 30% (or lower applicable income tax treaty rate) on the gain derived by such holder upon the sale, exchange, redemption, retirement, or other taxable disposition of a note, which may be offset by certain U.S. source capital losses, even though such holder is not considered a resident of the United States, provided the non-U.S. holder has timely filed U.S. federal income tax returns with respect to such losses. If the second exception applies, the non-U.S. holder will generally be subject to U.S. federal income tax on the net gain derived from the sale, exchange, redemption, retirement, or other taxable disposition of the notes in the same manner as a U.S. person. In addition, corporate non-U.S. holders to which the second exception applies may be subject to a 30% branch profits tax (or lower applicable treaty rate) on its effectively connected earnings and profit for the taxable year, subject to adjustments. If a non-U.S. holder is eligible for the benefits of an income tax treaty between the United States and its country of residence, the U.S. federal income tax treatment of any such gain may be modified in the manner specified by the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Generally, we or our paying agent must report to the IRS and to each non-U.S. holder the amount of any interest paid on the notes in each calendar year, and the amount of U.S. federal income tax withheld, if any, with respect to these payments. Copies of the information returns reporting such interest and withholding may also be made available to the tax authorities in the country in which a non-U.S. holder resides under the provisions of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Non-U.S. holders who have provided proper certification as to their non-U.S. status or who have otherwise established an exemption will generally not be subject to backup withholding on payments of interest if neither we nor our agent have actual knowledge or reason to know that such certification is unreliable or that the conditions of the exemption are in fact not satisfied. </w:t>
      </w:r>
    </w:p>
    <w:p>
      <w:pPr>
        <w:pStyle w:val="TextBody"/>
        <w:bidi w:val="0"/>
        <w:spacing w:before="240" w:after="0"/>
        <w:jc w:val="left"/>
        <w:rPr>
          <w:rFonts w:ascii="Times New Roman" w:hAnsi="Times New Roman"/>
          <w:sz w:val="20"/>
        </w:rPr>
      </w:pPr>
      <w:r>
        <w:rPr>
          <w:rFonts w:ascii="Times New Roman" w:hAnsi="Times New Roman"/>
          <w:sz w:val="20"/>
        </w:rPr>
        <w:t xml:space="preserve">Payments of the proceeds from the sale, exchange, redemption, retirement, or other taxable disposition of a note to or through a foreign office of a broker generally will not be subject to information reporting or backup withholding. However, additional information reporting, but generally not backup withholding, may apply to those payments if the broker has certain relationships with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proceeds from a sale, exchange, redemption, retirement, or other taxable disposition of a note to or through the United States office of a broker will be subject to information reporting and backup withholding unless the non-U.S. holder certifies as to its non-U.S. status or otherwise establishes an exemption from information reporting and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the amount of any backup withholding from a payment to a non-U.S. holder generally will be allowed as a credit against such holder’s U.S. federal income tax liability, if any, and may entitle such holder to a refund, provided that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Under the Foreign Account Tax Compliance Act (“FATCA”), withholding taxes may apply to certain types of payments made to “foreign financial institutions” (as specifically defined in the Code) and certain other non-U.S.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entities. Specifically, a 30% withholding tax may be imposed on interest on, and (subject to the discussion below) gross proceeds from the sale or other disposition of, notes paid to a foreign financial institution or to a non-financial foreign entity, unless (1) the foreign financial institution undertakes certain diligence and reporting obligations, (2) the non-financial foreign entity either certifies it does not have any substantial United States owners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then, pursuant to an agreement between it and the U.S. Treasury or an intergovernmental agreement between, generally, the jurisdiction in which it is resident and the United States, it must, among other things, identify accounts held by certain United States persons or United States owned foreign entities, annually report certain information about such accounts, and withhold 30% on payments to non-compliant foreign financial institutions and certain other account holders. </w:t>
      </w:r>
    </w:p>
    <w:p>
      <w:pPr>
        <w:pStyle w:val="TextBody"/>
        <w:bidi w:val="0"/>
        <w:spacing w:before="240" w:after="0"/>
        <w:jc w:val="left"/>
        <w:rPr>
          <w:rFonts w:ascii="Times New Roman" w:hAnsi="Times New Roman"/>
          <w:sz w:val="20"/>
        </w:rPr>
      </w:pPr>
      <w:r>
        <w:rPr>
          <w:rFonts w:ascii="Times New Roman" w:hAnsi="Times New Roman"/>
          <w:sz w:val="20"/>
        </w:rPr>
        <w:t xml:space="preserve">Under FATCA, a 30% withholding tax currently may be imposed on payments of interest on the notes paid to a foreign financial institution (including amounts paid to a foreign financial institution on or behalf of a holder) and certain other nonfinancial foreign entities. While withholding under FATCA also would have applied to payments of gross proceeds from the sale, exchange, redemption, retirement, or other taxable disposition of notes on or after January 1, 2019, proposed U.S. Treasury Regulations eliminate FATCA withholding on payments of gross proceeds entirely. Taxpayers generally may rely on these proposed U.S. Treasury Regulations until final U.S.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possible effect of FATCA on their investment in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The preceding discussion of certain U.S. federal income tax consequences is for general information only and is not tax advice. Accordingly, each investor should consult its own tax advisor as to particular tax consequences to it of acquisition, ownership, and disposition of the notes, including the applicability and effect of any state, local or foreign tax laws, and of any pending or subsequent changes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oc110651_10"/>
      <w:bookmarkEnd w:id="12"/>
      <w:r>
        <w:rPr>
          <w:rFonts w:ascii="Times New Roman" w:hAnsi="Times New Roman"/>
          <w:b/>
          <w:sz w:val="20"/>
        </w:rPr>
        <w:t xml:space="preserve">UNDERWRITING </w:t>
      </w:r>
    </w:p>
    <w:p>
      <w:pPr>
        <w:pStyle w:val="TextBody"/>
        <w:bidi w:val="0"/>
        <w:spacing w:before="120" w:after="0"/>
        <w:jc w:val="left"/>
        <w:rPr>
          <w:rFonts w:ascii="Times New Roman" w:hAnsi="Times New Roman"/>
          <w:sz w:val="20"/>
        </w:rPr>
      </w:pPr>
      <w:r>
        <w:rPr>
          <w:rFonts w:ascii="Times New Roman" w:hAnsi="Times New Roman"/>
          <w:sz w:val="20"/>
        </w:rPr>
        <w:t xml:space="preserve">We intend to offer the notes through the underwriters named below, for whom Citigroup Global Markets Inc., Mizuho Securities USA LLC, Morgan Stanley &amp; Co. LLC and SMBC Nikko Securities America, Inc. are acting as representatives. Subject to the terms and conditions contained in the underwriting agreement dated the date of this prospectus supplement between the underwriters named below and us, we have agreed to sell to the underwriters and the underwriters have severally and not jointly agreed to purchase, the principal amount of the notes listed opposite their names below. </w:t>
      </w:r>
    </w:p>
    <w:p>
      <w:pPr>
        <w:pStyle w:val="TextBody"/>
        <w:bidi w:val="0"/>
        <w:spacing w:before="0" w:after="0"/>
        <w:jc w:val="left"/>
        <w:rPr/>
      </w:pPr>
      <w:r>
        <w:rPr/>
        <w:t> </w:t>
      </w:r>
    </w:p>
    <w:tbl>
      <w:tblPr>
        <w:tblW w:w="10725" w:type="dxa"/>
        <w:jc w:val="center"/>
        <w:tblInd w:w="0" w:type="dxa"/>
        <w:tblLayout w:type="fixed"/>
        <w:tblCellMar>
          <w:top w:w="0" w:type="dxa"/>
          <w:left w:w="0" w:type="dxa"/>
          <w:bottom w:w="0" w:type="dxa"/>
          <w:right w:w="0" w:type="dxa"/>
        </w:tblCellMar>
      </w:tblPr>
      <w:tblGrid>
        <w:gridCol w:w="2645"/>
        <w:gridCol w:w="60"/>
        <w:gridCol w:w="140"/>
        <w:gridCol w:w="1760"/>
        <w:gridCol w:w="60"/>
        <w:gridCol w:w="60"/>
        <w:gridCol w:w="140"/>
        <w:gridCol w:w="1760"/>
        <w:gridCol w:w="60"/>
        <w:gridCol w:w="60"/>
        <w:gridCol w:w="140"/>
        <w:gridCol w:w="1760"/>
        <w:gridCol w:w="60"/>
        <w:gridCol w:w="60"/>
        <w:gridCol w:w="140"/>
        <w:gridCol w:w="1760"/>
        <w:gridCol w:w="60"/>
      </w:tblGrid>
      <w:tr>
        <w:trPr/>
        <w:tc>
          <w:tcPr>
            <w:tcW w:w="26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bottom"/>
          </w:tcPr>
          <w:p>
            <w:pPr>
              <w:pStyle w:val="TableContents"/>
              <w:bidi w:val="0"/>
              <w:spacing w:before="0" w:after="283"/>
              <w:jc w:val="left"/>
              <w:rPr>
                <w:b/>
              </w:rPr>
            </w:pPr>
            <w:r>
              <w:rPr>
                <w:b/>
              </w:rPr>
              <w:t>Underwriters</w:t>
            </w:r>
          </w:p>
        </w:tc>
        <w:tc>
          <w:tcPr>
            <w:tcW w:w="60" w:type="dxa"/>
            <w:tcBorders/>
            <w:vAlign w:val="bottom"/>
          </w:tcPr>
          <w:p>
            <w:pPr>
              <w:pStyle w:val="TableContents"/>
              <w:bidi w:val="0"/>
              <w:spacing w:before="0" w:after="283"/>
              <w:jc w:val="left"/>
              <w:rPr/>
            </w:pPr>
            <w:r>
              <w:rPr/>
              <w:t> </w:t>
            </w:r>
          </w:p>
        </w:tc>
        <w:tc>
          <w:tcPr>
            <w:tcW w:w="1900"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 Amount</w:t>
            </w:r>
            <w:r>
              <w:rPr/>
              <w:br/>
            </w:r>
            <w:r>
              <w:rPr>
                <w:b/>
              </w:rPr>
              <w:t>of   %</w:t>
              <w:br/>
              <w:t>Senior Notes due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0"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 Amount</w:t>
            </w:r>
            <w:r>
              <w:rPr/>
              <w:br/>
            </w:r>
            <w:r>
              <w:rPr>
                <w:b/>
              </w:rPr>
              <w:t>of   %</w:t>
              <w:br/>
              <w:t>Senior Notes due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0"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 Amount</w:t>
            </w:r>
            <w:r>
              <w:rPr/>
              <w:br/>
            </w:r>
            <w:r>
              <w:rPr>
                <w:b/>
              </w:rPr>
              <w:t>of   %</w:t>
              <w:br/>
              <w:t>Senior Notes due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0"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 Amount</w:t>
            </w:r>
            <w:r>
              <w:rPr/>
              <w:br/>
            </w:r>
            <w:r>
              <w:rPr>
                <w:b/>
              </w:rPr>
              <w:t>of   %</w:t>
              <w:br/>
              <w:t>Senior Notes due</w:t>
            </w:r>
          </w:p>
        </w:tc>
        <w:tc>
          <w:tcPr>
            <w:tcW w:w="60" w:type="dxa"/>
            <w:tcBorders/>
            <w:vAlign w:val="bottom"/>
          </w:tcPr>
          <w:p>
            <w:pPr>
              <w:pStyle w:val="TableContents"/>
              <w:bidi w:val="0"/>
              <w:spacing w:before="0" w:after="283"/>
              <w:jc w:val="left"/>
              <w:rPr/>
            </w:pPr>
            <w:r>
              <w:rPr/>
              <w:t> </w:t>
            </w:r>
          </w:p>
        </w:tc>
      </w:tr>
      <w:tr>
        <w:trPr/>
        <w:tc>
          <w:tcPr>
            <w:tcW w:w="26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Citigroup Global Markets Inc.</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645" w:type="dxa"/>
            <w:tcBorders/>
          </w:tcPr>
          <w:p>
            <w:pPr>
              <w:pStyle w:val="TableContents"/>
              <w:bidi w:val="0"/>
              <w:spacing w:before="0" w:after="0"/>
              <w:jc w:val="left"/>
              <w:rPr>
                <w:rFonts w:ascii="Times New Roman" w:hAnsi="Times New Roman"/>
                <w:sz w:val="16"/>
              </w:rPr>
            </w:pPr>
            <w:r>
              <w:rPr>
                <w:rFonts w:ascii="Times New Roman" w:hAnsi="Times New Roman"/>
                <w:sz w:val="16"/>
              </w:rPr>
              <w:t>Mizuho Securities USA LLC</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Morgan Stanley &amp; Co. LLC</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7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7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7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7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645" w:type="dxa"/>
            <w:tcBorders/>
          </w:tcPr>
          <w:p>
            <w:pPr>
              <w:pStyle w:val="TableContents"/>
              <w:bidi w:val="0"/>
              <w:spacing w:before="0" w:after="0"/>
              <w:jc w:val="left"/>
              <w:rPr>
                <w:rFonts w:ascii="Times New Roman" w:hAnsi="Times New Roman"/>
                <w:sz w:val="16"/>
              </w:rPr>
            </w:pPr>
            <w:r>
              <w:rPr>
                <w:rFonts w:ascii="Times New Roman" w:hAnsi="Times New Roman"/>
                <w:sz w:val="16"/>
              </w:rPr>
              <w:t>SMBC Nikko Securities America, Inc.</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6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have agreed to purchase all of the notes sold pursuant to the underwriting agreement if any of the notes are purchased. The underwriters reserve the right to withdraw, cancel or modify offers to the public and to reject orders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they propose initially to offer the notes to the public at the public offering price on the cover page of this prospectus supplement, and may offer the notes to dealers at that price less a concession not in excess of     % of the principal amount of the     notes,     % of the principal amount of the     notes,     % of the principal amount of the     notes and     % of the principal amount of the     notes. The underwriters may allow, and the dealers may reallow, a discount not in excess of     % of the principal amount of the     notes,    % of the principal amount of the     notes,     % of the principal amount of the     notes and     % of the principal amount of the     notes to other dealers. After the initial offering of the notes to the public, the public offering price, concession and discount may be changed. </w:t>
      </w:r>
    </w:p>
    <w:p>
      <w:pPr>
        <w:pStyle w:val="TextBody"/>
        <w:bidi w:val="0"/>
        <w:spacing w:before="240" w:after="0"/>
        <w:jc w:val="left"/>
        <w:rPr>
          <w:rFonts w:ascii="Times New Roman" w:hAnsi="Times New Roman"/>
          <w:sz w:val="20"/>
        </w:rPr>
      </w:pPr>
      <w:r>
        <w:rPr>
          <w:rFonts w:ascii="Times New Roman" w:hAnsi="Times New Roman"/>
          <w:sz w:val="20"/>
        </w:rPr>
        <w:t xml:space="preserve">We will pay underwriting discounts in connection with this offering of     % of the principal amount of the     notes,     % of the principal amount of the     notes,     % of the principal amount of the     notes and     % of the principal amount of the     notes. The expenses of the offering, not including the underwriting discounts, are estimated to be approximately $    and are payable by us. </w:t>
      </w:r>
    </w:p>
    <w:p>
      <w:pPr>
        <w:pStyle w:val="TextBody"/>
        <w:bidi w:val="0"/>
        <w:spacing w:before="240" w:after="0"/>
        <w:jc w:val="left"/>
        <w:rPr>
          <w:rFonts w:ascii="Times New Roman" w:hAnsi="Times New Roman"/>
          <w:sz w:val="20"/>
        </w:rPr>
      </w:pPr>
      <w:r>
        <w:rPr>
          <w:rFonts w:ascii="Times New Roman" w:hAnsi="Times New Roman"/>
          <w:sz w:val="20"/>
        </w:rPr>
        <w:t xml:space="preserve">The notes are a new issue of securities with no established trading market. We do not intend to apply for listing of the notes on any national securities exchange or for quotation of the notes on any automated dealer quotation system. We cannot assure the liquidity of the trading market for the notes or that an active public market for the notes will develop or be maintained. If an active public trading market for the notes does not develop or is not maintained, the market price and liquidity of the notes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are permitted to engage in transactions that stabilize the market price of the notes. Such transactions consist of bids or purchases to peg, fix or maintain the price of the notes. If the underwriters create a short position in the notes in connection with the offering, i.e., if they sell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these transactions or that these transactions, once commenced, will not be discontinued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It is expected that delivery of the notes in this offering will be made against payment therefor by purchasers in this offering on or about     , 2026, which is the      business day following the pricing date of the notes (such settlement cycle being referred to as T+     ). Under Rule 15c6-1 under the Exchange Act, trades in the secondary market generally are required to settle in one business day, unless the parties to any such trade expressly agree otherwise. Accordingly, purchasers who wish to trade the notes prior to the business day before the settlement date will be required, by virtue of the fact that the notes initially will settle in T+     , to specify an alternative settlement cycle at the time of any such trade to prevent a failed settlement. Purchasers of the notes who wish to trade the notes prior to the business day before the settlement date should consult their own advisors. </w:t>
      </w:r>
    </w:p>
    <w:p>
      <w:pPr>
        <w:pStyle w:val="TextBody"/>
        <w:bidi w:val="0"/>
        <w:spacing w:before="360" w:after="0"/>
        <w:jc w:val="left"/>
        <w:rPr>
          <w:rFonts w:ascii="Times New Roman" w:hAnsi="Times New Roman"/>
          <w:b/>
          <w:sz w:val="20"/>
        </w:rPr>
      </w:pPr>
      <w:r>
        <w:rPr>
          <w:rFonts w:ascii="Times New Roman" w:hAnsi="Times New Roman"/>
          <w:b/>
          <w:sz w:val="20"/>
        </w:rPr>
        <w:t xml:space="preserve">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their affiliates have engaged, and may in the future engage, in commercial banking (including as lenders to us and our affiliates), investment banking or financial advisory transactions with us and our affiliates in the ordinary course of their business. Such underwriters and their affiliates have received customary compensation and reimbursement of their expenses for these commercial banking, investment banking or financial advisory transactions. In particular, certain of the underwriters are lenders under our credit facilities. Certain of the underwriters or their affiliates are dealers under our commercial paper program, and, to the extent they hold our commercial paper, may receive a portion of the proceeds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may make or hold a broad array of investments, including serving as counterparties to certain derivative and hedging arrangements, and actively trade debt and equity securities (or related derivative securities) and financial instruments (including bank loans) for their own account and for the accounts of their customers, and such investment and securities activities may involve our securities and/or instruments or those of our affiliates. </w:t>
      </w:r>
    </w:p>
    <w:p>
      <w:pPr>
        <w:pStyle w:val="TextBody"/>
        <w:bidi w:val="0"/>
        <w:spacing w:before="240" w:after="0"/>
        <w:jc w:val="left"/>
        <w:rPr>
          <w:rFonts w:ascii="Times New Roman" w:hAnsi="Times New Roman"/>
          <w:sz w:val="20"/>
        </w:rPr>
      </w:pPr>
      <w:r>
        <w:rPr>
          <w:rFonts w:ascii="Times New Roman" w:hAnsi="Times New Roman"/>
          <w:sz w:val="20"/>
        </w:rPr>
        <w:t xml:space="preserve">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 or short positions in such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sz w:val="20"/>
        </w:rPr>
      </w:pPr>
      <w:r>
        <w:rPr>
          <w:rFonts w:ascii="Times New Roman" w:hAnsi="Times New Roman"/>
          <w:b/>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been prepared on the basis that any offer of notes in any Member State of the European Economic Area (“EEA”) will be made pursuant to an exemption under Regulation (EU) 2017/1129 (as amended, the “Prospectus Regulation”) from the requirement to publish a prospectus for offers of notes. Accordingly any person making or intending to make an offer in that Member State of notes, which are the subject of the offering contemplated in this prospectus supplement, may only do so to legal entities which are not “retail investors” (as defined below), provided that no such offer of notes shall require the Company or any of the underwriters to publish a prospectus pursuant to Article 3 of the Prospectus Regulation or supplement a prospectus pursuant to Article 23 of the Prospectus Regulation, in each case in relation to such offer. </w:t>
      </w:r>
    </w:p>
    <w:p>
      <w:pPr>
        <w:pStyle w:val="TextBody"/>
        <w:bidi w:val="0"/>
        <w:spacing w:before="240" w:after="0"/>
        <w:jc w:val="left"/>
        <w:rPr>
          <w:rFonts w:ascii="Times New Roman" w:hAnsi="Times New Roman"/>
          <w:sz w:val="20"/>
        </w:rPr>
      </w:pPr>
      <w:r>
        <w:rPr>
          <w:rFonts w:ascii="Times New Roman" w:hAnsi="Times New Roman"/>
          <w:sz w:val="20"/>
        </w:rPr>
        <w:t xml:space="preserve">Neither the Company nor the underwriters have authorized, nor do they authorize, the making of any offer of notes to any legal entity which is not a retail investor. Neither the Company nor the underwriters have authorized, nor do they authorize, the making of any offer of notes through any financial intermediary, other than offers made by the underwriters, which constitute the final placement of the notes contemplated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underwriter has represented and agreed that it has not offered, sold or otherwise made available and will not offer, sell or otherwise make available any notes to any retail investor in any Member State. For the purposes of this provision: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“retail investor” means a person who is one (or more)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retail client as defined in point (11) of Article 4(1) of Directive 2014/65/EU (as amended, “MiFID 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customer within the meaning of Directive (EU) 2016/97 (as amended, the “IDD”), where that customer would not qualify as a professional client as defined in point (10) of Article 4(1) of MiFID II;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qualified investor as defined in the Prospectus Regulation;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“offer” includes the communication in any form and by any means of sufficient information on the terms of the offer and the notes to be offered so as to enable an investor to decide to purchase or subscribe for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in a Member State who receives any communication in respect of, or who acquires any notes under, the offers to the public contemplated in this prospectus supplement, or to whom the notes are otherwise made available, will be deemed to have represented, warranted, acknowledged and agreed to and with each underwriter and the Company that it and any person on whose behalf it acquires the notes is not a “retail investor”.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EEA.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Any distributor subject to MiFID II (for the purposes of this paragraph, a “distributor”) subsequently offering, selling or recommending the notes is responsible for undertaking its own target market assessment in respect of the notes and determining the appropriate distribution channels for the purposes of the MiFID 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governance rules under Commission Delegated Directive (EU) 2017/593 (“Delegated Directive”). Neither the Company nor any of the underwriters make any representations or warranties as to a distributor’s compliance with the Delegated Directive.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distributed or otherwise made available to and should not be offered, sold, distributed or otherwise made available to any retail investor in the United Kingdom (the “UK”). For these purposes, a retail investor means a person who is either one (or both) of: (a) not a professional client, as defined in point (8) of Article 2(1) of Regulation (EU) No 600/2014 as it forms part of domestic law by virtue of the European Union (Withdrawal) Act 2018; or (b) not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This prospectus supplement and the accompanying prospectus have been prepared on the basis that any offer of notes in the UK will be made pursuant to an exception from the prohibition on offers of notes to the public under the POATRs. </w:t>
      </w:r>
    </w:p>
    <w:p>
      <w:pPr>
        <w:pStyle w:val="TextBody"/>
        <w:bidi w:val="0"/>
        <w:spacing w:before="240" w:after="0"/>
        <w:jc w:val="left"/>
        <w:rPr>
          <w:rFonts w:ascii="Times New Roman" w:hAnsi="Times New Roman"/>
          <w:sz w:val="20"/>
        </w:rPr>
      </w:pPr>
      <w:r>
        <w:rPr>
          <w:rFonts w:ascii="Times New Roman" w:hAnsi="Times New Roman"/>
          <w:sz w:val="20"/>
        </w:rPr>
        <w:t xml:space="preserve">In the UK, this prospectus supplement and the accompanying prospectus are being distributed only to, and are directed only at, persons who are “qualified investors” (as defined in paragraph 15 of Schedule 1 to the POATRs who are (a) persons having professional experience in matters relating to investments falling within Article 19(5) of the Financial Services and Markets Act 2000 (Financial Promotion) Order 2005 (as amended, the “Order”); (b) persons falling within Article 49(2)(a) to (d) (“high net worth companies, unincorporated associations etc.”) of the Order; or (c) persons to whom an invitation or inducement to engage in investment activity (within the meaning of section 21 of the Financial Services and Markets Act 2000, as amended) in connection with the issue or sale of any securities may otherwise lawfully be communicated or caused to be communicated, all such persons together being referred to as “Relevant Persons.” In the UK, any investment or investment activity to which this prospectus supplement and the accompanying prospectus relate is available only to, and will be engaged in only with, Relevant Persons. This prospectus supplement and the accompanying prospectus and their respective contents are confidential and should not be distributed, published or reproduced (in whole or in part) or disclosed by any recipients to any other person in the UK. Any person in the UK that is not a Relevant Person should not act or rely on this prospectus supplement and the accompanying prospectus or their respective contents.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w:t>
      </w:r>
      <w:r>
        <w:rPr>
          <w:rFonts w:ascii="Times New Roman" w:hAnsi="Times New Roman"/>
          <w:i/>
          <w:sz w:val="20"/>
        </w:rPr>
        <w:t>Prospectus Exemptions</w:t>
      </w:r>
      <w:r>
        <w:rPr>
          <w:rFonts w:ascii="Times New Roman" w:hAnsi="Times New Roman"/>
          <w:sz w:val="20"/>
        </w:rPr>
        <w:t xml:space="preserve"> or subsection 73.3(1) of the </w:t>
      </w:r>
      <w:r>
        <w:rPr>
          <w:rFonts w:ascii="Times New Roman" w:hAnsi="Times New Roman"/>
          <w:i/>
          <w:sz w:val="20"/>
        </w:rPr>
        <w:t>Securities Act</w:t>
      </w:r>
      <w:r>
        <w:rPr>
          <w:rFonts w:ascii="Times New Roman" w:hAnsi="Times New Roman"/>
          <w:sz w:val="20"/>
        </w:rPr>
        <w:t xml:space="preserve"> (Ontario),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section 3A.3 of National Instrument 33-105 </w:t>
      </w:r>
      <w:r>
        <w:rPr>
          <w:rFonts w:ascii="Times New Roman" w:hAnsi="Times New Roman"/>
          <w:i/>
          <w:sz w:val="20"/>
        </w:rPr>
        <w:t>Underwriting Conflicts</w:t>
      </w:r>
      <w:r>
        <w:rPr>
          <w:rFonts w:ascii="Times New Roman" w:hAnsi="Times New Roman"/>
          <w:sz w:val="20"/>
        </w:rPr>
        <w:t xml:space="preserve">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 </w:t>
      </w:r>
    </w:p>
    <w:p>
      <w:pPr>
        <w:pStyle w:val="TextBody"/>
        <w:bidi w:val="0"/>
        <w:spacing w:before="240" w:after="0"/>
        <w:jc w:val="left"/>
        <w:rPr>
          <w:rFonts w:ascii="Times New Roman" w:hAnsi="Times New Roman"/>
          <w:sz w:val="20"/>
        </w:rPr>
      </w:pPr>
      <w:r>
        <w:rPr>
          <w:rFonts w:ascii="Times New Roman" w:hAnsi="Times New Roman"/>
          <w:i/>
          <w:sz w:val="20"/>
        </w:rPr>
        <w:t>Singapore SFA Product Classification</w:t>
      </w:r>
      <w:r>
        <w:rPr>
          <w:rFonts w:ascii="Times New Roman" w:hAnsi="Times New Roman"/>
          <w:sz w:val="20"/>
        </w:rPr>
        <w:t xml:space="preserve"> — In connection with Section 309B of the SFA and the CMP Regulations 2018, unless otherwise specified before an offer of notes, the Company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FinSA and neither this document nor any other offering or marketing material relating to the notes or the offering may be publicly distributed or otherwise made publicly available in Switzerland.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Taiwan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with the Financial Supervisory Commission of Taiwan, the Republic of China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 No person or entity in Taiwan has been authorized to offer, sell, give advice regarding or otherwise intermediate the offering or sale of the notes in Taiwan.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offering memorandum,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notes may only be made to persons (the “Exempt Investors”) who are “sophisticated investors” (within the meaning of section 708(8) of the Corporations Act), “professional investors” (within the meaning of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or the Dubai Financial Services Authority.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Abu Dhabi Global Market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for distribution only to persons who (a) are outside the Abu Dhabi Global Market, (b) are Authorised Persons or Recognised Bodies (as such terms are defined in the Financial Services and Markets Regulations 2015 (“FSMR”)), or (c) are persons to whom an invitation or inducement to engage in investment activity (within the meaning of section 18 of FSMR) in connection with the issue or sale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document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Offered Securities Rules of the Dubai Financial Services Authority (“DFSA”). This prospectus supplement is for distribution only to persons who (a) are outside the Dubai International Financial Centre, (b) are Professional Clients (as such term is defined under Rule 2.3.4 of the Conduct of Business Module of the DFSA), or (c) are persons to whom an invitation or inducement to: (a) enter into an agreement in relation to the provision of a financial services or (b) exercise any rights conferred by a financial product or acquire, dispose of, underwrite or convert a financial product (within the meaning of Article 41A of the Regulatory Law)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w:t>
      </w:r>
    </w:p>
    <w:p>
      <w:pPr>
        <w:pStyle w:val="TextBody"/>
        <w:bidi w:val="0"/>
        <w:spacing w:before="240" w:after="0"/>
        <w:jc w:val="left"/>
        <w:rPr>
          <w:rFonts w:ascii="Times New Roman" w:hAnsi="Times New Roman"/>
          <w:sz w:val="20"/>
        </w:rPr>
      </w:pPr>
      <w:r>
        <w:rPr>
          <w:rFonts w:ascii="Times New Roman" w:hAnsi="Times New Roman"/>
          <w:sz w:val="20"/>
        </w:rPr>
        <w:t xml:space="preserve">The DFSA has no responsibility for reviewing or verifying any documents in connection with Exempt Offers. The DFSA has not approved this prospectus supplement nor taken steps to verify the information set forth herein and has no responsibility for the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Korea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notes have not been listed on any securities exchanges in the world including, without limitation, the Korea Exchange in Korea. Furthermore, the purchaser of the notes shall comply with all applicable regulatory requirements (including, but not limited to, requirements under the FETL) in connection with the purchase of the notes. By the purchase of the notes, the relevant holder thereof will be deemed to represent and warrant that if it is in Korea or is a resident of Korea, it purchased the notes pursuant to the applicable laws and regulations of Korea.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Luxembourg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approved by and will not be submitted for approval to the Luxembourg Financial Sector Authority (Commission de Surveillance du Secteur Financier) (the “CSSF”), or a competent authority of another Member State of the EEA for notification to the CSSF, for purposes of public offering or sale in Luxembourg. Accordingly, the notes may not be offered or sold to the public in Luxembourg,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directly or indirectly, and neither this prospectus supplement, the indenture nor any other circular, prospectus, form of application, advertisement or other material related to such offer may be distributed, or otherwise be made available in or from, or published in, Luxembourg except in circumstances where the offer benefits from an exemption to or constitutes a transaction otherwise not subject to the requirement to publish a prospectus for the purposes of the Prospectus Regulation and the Luxembourg law of 16 July 2019 on prospectuses for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Italy </w:t>
      </w:r>
    </w:p>
    <w:p>
      <w:pPr>
        <w:pStyle w:val="TextBody"/>
        <w:bidi w:val="0"/>
        <w:spacing w:before="120" w:after="0"/>
        <w:jc w:val="left"/>
        <w:rPr>
          <w:rFonts w:ascii="Times New Roman" w:hAnsi="Times New Roman"/>
          <w:sz w:val="20"/>
        </w:rPr>
      </w:pPr>
      <w:r>
        <w:rPr>
          <w:rFonts w:ascii="Times New Roman" w:hAnsi="Times New Roman"/>
          <w:sz w:val="20"/>
        </w:rPr>
        <w:t xml:space="preserve">The offering of the notes has not been registered with the Italian Securities and Exchange Commission (Commissione Nazionale per le Società e la Borsa, the “CONSOB”) pursuant to Italian securities legislation and, accordingly, no notes may be offered, sold or delivered, nor may copies of this prospectus supplement, the accompanying prospectus, or any other document relating to the notes be distributed in the Republic of Italy (“Italy”), except: (i) to qualified investors (investitori qualificati), pursuant to Article 100 of Legislative Decree no. 58 of February 24, 1998 (the “Consolidated Financial Services Act”) and Article 34-ter, paragraph 1, letter (b) of CONSOB regulation No. 11971 of May 14, 1999 (the “CONSOB Regulation”), all as amended; or (ii) in any other circumstances where an express exemption from compliance with the restrictions on offers to the public applies, as provided under Article 100 of the Consolidated Financial Services Act and Article 34-ter of the CONSOB Regulation. Moreover, and subject to the foregoing, any offer, sale or delivery of the notes or distribution of copies of this prospectus supplement, the accompanying prospectus, or any other document relating to the notes in Italy under (i) or (ii) above must be: (i) made by an investment firm, bank or financial intermediary permitted to conduct such activities in Italy in accordance with the Consolidated Financial Services Act, Legislative Decree No. 385 of September 1, 1993 (the “Banking Act”), CONSOB Regulation No. 20307 of February 15, 2018, all as amended; (ii) in compliance with Article 129 of the Banking Act, as amended from time to time, and the implementing guidelines of the Bank of Italy, as amended from time to time, pursuant to which the Bank of Italy may request information on the offering or issue of securities in Italy; and (iii) in compliance with any securities, tax, exchange control and any other applicable laws and regulations, including any limitation or requirement which may be imposed from time to time, inter alia, by CONSOB or the Bank of Italy. Any investor purchasing the notes in the offering is solely responsible for ensuring that any offer or resale of the notes it purchased in the offering occurs in compliance with applicable Italian laws and regulations.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Ireland </w:t>
      </w:r>
    </w:p>
    <w:p>
      <w:pPr>
        <w:pStyle w:val="TextBody"/>
        <w:bidi w:val="0"/>
        <w:spacing w:before="120" w:after="0"/>
        <w:jc w:val="left"/>
        <w:rPr>
          <w:rFonts w:ascii="Times New Roman" w:hAnsi="Times New Roman"/>
          <w:sz w:val="20"/>
        </w:rPr>
      </w:pPr>
      <w:r>
        <w:rPr>
          <w:rFonts w:ascii="Times New Roman" w:hAnsi="Times New Roman"/>
          <w:sz w:val="20"/>
        </w:rPr>
        <w:t xml:space="preserve">No action may be taken with respect to the notes in or involving Ireland otherwise than in conformity with the provisions of (a) the European Union (Markets in Financial Instruments) Regulations 2017 (S.I. No. 375 of 2017) (as amended) of Ireland (the “MiFID Regulations”), including, without limitation, Regulation 5 (Regulation for authorisation (and certain provisions concerning MTFs and OTFs)) thereof, or any corresponding provision of any replacement legislation, or any codes of conduct used in connection therewith and the provisions of the Investor Compensation Act 1998 of Ireland, (b) the Companies Act 2014 of Ireland (as amended, the “Companies Act”), the Central Bank Acts 1942 to 2018 of Ireland (as amended) and any codes of conduct rules made under Section 117(1) of the Central Bank Act 1989 of Ireland (as amended), (c) the Prospectus Regulation and any rules or guidance issued under Section 1363 of the Companies Act by the Central Bank of Ireland, and (d) the Market Abuse Regulation (EU 596/2014) (as amended), the European Union (Market Abuse) Regulations 2016 (as amended) of Ireland and any rules and guidance issued by the Central Bank of Ireland under Section 1370 of the Companies Act.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France </w:t>
      </w:r>
    </w:p>
    <w:p>
      <w:pPr>
        <w:pStyle w:val="TextBody"/>
        <w:bidi w:val="0"/>
        <w:spacing w:before="120" w:after="0"/>
        <w:jc w:val="left"/>
        <w:rPr>
          <w:rFonts w:ascii="Times New Roman" w:hAnsi="Times New Roman"/>
          <w:sz w:val="20"/>
        </w:rPr>
      </w:pPr>
      <w:r>
        <w:rPr>
          <w:rFonts w:ascii="Times New Roman" w:hAnsi="Times New Roman"/>
          <w:sz w:val="20"/>
        </w:rPr>
        <w:t xml:space="preserve">Neither this prospectus supplement nor any other offering material relating to the notes described in this prospectus supplement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indirectly, to the public in France. Neither this prospectus supplement nor any other offering material relating to the notes has been or will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released, issued, distributed or caused to be released, issued or distributed to the public in France;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used in connection with any offer for subscription or sale of the notes to the public in France.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offers, sales and distributions will be made in France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qualified investors (investisseurs qualifiés) and/or to a restricted circle of investors (cercle restraint d’investisseurs), in each case investing for their own account, all as defined in, and in accordance with, articles L.411-2, D.411-1, D.411-2, D.734-1, D.744-1, D.754-1 and D.764-1 of the French Code monétaire et financier;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investment services providers authorized to engage in portfolio management on behalf of third parties;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 transaction that, in accordance with article L.411-2-II-1o-or-2o-or 3o of the French Code monétaire et financier and article 211-2 of the General Regulations (Règlement Général) of the Autorité des Marchés Financiers, does not constitute a public offer (appel public à l’épargne).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may be resold directly or indirectly, only in compliance with articles L.411-1, L.411-2, L.412-1 and L.621-8 through L.621-8-3 of the French Code monétaire et financier.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Germany </w:t>
      </w:r>
    </w:p>
    <w:p>
      <w:pPr>
        <w:pStyle w:val="TextBody"/>
        <w:bidi w:val="0"/>
        <w:spacing w:before="120" w:after="0"/>
        <w:jc w:val="left"/>
        <w:rPr>
          <w:rFonts w:ascii="Times New Roman" w:hAnsi="Times New Roman"/>
          <w:sz w:val="20"/>
        </w:rPr>
      </w:pPr>
      <w:r>
        <w:rPr>
          <w:rFonts w:ascii="Times New Roman" w:hAnsi="Times New Roman"/>
          <w:sz w:val="20"/>
        </w:rPr>
        <w:t xml:space="preserve">Each person who is in possession of this prospectus supplement is aware of the fact that no German securities prospectus (wertpapierprospekt) within the meaning of the German Securities Prospectus Act (Wertpapier-prospektgesetz, or the Act) of the Federal Republic of Germany has been or will be published with respect to the shares of our common stock. In particular, each underwriter has represented that it has not engaged and has agreed that it will not engage in a public offering in the Federal Republic of Germany within the meaning of the Act with respect to any of the shares of our common stock otherwise than in accordance with the Act and all other applicable legal and regulatory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oc110651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matters with respect to the issuance and sale of the notes offered hereby will be passed upon for us by Gibson, Dunn &amp; Crutcher LLP. Certain legal matters in connection with the notes offered hereby will be passed upon for the underwriters by Weil, Gotshal &amp; Manges LLP, New York, New York. </w:t>
      </w:r>
    </w:p>
    <w:p>
      <w:pPr>
        <w:pStyle w:val="TextBody"/>
        <w:bidi w:val="0"/>
        <w:spacing w:before="480" w:after="0"/>
        <w:jc w:val="center"/>
        <w:rPr>
          <w:rFonts w:ascii="Times New Roman" w:hAnsi="Times New Roman"/>
          <w:b/>
          <w:sz w:val="20"/>
        </w:rPr>
      </w:pPr>
      <w:bookmarkStart w:id="14" w:name="supptoc110651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The Williams Companies, Inc. appearing in The Williams Companies, Inc.’s Annual Report (Form 10-K) for the year ended December 31, 2025, including the schedule appearing therein, and the effectiveness of The Williams Companies, Inc.’s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and The Williams Companies, Inc.’s management’s assessment of the effectiveness of internal control over financial reporting as of December 31, 2025 are incorporated herein by reference in reliance upon such reports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Transcontinental Gas Pipe Line Company, LLC and Northwest Pipeline LLC appearing in The Williams Companies, Inc.’s Annual Report (Form 10-K) for the year ended December 31, 2025, have been audited by Ernst &amp; Young LLP, independent registered public accounting firm, as set forth in their reports thereon, included therein, and incorporated herein by reference. Such financial statements are incorporated herein by reference in reliance upon such reports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toc110651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with the SEC under the Securities Act that registers the offer and sale of the notes covered by this prospectus supplement. The registration statement, including the attached exhibits, contains additional relevant information about us. In addition, we file annual, quarterly and other reports, proxy statements and other information with the SEC. The SEC maintains a website that contains reports, proxy and information statements and other information regarding issuers that file electronically with the SEC. Our SEC filings are available on the SEC’s website at http://www.sec.gov. Unless specifically listed below, the information contained on the SEC website is not intended to be incorporated by reference in this prospectus supplement and you should not consider that information a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toc110651_14"/>
      <w:bookmarkEnd w:id="16"/>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have filed with the SEC. This means that we can disclose important information to you without actually including the specific information in this prospectus supplement or the accompanying base prospectus by referring you to other documents filed separately with the SEC. The information incorporated by reference is an important part of this prospectus supplement and the accompanying base prospectus. Information that we later provide to the SEC, and which is deemed to be “filed” with the SEC, will automatically update information previously filed with the SEC, and may replace information in this prospectus supplement and the accompanying base prospectus and information previously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 this prospectus supplement the following documents that we have previously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(File No. 1-04174) for the year ended December 31, 2025, filed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(File No. 1-04174) for the three month period ended March  31, 2026, filed on </w:t>
            </w:r>
            <w:hyperlink r:id="rId4">
              <w:r>
                <w:rPr>
                  <w:rStyle w:val="InternetLink"/>
                  <w:rFonts w:ascii="Times New Roman" w:hAnsi="Times New Roman"/>
                  <w:sz w:val="20"/>
                </w:rPr>
                <w:t>May 4, 2026</w:t>
              </w:r>
            </w:hyperlink>
            <w:r>
              <w:rPr>
                <w:rFonts w:ascii="Times New Roman" w:hAnsi="Times New Roman"/>
                <w:sz w:val="20"/>
              </w:rPr>
              <w:t xml:space="preserve">, and our Quarterly Report on Form 10-Q (File No. 1-04174) for the three and six month periods ended June  30, 2026, filed on </w:t>
            </w:r>
            <w:hyperlink r:id="rId5">
              <w:r>
                <w:rPr>
                  <w:rStyle w:val="InternetLink"/>
                  <w:rFonts w:ascii="Times New Roman" w:hAnsi="Times New Roman"/>
                  <w:sz w:val="20"/>
                </w:rPr>
                <w:t>August 3,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sections included in our </w:t>
            </w:r>
            <w:hyperlink r:id="rId6">
              <w:r>
                <w:rPr>
                  <w:rStyle w:val="InternetLink"/>
                  <w:rFonts w:ascii="Times New Roman" w:hAnsi="Times New Roman"/>
                  <w:sz w:val="20"/>
                </w:rPr>
                <w:t>definitive proxy statement</w:t>
              </w:r>
            </w:hyperlink>
            <w:r>
              <w:rPr>
                <w:rFonts w:ascii="Times New Roman" w:hAnsi="Times New Roman"/>
                <w:sz w:val="20"/>
              </w:rPr>
              <w:t xml:space="preserve"> filed on March 18, 2026 that are incorporated by reference into our Annual Report on Form 10-K for the year ended December 31,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 No. 1-04174) filed on </w:t>
            </w:r>
            <w:hyperlink r:id="rId7">
              <w:r>
                <w:rPr>
                  <w:rStyle w:val="InternetLink"/>
                  <w:rFonts w:ascii="Times New Roman" w:hAnsi="Times New Roman"/>
                  <w:sz w:val="20"/>
                </w:rPr>
                <w:t>January  8, 2026</w:t>
              </w:r>
            </w:hyperlink>
            <w:r>
              <w:rPr>
                <w:rFonts w:ascii="Times New Roman" w:hAnsi="Times New Roman"/>
                <w:sz w:val="20"/>
              </w:rPr>
              <w:t xml:space="preserve"> (Item 8.01 only), </w:t>
            </w:r>
            <w:hyperlink r:id="rId8">
              <w:r>
                <w:rPr>
                  <w:rStyle w:val="InternetLink"/>
                  <w:rFonts w:ascii="Times New Roman" w:hAnsi="Times New Roman"/>
                  <w:sz w:val="20"/>
                </w:rPr>
                <w:t>January  8, 2026</w:t>
              </w:r>
            </w:hyperlink>
            <w:r>
              <w:rPr>
                <w:rFonts w:ascii="Times New Roman" w:hAnsi="Times New Roman"/>
                <w:sz w:val="20"/>
              </w:rPr>
              <w:t xml:space="preserve">, </w:t>
            </w:r>
            <w:hyperlink r:id="rId9">
              <w:r>
                <w:rPr>
                  <w:rStyle w:val="InternetLink"/>
                  <w:rFonts w:ascii="Times New Roman" w:hAnsi="Times New Roman"/>
                  <w:sz w:val="20"/>
                </w:rPr>
                <w:t>March  26, 2026</w:t>
              </w:r>
            </w:hyperlink>
            <w:r>
              <w:rPr>
                <w:rFonts w:ascii="Times New Roman" w:hAnsi="Times New Roman"/>
                <w:sz w:val="20"/>
              </w:rPr>
              <w:t xml:space="preserve">, </w:t>
            </w:r>
            <w:hyperlink r:id="rId10">
              <w:r>
                <w:rPr>
                  <w:rStyle w:val="InternetLink"/>
                  <w:rFonts w:ascii="Times New Roman" w:hAnsi="Times New Roman"/>
                  <w:sz w:val="20"/>
                </w:rPr>
                <w:t>May  4, 2026</w:t>
              </w:r>
            </w:hyperlink>
            <w:r>
              <w:rPr>
                <w:rFonts w:ascii="Times New Roman" w:hAnsi="Times New Roman"/>
                <w:sz w:val="20"/>
              </w:rPr>
              <w:t xml:space="preserve"> (Item 5.02 and Item 5.07 only), </w:t>
            </w:r>
            <w:hyperlink r:id="rId11">
              <w:r>
                <w:rPr>
                  <w:rStyle w:val="InternetLink"/>
                  <w:rFonts w:ascii="Times New Roman" w:hAnsi="Times New Roman"/>
                  <w:sz w:val="20"/>
                </w:rPr>
                <w:t>May  20, 2026</w:t>
              </w:r>
            </w:hyperlink>
            <w:r>
              <w:rPr>
                <w:rFonts w:ascii="Times New Roman" w:hAnsi="Times New Roman"/>
                <w:sz w:val="20"/>
              </w:rPr>
              <w:t xml:space="preserve">, </w:t>
            </w:r>
            <w:hyperlink r:id="rId12">
              <w:r>
                <w:rPr>
                  <w:rStyle w:val="InternetLink"/>
                  <w:rFonts w:ascii="Times New Roman" w:hAnsi="Times New Roman"/>
                  <w:sz w:val="20"/>
                </w:rPr>
                <w:t>July  1, 2026</w:t>
              </w:r>
            </w:hyperlink>
            <w:r>
              <w:rPr>
                <w:rFonts w:ascii="Times New Roman" w:hAnsi="Times New Roman"/>
                <w:sz w:val="20"/>
              </w:rPr>
              <w:t xml:space="preserve"> (Item 5.02 only), </w:t>
            </w:r>
            <w:hyperlink r:id="rId13">
              <w:r>
                <w:rPr>
                  <w:rStyle w:val="InternetLink"/>
                  <w:rFonts w:ascii="Times New Roman" w:hAnsi="Times New Roman"/>
                  <w:sz w:val="20"/>
                </w:rPr>
                <w:t>August  21, 2026</w:t>
              </w:r>
            </w:hyperlink>
            <w:r>
              <w:rPr>
                <w:rFonts w:ascii="Times New Roman" w:hAnsi="Times New Roman"/>
                <w:sz w:val="20"/>
              </w:rPr>
              <w:t xml:space="preserve"> and </w:t>
            </w:r>
            <w:hyperlink r:id="rId14">
              <w:r>
                <w:rPr>
                  <w:rStyle w:val="InternetLink"/>
                  <w:rFonts w:ascii="Times New Roman" w:hAnsi="Times New Roman"/>
                  <w:sz w:val="20"/>
                </w:rPr>
                <w:t>September 3, 2026</w:t>
              </w:r>
            </w:hyperlink>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These reports contain important information about us, our financial condition and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All documents that we file with the SEC under Sections 13(a), 13(c), 14 or 15(d) of the Exchange Act after the date of this prospectus supplement and prior to the termination of this offering will also be deemed to be incorporated herein by reference and will automatically update and supersede information in this prospectus supplement. Nothing in this prospectus supplement shall be deemed to incorporate information furnished to, but not filed with, the SEC pursuant to Item 2.02 or Item 7.01 of Form 8-K (or corresponding information furnished under Item 9.01 or included as an exhibit). </w:t>
      </w:r>
    </w:p>
    <w:p>
      <w:pPr>
        <w:pStyle w:val="TextBody"/>
        <w:bidi w:val="0"/>
        <w:spacing w:before="240" w:after="0"/>
        <w:jc w:val="left"/>
        <w:rPr>
          <w:rFonts w:ascii="Times New Roman" w:hAnsi="Times New Roman"/>
          <w:sz w:val="20"/>
        </w:rPr>
      </w:pPr>
      <w:r>
        <w:rPr>
          <w:rFonts w:ascii="Times New Roman" w:hAnsi="Times New Roman"/>
          <w:sz w:val="20"/>
        </w:rPr>
        <w:t xml:space="preserve">We make available free of charge on or through our Internet website, http://www.williams.com,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Information contained on our Internet website is not part of this prospectus supplement and does not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any of the documents incorporated by reference in this prospectus supplement from the SEC through the SEC’s website at the address provided above. You also may request a copy of any document incorporated by reference in this prospectus supplement (excluding any exhibits to those documents, unless the exhibit is specifically incorporated by reference in this document), at no cost, by visiting our Internet website at http://www.williams.com, or by writing or calling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0" w:after="0"/>
        <w:jc w:val="center"/>
        <w:rPr>
          <w:rFonts w:ascii="Times New Roman" w:hAnsi="Times New Roman"/>
          <w:sz w:val="20"/>
        </w:rPr>
      </w:pPr>
      <w:r>
        <w:rPr>
          <w:rFonts w:ascii="Times New Roman" w:hAnsi="Times New Roman"/>
          <w:sz w:val="20"/>
        </w:rPr>
        <w:t xml:space="preserve">One Williams Center </w:t>
      </w:r>
    </w:p>
    <w:p>
      <w:pPr>
        <w:pStyle w:val="TextBody"/>
        <w:bidi w:val="0"/>
        <w:spacing w:before="0" w:after="0"/>
        <w:jc w:val="center"/>
        <w:rPr>
          <w:rFonts w:ascii="Times New Roman" w:hAnsi="Times New Roman"/>
          <w:sz w:val="20"/>
        </w:rPr>
      </w:pPr>
      <w:r>
        <w:rPr>
          <w:rFonts w:ascii="Times New Roman" w:hAnsi="Times New Roman"/>
          <w:sz w:val="20"/>
        </w:rPr>
        <w:t xml:space="preserve">Tulsa, Oklahoma 74172-0172 </w:t>
      </w:r>
    </w:p>
    <w:p>
      <w:pPr>
        <w:pStyle w:val="TextBody"/>
        <w:bidi w:val="0"/>
        <w:spacing w:before="0" w:after="0"/>
        <w:jc w:val="center"/>
        <w:rPr>
          <w:rFonts w:ascii="Times New Roman" w:hAnsi="Times New Roman"/>
          <w:sz w:val="20"/>
        </w:rPr>
      </w:pPr>
      <w:r>
        <w:rPr>
          <w:rFonts w:ascii="Times New Roman" w:hAnsi="Times New Roman"/>
          <w:sz w:val="20"/>
        </w:rPr>
        <w:t xml:space="preserve">Telephone: (918) 573-2078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we nor the underwriters have authorized anyone to provide you with additional or different information or to make representations other than those contained in this prospectus. Neither we nor the underwriters take any responsibility for, and can provide no assurance as to the reliability of, any other information that others may give you. We are offering to sell the notes, and seeking offers to buy the notes, only in jurisdictions where offers and sales are permitted. You should not assume that the information contained in this prospectus supplement, the accompanying base prospectus or any free writing prospectus is accurate as of any date other than the dates shown in these documents or that any information we have incorporated by reference herein is accurate as of any date other than the date of the document incorporated by reference. Our business, financial condition, results of operations and prospects may have changed since such dates. </w:t>
      </w:r>
    </w:p>
    <w:p>
      <w:pPr>
        <w:pStyle w:val="TextBody"/>
        <w:bidi w:val="0"/>
        <w:spacing w:before="240" w:after="0"/>
        <w:jc w:val="left"/>
        <w:rPr>
          <w:rFonts w:ascii="Times New Roman" w:hAnsi="Times New Roman"/>
          <w:sz w:val="20"/>
        </w:rPr>
      </w:pPr>
      <w:r>
        <w:rPr>
          <w:rFonts w:ascii="Times New Roman" w:hAnsi="Times New Roman"/>
          <w:sz w:val="20"/>
        </w:rPr>
        <w:t xml:space="preserve">Williams is subject to the information requirements of the Exchange Act, and in accordance therewith files reports and other information with the SEC. You may read Williams’ filings on the SEC’s website described above. Unless otherwise listed or referenced above, documents that Williams files with the SEC are not incorporated into, and are not considered a part of, this prospectus supplement or the accompanying base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center"/>
        <w:rPr/>
      </w:pPr>
      <w:r>
        <w:rPr/>
        <w:drawing>
          <wp:inline distT="0" distB="0" distL="0" distR="0">
            <wp:extent cx="1408430" cy="7537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408430" cy="7537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THE WILLIAMS COMPANIES, INC.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or selling securityholders to be named in a prospectus supplement may from time to time offer to sell debt securities, preferred stock, common stock, purchase contracts, warrants, or units. This prospectus describes some of the general terms that may apply to these securities and the general manner in which they may be offered. Each time we or a selling securityholder sells securities pursuant to this prospectus, we will provide a supplement to this prospectus that contains specific information about the offering and the specific terms of the securities offered. You should read this prospectus, the applicable prospectus supplement and the documents incorporated by reference herein and therein carefully before you invest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ticker symbol “WMB.” </w:t>
      </w:r>
    </w:p>
    <w:p>
      <w:pPr>
        <w:pStyle w:val="TextBody"/>
        <w:bidi w:val="0"/>
        <w:spacing w:before="240" w:after="0"/>
        <w:jc w:val="left"/>
        <w:rPr>
          <w:rFonts w:ascii="Times New Roman" w:hAnsi="Times New Roman"/>
          <w:sz w:val="20"/>
        </w:rPr>
      </w:pPr>
      <w:r>
        <w:rPr>
          <w:rFonts w:ascii="Times New Roman" w:hAnsi="Times New Roman"/>
          <w:sz w:val="20"/>
        </w:rPr>
        <w:t xml:space="preserve">We or selling securityholders will sell these securities directly to investors, or through agents, dealers, or underwriters as designated from time to time, or through a combination of these methods, on a continuous or delayed basis.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sell our securities unless it is accompanied by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 that is different from, or in addition to, the information contained in this prospectus or any prospectus supplement. We take no responsibility for, and can provide no assurances as to the reliability of, any other information that others may give you or representations that others may make. We are not making an offer to sell or soliciting an offer to buy any securities other than the securities described in this prospectus and any applicable prospectus supplement. We are not making an offer to sell or soliciting an offer to buy any of these securities in any state or jurisdiction where the offer is not permitted or in any circumstances in which such offer or solicitation is unlawful. You should not assume that the information contained or incorporated by reference in this prospectus or any prospectus supplement is accurate as of any date other than the date on the front of those documents.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See “</w:t>
      </w:r>
      <w:hyperlink w:anchor="toc110651_3">
        <w:r>
          <w:rPr>
            <w:rStyle w:val="InternetLink"/>
            <w:rFonts w:ascii="Times New Roman" w:hAnsi="Times New Roman"/>
            <w:b/>
            <w:sz w:val="24"/>
          </w:rPr>
          <w:t>Risk Factors</w:t>
        </w:r>
      </w:hyperlink>
      <w:r>
        <w:rPr>
          <w:rFonts w:ascii="Times New Roman" w:hAnsi="Times New Roman"/>
          <w:b/>
          <w:sz w:val="24"/>
        </w:rPr>
        <w:t xml:space="preserve">” contained in Page 2 herein, in the applicable prospectus supplement and in the documents incorporated by reference herein and therein.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representations to the contrary are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21,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
      <w:bookmarkEnd w:id="17"/>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2">
              <w:r>
                <w:rPr>
                  <w:rStyle w:val="InternetLink"/>
                  <w:rFonts w:ascii="Times New Roman" w:hAnsi="Times New Roman"/>
                  <w:sz w:val="20"/>
                </w:rPr>
                <w:t>About The Williams Companies, Inc.</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3">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4">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5">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6">
              <w:r>
                <w:rPr>
                  <w:rStyle w:val="InternetLink"/>
                  <w:rFonts w:ascii="Times New Roman" w:hAnsi="Times New Roman"/>
                  <w:sz w:val="20"/>
                </w:rPr>
                <w:t>Special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7">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8">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9">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10">
              <w:r>
                <w:rPr>
                  <w:rStyle w:val="InternetLink"/>
                  <w:rFonts w:ascii="Times New Roman" w:hAnsi="Times New Roman"/>
                  <w:sz w:val="20"/>
                </w:rPr>
                <w:t>Description of Purchase Contracts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11">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12">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13">
              <w:r>
                <w:rPr>
                  <w:rStyle w:val="InternetLink"/>
                  <w:rFonts w:ascii="Times New Roman" w:hAnsi="Times New Roman"/>
                  <w:sz w:val="20"/>
                </w:rPr>
                <w:t>Selling Securityholders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14">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15">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10651_1"/>
      <w:bookmarkEnd w:id="1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we filed with the Securities and Exchange Commission (“SEC”) using a “shelf” registration process. We or selling securityholders to be named in a prospectus supplement may sell any combination of the securities described in this prospectus from time to time, either separately or in units,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or selling securityholders sell securities pursuant to this prospectus, we will describe in a prospectus supplement, which will be delivered with this prospectus, specific information about the offering and the terms of the particular securities offered.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prospectus supplement may also add, update, or change the information contained in this prospectus. If there is any inconsistency between the information contained in this prospectus and any information incorporated by reference herein, on the one hand, and the information contained in any applicable prospectus supplement or incorporated by reference therein, on the other hand, you should rely on the information in the applicable prospectus supplement or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by means of a post-effective amendment to the registration statement of which this prospectus is a part, through filings we make with the SEC that are incorporated by reference into this prospectus or by any other method as may then be permitted under applicable law, rules,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Statements made in this prospectus, in any prospectus supplement, or in any document incorporated by reference in this prospectus or any prospectus supplement as to the contents of any contract or other document are not necessarily complete. In each instance we refer you to the copy of the contract or other document filed as an exhibit to the registration statement of which this prospectus is a part or as an exhibit to the documents incorporated by reference. You may obtain copies of those documents as described below under “Where You Can Find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 that is different from, or in addition to, the information contained or incorporated by reference in this prospectus or any prospectus supplement. We take no responsibility for, and can provide no assurances as to the reliability of, any other information that others may give you or representations that others may make. We are not making an offer to sell securities in any jurisdiction where the offer or sale of such securities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Williams (which includes The Williams Companies, Inc. and, unless the context otherwise requires, all of our subsidiaries) is at times referred to in the first person as “we,” “us,” or “our.” We also sometimes refer to Williams as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110651_2"/>
      <w:bookmarkEnd w:id="19"/>
      <w:r>
        <w:rPr>
          <w:rFonts w:ascii="Times New Roman" w:hAnsi="Times New Roman"/>
          <w:b/>
          <w:sz w:val="20"/>
        </w:rPr>
        <w:t xml:space="preserve">ABOUT THE WILLIAMS COMPANIES, INC. </w:t>
      </w:r>
    </w:p>
    <w:p>
      <w:pPr>
        <w:pStyle w:val="TextBody"/>
        <w:bidi w:val="0"/>
        <w:spacing w:before="240" w:after="0"/>
        <w:jc w:val="left"/>
        <w:rPr>
          <w:rFonts w:ascii="Times New Roman" w:hAnsi="Times New Roman"/>
          <w:sz w:val="20"/>
        </w:rPr>
      </w:pPr>
      <w:r>
        <w:rPr>
          <w:rFonts w:ascii="Times New Roman" w:hAnsi="Times New Roman"/>
          <w:sz w:val="20"/>
        </w:rPr>
        <w:t xml:space="preserve">We are an energy company committed to being the leader in providing infrastructure that safely delivers natural gas products to reliably fuel the clean energy economy. Our operations are located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We were founded in 1908, originally incorporated under the laws of the state of Nevada in 1949 and reincorporated under the laws of the state of Delaware in 1987. Our principal executive offices are located at One Williams Center, Tulsa, Oklahoma 74172, and our telephone number is 800-945-5426 (800-WILLIAMS). </w:t>
      </w:r>
    </w:p>
    <w:p>
      <w:pPr>
        <w:pStyle w:val="TextBody"/>
        <w:bidi w:val="0"/>
        <w:spacing w:before="480" w:after="0"/>
        <w:jc w:val="center"/>
        <w:rPr>
          <w:rFonts w:ascii="Times New Roman" w:hAnsi="Times New Roman"/>
          <w:b/>
          <w:sz w:val="20"/>
        </w:rPr>
      </w:pPr>
      <w:bookmarkStart w:id="20" w:name="toc110651_3"/>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the securities described herein involves risk. We urge you to carefully consider the risk factors described in our filings with the SEC that are incorporated by reference in this prospectus and any prospectus supplement or free writing prospectus used in connection with an offering of our securities, as well as the information relating to us identified below under “Special Note Regarding Forward-Looking Statements,” before making an investment decision. </w:t>
      </w:r>
    </w:p>
    <w:p>
      <w:pPr>
        <w:pStyle w:val="TextBody"/>
        <w:bidi w:val="0"/>
        <w:spacing w:before="480" w:after="0"/>
        <w:jc w:val="center"/>
        <w:rPr>
          <w:rFonts w:ascii="Times New Roman" w:hAnsi="Times New Roman"/>
          <w:b/>
          <w:sz w:val="20"/>
        </w:rPr>
      </w:pPr>
      <w:bookmarkStart w:id="21" w:name="toc110651_4"/>
      <w:bookmarkEnd w:id="2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Securities Exchange Act of 1934, as amended (the “Exchange Act”), and file reports and other information with the SEC. Our SEC filings are available to the public from commercial document retrieval services and at the website maintained by the SEC at </w:t>
      </w:r>
      <w:r>
        <w:rPr>
          <w:rFonts w:ascii="Times New Roman" w:hAnsi="Times New Roman"/>
          <w:i/>
          <w:sz w:val="20"/>
        </w:rPr>
        <w:t>http://www.sec.gov.</w:t>
      </w:r>
      <w:r>
        <w:rPr>
          <w:rFonts w:ascii="Times New Roman" w:hAnsi="Times New Roman"/>
          <w:sz w:val="20"/>
        </w:rPr>
        <w:t xml:space="preserve"> Unless specifically listed under “Incorporation by Reference” below, the information contained on the SEC website is not intended to be incorporated by reference into this prospectus and you should not consider that information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also provide to you, at no cost, a copy of any document incorporated by reference in this prospectus and the applicable prospectus supplement and any exhibits specifically incorporated by reference into those documents. You may request copies of these filings from us by mail at the following address, or by telephone at the following telephone number: </w:t>
      </w:r>
    </w:p>
    <w:p>
      <w:pPr>
        <w:pStyle w:val="TextBody"/>
        <w:bidi w:val="0"/>
        <w:spacing w:before="480" w:after="0"/>
        <w:jc w:val="center"/>
        <w:rPr>
          <w:rFonts w:ascii="Times New Roman" w:hAnsi="Times New Roman"/>
          <w:b/>
          <w:sz w:val="20"/>
        </w:rPr>
      </w:pPr>
      <w:r>
        <w:rPr>
          <w:rFonts w:ascii="Times New Roman" w:hAnsi="Times New Roman"/>
          <w:b/>
          <w:sz w:val="20"/>
        </w:rPr>
        <w:t xml:space="preserve">The Williams Companies, Inc. </w:t>
      </w:r>
    </w:p>
    <w:p>
      <w:pPr>
        <w:pStyle w:val="TextBody"/>
        <w:bidi w:val="0"/>
        <w:spacing w:before="0" w:after="0"/>
        <w:jc w:val="center"/>
        <w:rPr>
          <w:rFonts w:ascii="Times New Roman" w:hAnsi="Times New Roman"/>
          <w:b/>
          <w:sz w:val="20"/>
        </w:rPr>
      </w:pPr>
      <w:r>
        <w:rPr>
          <w:rFonts w:ascii="Times New Roman" w:hAnsi="Times New Roman"/>
          <w:b/>
          <w:sz w:val="20"/>
        </w:rPr>
        <w:t xml:space="preserve">Investor Relations </w:t>
      </w:r>
    </w:p>
    <w:p>
      <w:pPr>
        <w:pStyle w:val="TextBody"/>
        <w:bidi w:val="0"/>
        <w:spacing w:before="0" w:after="0"/>
        <w:jc w:val="center"/>
        <w:rPr>
          <w:rFonts w:ascii="Times New Roman" w:hAnsi="Times New Roman"/>
          <w:b/>
          <w:sz w:val="20"/>
        </w:rPr>
      </w:pPr>
      <w:r>
        <w:rPr>
          <w:rFonts w:ascii="Times New Roman" w:hAnsi="Times New Roman"/>
          <w:b/>
          <w:sz w:val="20"/>
        </w:rPr>
        <w:t xml:space="preserve">One Williams Center </w:t>
      </w:r>
    </w:p>
    <w:p>
      <w:pPr>
        <w:pStyle w:val="TextBody"/>
        <w:bidi w:val="0"/>
        <w:spacing w:before="0" w:after="0"/>
        <w:jc w:val="center"/>
        <w:rPr>
          <w:rFonts w:ascii="Times New Roman" w:hAnsi="Times New Roman"/>
          <w:b/>
          <w:sz w:val="20"/>
        </w:rPr>
      </w:pPr>
      <w:r>
        <w:rPr>
          <w:rFonts w:ascii="Times New Roman" w:hAnsi="Times New Roman"/>
          <w:b/>
          <w:sz w:val="20"/>
        </w:rPr>
        <w:t xml:space="preserve">Tulsa, Oklahoma 74172-0172 </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Number: 800-945-5426 (800-WILLIAMS) </w:t>
      </w:r>
    </w:p>
    <w:p>
      <w:pPr>
        <w:pStyle w:val="TextBody"/>
        <w:bidi w:val="0"/>
        <w:spacing w:before="240" w:after="0"/>
        <w:jc w:val="left"/>
        <w:rPr>
          <w:rFonts w:ascii="Times New Roman" w:hAnsi="Times New Roman"/>
          <w:sz w:val="20"/>
        </w:rPr>
      </w:pPr>
      <w:r>
        <w:rPr>
          <w:rFonts w:ascii="Times New Roman" w:hAnsi="Times New Roman"/>
          <w:sz w:val="20"/>
        </w:rPr>
        <w:t xml:space="preserve">We make available free of charge on or through our Internet website, </w:t>
      </w:r>
      <w:r>
        <w:rPr>
          <w:rFonts w:ascii="Times New Roman" w:hAnsi="Times New Roman"/>
          <w:i/>
          <w:sz w:val="20"/>
        </w:rPr>
        <w:t>http://www.williams.com</w:t>
      </w:r>
      <w:r>
        <w:rPr>
          <w:rFonts w:ascii="Times New Roman" w:hAnsi="Times New Roman"/>
          <w:sz w:val="20"/>
        </w:rPr>
        <w:t xml:space="preserve">, our reports and other information filed with or furnished to the SEC as referred to above and amendments to those reports filed or furnished pursuant to Section 13(a) or 15(d) of the Exchange Act as soon as reasonably practicable after we electronically file such material with, or furnish it to, the SEC. Information contained on our website is not intended to be incorporated by reference into this prospectus and you should not consider that information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110651_5"/>
      <w:bookmarkEnd w:id="22"/>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into this prospectus information we file with the SEC, which means we are disclosing important information to you by referring you to those documents. The information we incorporate by reference is considered to be part of this prospectus, unless we update or supersede that information by the information contained in this prospectus or the information we file subsequently that is incorporated by reference into this prospectus or any prospectus supplement. Information that we later provide to the SEC, and that is deemed to be “filed” with the SEC, automatically will update information previously filed with the SEC, and may replace information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the following documents that we have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6">
              <w:r>
                <w:rPr>
                  <w:rStyle w:val="InternetLink"/>
                  <w:rFonts w:ascii="Times New Roman" w:hAnsi="Times New Roman"/>
                  <w:sz w:val="20"/>
                </w:rPr>
                <w:t>Form 10-K</w:t>
              </w:r>
            </w:hyperlink>
            <w:r>
              <w:rPr>
                <w:rFonts w:ascii="Times New Roman" w:hAnsi="Times New Roman"/>
                <w:sz w:val="20"/>
              </w:rPr>
              <w:t xml:space="preserve"> (File No. 1-04174) for the fiscal year ended December 31, 2023 filed with the SEC on February 21, 2024 (the “2023 Form 10-K”);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Preliminary Proxy Statement on </w:t>
            </w:r>
            <w:hyperlink r:id="rId17">
              <w:r>
                <w:rPr>
                  <w:rStyle w:val="InternetLink"/>
                  <w:rFonts w:ascii="Times New Roman" w:hAnsi="Times New Roman"/>
                  <w:sz w:val="20"/>
                </w:rPr>
                <w:t>Schedule 14A</w:t>
              </w:r>
            </w:hyperlink>
            <w:r>
              <w:rPr>
                <w:rFonts w:ascii="Times New Roman" w:hAnsi="Times New Roman"/>
                <w:sz w:val="20"/>
              </w:rPr>
              <w:t xml:space="preserve"> filed with the SEC on February  21, 2024 that correspond to the portions of our Definitive Proxy Statement (other than information furnished rather than filed) for the 2024 Annual Meeting of Stockholders that, when filed on or about March  20, 2024, will be incorporated by reference into our Annual Report on Form 10-K for the fiscal year ended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 No. 1-04174) filed with the SEC on </w:t>
            </w:r>
            <w:hyperlink r:id="rId18">
              <w:r>
                <w:rPr>
                  <w:rStyle w:val="InternetLink"/>
                  <w:rFonts w:ascii="Times New Roman" w:hAnsi="Times New Roman"/>
                  <w:sz w:val="20"/>
                </w:rPr>
                <w:t>January 5, 2024</w:t>
              </w:r>
            </w:hyperlink>
            <w:r>
              <w:rPr>
                <w:rFonts w:ascii="Times New Roman" w:hAnsi="Times New Roman"/>
                <w:sz w:val="20"/>
              </w:rPr>
              <w:t xml:space="preserve"> (Item 8.01 only) and </w:t>
            </w:r>
            <w:hyperlink r:id="rId19">
              <w:r>
                <w:rPr>
                  <w:rStyle w:val="InternetLink"/>
                  <w:rFonts w:ascii="Times New Roman" w:hAnsi="Times New Roman"/>
                  <w:sz w:val="20"/>
                </w:rPr>
                <w:t>January 5,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description of our common stock, par value $1.00 per share, contained in our Registration Statement on Form 8-B filed on August 20, 1987 (File No. 001-04174), as updated by the description of our common stock filed as Exhibit 4.35 to our Annual Report on Form 10-K for the fiscal year ended December 31, 2022, and any amendments or reports filed for the purpose of updating the description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description of our Series B Preferred Stock contained in our Current Report on </w:t>
            </w:r>
            <w:hyperlink r:id="rId20">
              <w:r>
                <w:rPr>
                  <w:rStyle w:val="InternetLink"/>
                  <w:rFonts w:ascii="Times New Roman" w:hAnsi="Times New Roman"/>
                  <w:sz w:val="20"/>
                </w:rPr>
                <w:t>Form 8-K</w:t>
              </w:r>
            </w:hyperlink>
            <w:r>
              <w:rPr>
                <w:rFonts w:ascii="Times New Roman" w:hAnsi="Times New Roman"/>
                <w:sz w:val="20"/>
              </w:rPr>
              <w:t xml:space="preserve"> filed with the SEC on July 17, 2018 (File No. 001-04174).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documents contain important information about us, our financial condition and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All documents that we file with the SEC under Sections 13(a), 13(c), 14 or 15(d) of the Exchange Act after the date of this prospectus and prior to the termination of all offerings made pursuant to this prospectus and the applicable prospectus supplement also will be deemed to be incorporated herein by reference. Nothing in this prospectus shall be deemed to incorporate information furnished to but not filed with the SEC, including pursuant to Item 2.02 or Item 7.01 of Form 8-K (or corresponding information furnished under Item 9.01 or included as an exhibit).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110651_6"/>
      <w:bookmarkEnd w:id="23"/>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Certain matters contained or incorporated by reference in this prospectus and the applicable prospectus supplement include “forward-looking statements” within the meaning of Section 27A of the Securities Act of 1933, as amended (the “Securities Act”), and Section 21E of the Exchange Act. These forward-looking statements relate to anticipated financial performance, management’s plans and objectives for future operations, business prospects, outcomes of regulatory proceedings, market conditions, and other matters. We make these forward-looking statements in reliance on the safe harbor protections provided under the Private Securities Litigation Reform Act of 1995.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other than statements of historical facts, included in this prospectus that address activities, events, or developments that we expect, believe, or anticipate will exist or may occur in the future, are forward-looking statements. Forward-looking statements can be identified by various forms of words such as “anticipates,” “believes,” “seeks,” “could,” “may,” “should,” “continues,” “estimates,” “expects,” “forecasts,” “intends,” “might,” “goals,” “objectives,” “targets,” “planned,” “potential,” “projects,” “scheduled,” “will,” “assumes,” “guidance,” “outlook,” “in-service date,” or other similar expressions. These forward-looking statements are based on management’s beliefs and assumptions and on information currently available to management and include, among others, statements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levels of dividends to Williams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credit ratings of Williams and its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and nature of future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expansion and growth of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in-service dates for capital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condition and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flow from operations or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seasonality of certain business components;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gas, natural gas liquids, and crude oil prices, supply, and demand;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demand for our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based on numerous assumptions, uncertainties, and risks that could cause future events or results to be materially different from those stated or implied in this prospectus or in the documents incorporated herein by reference. Many of the factors that will determine these results are beyond our ability to control or predict. Specific factors that could cause actual results to differ from results contemplated by the forward-looking statements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supplies, market demand, and volatility of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 and rate of adoption of alternative energy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existing and future laws and regulations, the regulatory environment, environmental matters, and litigation, as well as our ability and the ability of other energy companies with whom we conduct or seek to conduct business, to obtain necessary permits and approvals, and our ability to achieve favorable rate proceeding outcomes;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exposure to the credit risk of our customers and counterparties;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acquire new businesses and assets and successfully integrate those operations and assets into existing businesses as well as successfully expand our facilities, and to consummate asset sales on acceptable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are able to successfully identify, evaluate, and timely execute our capital projects and investment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strength and financial resources of our competitors and the effects of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cash distributions from and capital requirements of our investments and joint ventures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be able to effectively execute our financing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scrutiny and changing expectations from stakeholders with respect to our environmental, social, and governance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physical and financial risks associated with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operational and developmental hazards and unforeseen interruptions;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resulting from outbreaks or other public health crises;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weather and natural phenomena, including climate conditions and physical damage to our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of terrorism, cybersecurity incidents, and related disruptions;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costs and funding obligations for defined benefit pension plans and other postretirement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maintenance and construction costs, as well as our ability to obtain sufficient construction-related inputs, including skilled labor;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interest rates, and general economic conditions (including future disruptions and volatility in the global credit markets and the impact of these events on customers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financing, including restrictions stemming from debt agreements, future changes in credit ratings as determined by nationally recognized credit rating agencies, and the availability and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members of the Organization of Petroleum Exporting Countries and other oil exporting nations to agree to and maintain oil price and production controls and the impact on domestic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current geopolitical situation, including the Russian invasion of Ukraine and conflicts in the Middle East including between Israel and Hamas and conflicts involving Iran and its proxy forces;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U.S. governmental administration and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are able to pay current and expected levels of dividends;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risks described in our filings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the uncertainties and risk factors that could cause our actual results to differ materially from those contained in any forward-looking statement, we caution investors not to unduly rely on our forward-looking statements. We disclaim any obligations to and do not intend to update the above list or announce publicly the result of any revisions to any of the forward-looking statements to reflect future events or developments.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causing our actual results to differ, the factors listed above and described in the documents incorporated by reference herein may cause our intentions to change from those statements of intention set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incorporated by reference in this prospectus and the applicable prospectus supplement. Such changes in our intentions may also cause our results to differ. We may change our intentions, at any time and without notice, based upon changes in such factors, our assumptions,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involve risks and uncertainties, we caution that there are important factors, in addition to those listed above and described in the documents incorporated by reference herein, that may cause actual results to differ materially from those contained in the forward-looking statements. These factors include the risks set forth under the caption “Risk Factors” in this prospectus and in the documents incorporated by reference in this prospectus and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110651_7"/>
      <w:bookmarkEnd w:id="2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we receive from the sale of securities by us as set forth in the applicable prospectus supplement. We will not receive any proceeds from the sale of securities by selling securityholders.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110651_8"/>
      <w:bookmarkEnd w:id="25"/>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certain general terms and provisions of the base indenture under which the debt securities are to be issued, unless otherwise specified in a prospectus supplement. The particular terms of the debt securities to be sold will be set forth in a prospectus supplement relating to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represent unsecured general obligations of the Company, unless otherwise provided in the prospectus supplement. As indicated in the applicable prospectus supplement, the debt securities will either be senior debt or subordinated debt. Unless otherwise specified in the applicable prospectus supplement, the debt securities will be issued under an indenture, dated as of December 18, 2012, between us and The Bank of New York Mellon Trust Company, N.A. that has been filed as an exhibit to the registration statement of which this prospectus is a part, subject to such amendments or supplemental indentures as are adopted from time to time. The following summary of certain provisions of that indenture does not purport to be complete and is subject to, and qualified in its entirety by, reference to all the provisions of that indenture, including the definitions therein of certain terms. Wherever particular sections or defined terms of the indenture are referred to, it is intended that such sections or defined terms shall be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may be issued thereunder. The applicable prospectus supplement with respect to any debt securities will set forth the following terms of the debt securities offered pursuant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series of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such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such debt securities will be in global or other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and method or methods by which principal and any premium on such debt securities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(or method by which such rate will be determined),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any such interest will be payable and the method of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any additional amounts are payable with respect to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notice, if any, to holders of such debt securities regarding the determination of interest on a floating rate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basis upon which interest on such debt securities shall be calculated, if other than that of a 360 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of and interest or additional amounts, if any, on such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sinking fund provisions, or the terms of any repurchase at the option of the holder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of such debt securities, if other than $1,000 and integral multiples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rights of the holders of such debt securities to convert the debt securities into other securities or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on which payment of principal or any premium, interest or additional amounts on such debt securities will be payable in a currency other than U.S. dollars;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by which the amount of payments of principal or any premium, interest or additional amounts on such debt securities may be determined by reference to an index, formula, financial or economic measure or other methods;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principal amount thereof, the portion of the principal amount of such debt securities that will be payable upon declaration of acceleration of the maturity thereof or provable in bankruptcy;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or covenants in addition to or in lieu of those described herein and remedies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such debt securities will be subject to defeasance or covenant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upon which such debt securities are to be issuable upon the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trustees other than The Bank of New York Mellon Trust Company, N.A., and any authenticating or paying agents, transfer agents or registrars or any other agents with respect to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on which such debt securities will be subordinate to other debt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such debt securities will be guaranteed and the terms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such debt securities will be secured by collateral and the terms of such security;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of such debt securities and any other deletions from or additions to or modifications of the indenture with respect to such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Debt securities may be presented for exchange, conversion or transfer in the manner, at the places and subject to the restrictions set forth in the debt securities and the prospectus supplement. Such services will be provided without charge, other than any tax or other governmental charge payable in connection therewith, but subject to the limitations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covenant or other specific provision affording protection to holders of the debt securities in the event of a highly leveraged transaction or a change in control of the Company, except to the limited extent described below under “— Consolidation, Merger and Sale of Assets.”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supplements to the indenture and the applicable supplemental indentures may be made by the Company and the trustee for the purpose of adding any provisions to or changing in any manner or eliminating any of the provisions of the indenture or of modifying in any manner the rights of the holders of debt securities of a series under the indenture or the debt securities of such series, with the consent of the holders of a majority (or such greater amount as is provided for a particular series of debt securities) in principal amount of the outstanding debt securities issued under such indenture that are affected by the supplemental indenture, voting as a single class; provided that no such supplemental indenture may, without the consent of the holder of each such debt security affected thereby,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any premium or installment of interest on or any additional amounts with respect to, any such debt securities, or reduce the principal amount thereof, or reduce the rate or extend the time of payment of interest or any additional amounts thereon, or reduce any premium payable on redemption thereof or otherwise, or reduce the amount of the principal of debt securities issued with original issue discount that would be due and payable upon an acceleration of the maturity thereof or the amount thereof provable in bankruptcy, or change the redemption provisions or adversely affect the right of repayment at the option of the holder, or change the place of payment or the currency in which the principal of, or any premium, interest or additional amounts with respect to any debt security is payable, or impair the right of any holder of debt securities to institute suit for the payment after such payment is due (except a rescission and annulment of acceleration with respect to a series of debt securities by the holders of at least a majority in aggregate principal amount of the then outstanding debt securities of such series and a waiver of the payment default that resulted from such acceleration);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the outstanding debt securities of any series, the consent of the holders of which is required for any such supplemental indenture, or the consent of whose holders is required for any waiver or reduce the quorum required for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provisions of the sections of such indenture relating to supplemental indentures with the consent of the holders, waivers of past defaults or securities redeemed in part, except to increase any percentage set forth in such sections or to provide that certain other provisions of such indenture cannot be modified or waived without the consent of each holder affected thereby;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adversely affects the right to convert or exchange any security into or for common stock or other securities, cash or other property in accordance with the terms of the applicable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a supplemental indenture that changes or eliminates any covenant or other provision of the indenture that has expressly been included solely for the benefit of one or more particular series of debt securities, or that modifies the rights of the holders of such series with respect to such covenant or other provision, shall be deemed not to affect the rights under the indenture of the holders of debt securities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Company and the applicable trustee may, without the consent of the holders of any series of debt securities issued thereunder, enter into additional supplemental indentures for one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to the Company and the assumption by any such successor of the covenants of the Company in such indenture and in the debt securities issued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of the Company for the benefit of the holders of all or any series of debt securities or to surrender any right or power conferred on the Company pursuant to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and terms of debt securities issued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a successor trustee under such indenture with respect to one or more series of debt securities issued thereunder or to provide for or facilitate the administration of the trusts under such indenture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to correct or supplement any provision in the indenture that may be defective or inconsistent with any other provision of the indenture or to make any other provisions with respect to matters or questions arising under such indenture; provided that no such action pursuant to this clause (e) shall adversely affect the interests of the holders of any series of debt securities issued thereunder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securities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with respect to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the indenture as may be necessary to permit or facilitate the defeasance and discharge of any series of debt securities, provided that such action does not adversely affect the interests of any holder of an outstanding debt security of such series or any other security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provisions with respect to the conversion or exchange rights of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convey, transfer, assign, mortgage or pledge to the trustee as security for the debt securities of any series any property or assets;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in respect of the debt securities of one or more series and to provide for the terms and conditions of release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or eliminate any of the provisions of the indenture, provided that any such change or elimination become effective only when there is no security of any series outstanding created prior to the execution of such supplemental indenture which is entitled to the benefit of such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certificated securities in addition to or in place of global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(n)</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qualify such indenture under the Trust Indenture Act of 1939,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(o)</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debt securities of any series, to conform the text of the indenture or the debt securities of such series to any provision of the description thereof in the Company’s offering memorandum or prospectus relating to the initial offering of such debt securities, to the extent that such provision, in the good faith judgment of the Company, was intended to be a verbatim recitation of a provision of the indenture or such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(p)</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does not adversely affect the rights of holders of any series of debt securities issued thereunder in any material respect.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any prospectus supplement, the following will be events of default under the indenture with respect to each series of debt securities issued thereunder: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for 30 days in the payment when due of interest on, or any additional amount in respect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or any premium on any series of the debt securities outstanding under the indenture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deposit, if any, of any sinking fund payment when and as due by the terms of any debt security of such series, subject to any cure period that may be specified in any debt security of such series;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the Company to observe or perform any other of the covenants or agreements with respect to that series contained in such debt securities for 60 days after receipt of written notice from the trustee upon instruction from holders of at least 25% in principal amount of the then outstanding debt securities of such series to comply with any of the other agreements in the indenture and stating that such notice is a “Notice of Default” under the indenture; provided, that if such failure cannot be remedied within such 60-day period, such period shall be automatically extended by another 60 days so long as (i) such failure is subject to cure and (ii) the Company is using commercially reasonable efforts to cure such failure; and provided, further, that a failure to comply with any such other agreement in the indenture that results from a change in generally accepted accounting principles shall not be deemed to be an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in or pursuant to the indenture with respect to a particular series of debt securities, provided that such event of default that results from a change in generally accepted accounting principles shall not be deemed to be an event of default.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case an event of default specified in clause (a) or (b) above shall occur and be continuing with respect to any series of debt securities, holders of at least 25%, and in case an event of default specified in any clause other than clause (a), (b) or (e) above shall occur and be continuing with respect to any series of debt securities, holders of at least a majority, in aggregate principal amount of the debt securities of such series then outstanding may declare the principal (or, in the case of discounted debt securities, the amount specified in the terms thereof) of such series to be due and payable immediately. If an event of default described in (e) above shall occur and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continuing then the principal (or, in the case of discounted debt securities, the amount specified in the terms thereof) of all the debt securities outstanding shall automatically become due and payable, without notice or other action by any holder or the applicable trustee, to the full extent permitted by law. Any past or existing default or event of default with respect to particular series of debt securities and its consequences under such indenture may be waived by the holders of a majority in principal amount of the outstanding debt securities of such series, except in each case a continuing default (1) in the payment of the principal of, any premium or interest on, or any additional amounts with respect to, any debt security of such series, or (2) in respect of a covenant or provision which cannot be modified or amended without the consent of each holder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applicable trustee may withhold notice to the holders of any default with respect to any series of debt securities (except in payment of principal of or interest or premium on, or additional amounts or sinking fund or purchase fund installment in respect of, the debt securities) if the board of directors, the executive committee or a trust committee of directors or responsible officers of the applicable trustee considers it in the interest of holders to do so.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a provision entitling the applicable trustee to be indemnified by the holders before proceeding to exercise any trust or power under the indenture at the request of such holders. The indenture provides that the holders of a majority in aggregate principal amount of the then outstanding debt securities of any series may direct the time, method and place of conducting any proceedings for any remedy available to the applicable trustee or exercising any trust or power conferred upon the applicable trustee with respect to the debt securities of such series; provided, however, that the applicable trustee may decline to follow any such direction if, among other reasons, the applicable trustee determines in good faith that the actions or proceedings as directed may not lawfully be taken or would be unduly prejudicial to the holders of the debt securities of such series not joining in such direction. The right of a holder to institute a proceeding with respect to a series of debt securities will be subject to certain conditions precedent including, without limitation, that in case of an event of default specified in clause (a), (b) or (e) of the first paragraph above under “— Events of Default,” holders of at least 25%, or in case of an event of default other than specified in clause (a), (b) or (e) of the first paragraph above under “— Events of Default”, holders of at least a majority, in aggregate principal amount of the debt securities of such series then outstanding make a written request upon the applicable trustee to exercise its powers under such indenture, indemnify the applicable trustee and afford the applicable trustee reasonable opportunity to act. Notwithstanding the foregoing, the holder has an absolute right to receipt of the principal of, premium, if any, and interest or additional amounts when due on the debt securities, to require conversion of debt securities if such indenture provides for convertibility at the option of the holder and to institute suit for the enforcement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the Company may not directly or indirectly consolidate with or merge with or into, or sell, assign, transfer, lease, convey or otherwise dispose of all or substantially all of its assets and properties and the assets and properties of its subsidiaries (taken as a whole) to another person in one or more related transactions unless the successor person is a person organized under the laws of any domestic jurisdiction and assumes the Company’s obligations on the debt securities issued thereunder, and under the indenture, and after giving effect thereto no event of default, and no event that, after notice or lapse of time or both, would become an event of default, shall have occurred and be continuing, and that certain other conditions are met.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i/>
          <w:sz w:val="20"/>
        </w:rPr>
      </w:pPr>
      <w:r>
        <w:rPr>
          <w:rFonts w:ascii="Times New Roman" w:hAnsi="Times New Roman"/>
          <w:i/>
          <w:sz w:val="20"/>
        </w:rPr>
        <w:t xml:space="preserve">Payment of Principal, any Premium, Interest or Additional Amounts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duly and punctually pay the principal of, and premium and interest on or any additional amounts payable with respect to, any debt securities of any series in accordance with their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Maintenance of Office or Agency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be required to maintain an office or agency in each place of payment for each series of debt securities for notice and demand purposes and for the purposes of presenting or surrendering debt securities for payment, registration of transfer, or exchange. </w:t>
      </w:r>
    </w:p>
    <w:p>
      <w:pPr>
        <w:pStyle w:val="TextBody"/>
        <w:bidi w:val="0"/>
        <w:spacing w:before="360" w:after="0"/>
        <w:jc w:val="left"/>
        <w:rPr>
          <w:rFonts w:ascii="Times New Roman" w:hAnsi="Times New Roman"/>
          <w:i/>
          <w:sz w:val="20"/>
        </w:rPr>
      </w:pPr>
      <w:r>
        <w:rPr>
          <w:rFonts w:ascii="Times New Roman" w:hAnsi="Times New Roman"/>
          <w:i/>
          <w:sz w:val="20"/>
        </w:rPr>
        <w:t xml:space="preserve">Reports </w:t>
      </w:r>
    </w:p>
    <w:p>
      <w:pPr>
        <w:pStyle w:val="TextBody"/>
        <w:bidi w:val="0"/>
        <w:spacing w:before="120" w:after="0"/>
        <w:jc w:val="left"/>
        <w:rPr>
          <w:rFonts w:ascii="Times New Roman" w:hAnsi="Times New Roman"/>
          <w:sz w:val="20"/>
        </w:rPr>
      </w:pPr>
      <w:r>
        <w:rPr>
          <w:rFonts w:ascii="Times New Roman" w:hAnsi="Times New Roman"/>
          <w:sz w:val="20"/>
        </w:rPr>
        <w:t xml:space="preserve">So long as any debt securities of a particular series are outstanding, the Company will file with the Trustee, within 30 days after the Company has filed the same with the Commission, unless such reports are available on the Commission’s EDGAR filing system (or any successor thereto),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Exchange Act;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 </w:t>
      </w:r>
    </w:p>
    <w:p>
      <w:pPr>
        <w:pStyle w:val="TextBody"/>
        <w:bidi w:val="0"/>
        <w:spacing w:before="360" w:after="0"/>
        <w:jc w:val="left"/>
        <w:rPr>
          <w:rFonts w:ascii="Times New Roman" w:hAnsi="Times New Roman"/>
          <w:i/>
          <w:sz w:val="20"/>
        </w:rPr>
      </w:pPr>
      <w:r>
        <w:rPr>
          <w:rFonts w:ascii="Times New Roman" w:hAnsi="Times New Roman"/>
          <w:i/>
          <w:sz w:val="20"/>
        </w:rPr>
        <w:t xml:space="preserve">Additional Covenants </w:t>
      </w:r>
    </w:p>
    <w:p>
      <w:pPr>
        <w:pStyle w:val="TextBody"/>
        <w:bidi w:val="0"/>
        <w:spacing w:before="120" w:after="0"/>
        <w:jc w:val="left"/>
        <w:rPr>
          <w:rFonts w:ascii="Times New Roman" w:hAnsi="Times New Roman"/>
          <w:sz w:val="20"/>
        </w:rPr>
      </w:pPr>
      <w:r>
        <w:rPr>
          <w:rFonts w:ascii="Times New Roman" w:hAnsi="Times New Roman"/>
          <w:sz w:val="20"/>
        </w:rPr>
        <w:t xml:space="preserve">Any additional covenants of the Company with respect to any series of debt securities will be set forth in the prospectus supplement relating thereto.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upon which the debt securities are convertible into common stock or preferred stock will be set forth in the applicable prospectus supplement relating thereto. Such terms will include the conversion price (or manner of calculation thereof), the conversion period, provisions as to whether conversion will be at the option of the holders or the Company, the events requiring an adjustment of the conversion price and provisions affecting conversion in the event of redemption of such debt securities and any restrictions on conversion.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Repurchase at the Option of the Holder; Sinking Fund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upon which (a) the debt securities are redeemable at the option of the Company, (b) the holder of debt securities may cause the Company to repurchase such debt securities or (c) the debt securities are subject to any sinking fund will be set forth in the applicable prospectus supplement relating thereto.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Repurchases on the Open Market </w:t>
      </w:r>
    </w:p>
    <w:p>
      <w:pPr>
        <w:pStyle w:val="TextBody"/>
        <w:bidi w:val="0"/>
        <w:spacing w:before="120" w:after="0"/>
        <w:jc w:val="left"/>
        <w:rPr>
          <w:rFonts w:ascii="Times New Roman" w:hAnsi="Times New Roman"/>
          <w:sz w:val="20"/>
        </w:rPr>
      </w:pPr>
      <w:r>
        <w:rPr>
          <w:rFonts w:ascii="Times New Roman" w:hAnsi="Times New Roman"/>
          <w:sz w:val="20"/>
        </w:rPr>
        <w:t xml:space="preserve">The Company or any affiliate of the Company may at any time or from time to time repurchase any debt security in the open market or otherwise. Such debt securities may, at the option of the Company or the relevant affiliate of the Company, be held, resold or surrendered to the trustee for cancellation.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with respect to each series of debt securities issued thereunder, that the Company may satisfy and discharge its obligations under such debt securities of a series and such indenture with respect to debt securities of such series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debt securities of such series previously authenticated and delivered, with certain exceptions, have been accepted by the applicable trustee for cancellation;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debt securities of such series have become due and payable, will become due and payable at their stated maturity within one year, or are to be called for redemption within one year under arrangements satisfactory to the applicable trustee for giving the notice of redemption and the Company irrevocably deposits in trust with the applicable trustee, as trust funds solely for the benefit of the holders of such debt securities, for that purpose, money or governmental obligations or a combination thereof sufficient (in the opinion of a nationally recognized independent registered public accounting firm expressed in a written certification thereof delivered to the applicable trustee) to pay and discharge the entire indebtedness on the debt securities of such series to the date of such deposit or to the maturity, as the case may be, and pays all other sums payable by it under such indenture; and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(ii) the Company delivers to the applicable trustee an officers’ certificate and an opinion of counsel, in each case stating that all conditions precedent provided for in such indenture relating to the satisfaction and discharge of such indenture with respect to the debt securities of such series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such satisfaction and discharge, the obligations of the Company to compensate and indemnify the trustee, to pay additional amounts, if any, in respect of debt securities in certain circumstances and to convert or exchange debt securities pursuant to the terms thereof and the obligations of the Company and the trustee to hold funds in trust and to apply such funds pursuant to the terms of the indenture, with respect to issuing temporary debt securities, with respect to the registration, transfer and exchange of debt securities, with respect to the replacement of mutilated, destroyed, lost or stolen debt securities and with respect to the maintenance of an office or agency for payment, shall in each case survive such 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Unless inapplicable to debt securities of a series pursuant to the terms thereof, the indenture provides that (i) the Company will be deemed to have paid and will be discharged from any and all obligations in respect of the debt securities issued thereunder of any series, and the provisions of such indenture will, except as noted below, no longer be in effect with respect to the debt securities of such series (“defeasance”) and (ii) (1) the Company may omit to comply with the covenant under “— Consolidation, Merger and Sale of Assets” and any other additional covenants established pursuant to the terms of such series, and such omission shall be deemed not to be an event of default under clause (d) or (f) of the first paragraph of “— Events of Default” and (2) the occurrence of any event described in clause (f) of the first paragraph of “— Events of Default” shall not be deemed to be an event of default, in each case with respect to the outstanding debt securities of such series ((1) and (2) of this clause (ii), “covenant defeasance”); provided that the following conditions shall have been satisfied with respect to such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irrevocably deposited in trust with the applicable trustee as trust funds solely for the benefit of the holders of the debt securities of such series, for the purpose of making the following payments, money or government obligations or a combination thereof sufficient (in the opinion of a nationally recognized independent registered public accounting firm expressed in a written certification thereof delivered to the applicable trustee), without consideration of any reinvestment, to pay and discharge (i) the principal of and accrued interest or additional amounts on the outstanding debt securities of such series to maturity or earlier redemption (irrevocably provided for under arrangements satisfactory to the applicable trustee), as the case may be or (ii) any mandatory sinking fund payments applicable to the outstanding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defeasance or covenant defeasance will not result in a breach or violation of, or constitute a default under, such indenture or any other material agreement or instrument to which the Company is a party or by which it is bound;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or event which with notice or lapse of time would become an event of default with respect to such debt securities of such series shall have occurred and be continuing on the date of such deposit;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have delivered to such trustee an opinion of counsel as described in the indenture to the effect that the holders of the debt securities of such series will not recognize income, gain or loss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for Federal income tax purposes as a result of the Company’s exercise of its option under this provision of such indenture and will be subject to federal income tax on the same amount and in the same manner and at the same times as would have been the case if such deposit and defeasance or covenant defeasance had not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delivered to the applicable trustee an officers’ certificate and an opinion of counsel, in each case stating that all conditions precedent provided for in such indenture relating to the defeasance contemplated have been complied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to be redeemed prior to their maturity, notice of such redemption shall have been duly given or in another manner satisfactory to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defeasance or covenant defeasance shall comply with any additional or substitute terms provided for by the terms of such debt securities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 defeasance or covenant defeasance, the Company’s obligations with respect to the following in respect of debt securities of such series will survive with respect to such securities until otherwise terminated or discharged under the terms of the indenture or no debt securities of such series are outstanding: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holders of outstanding debt securities of such series to receive payments in respect of the principal of, interest on or premium or additional amounts, if any, payable in respect of, such debt securities when such payments are due from the trust referred in clause (a) in the preceding paragraph;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temporary debt securities, the registration, transfer and exchange of debt securities, the replacement of mutilated, destroyed, lost or stolen debt securities and the maintenance of an office or agency for payment and holding payments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powers, trusts, duties and immunities of the trustee, and the Company’s obligations in connection therewith;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defeasance or covenant defeasance provisions of the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Applicable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the debt securities and the indenture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Trustee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prospectus supplement, The Bank of New York Mellon Trust Company, N.A. is the trustee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10651_9"/>
      <w:bookmarkEnd w:id="26"/>
      <w:r>
        <w:rPr>
          <w:rFonts w:ascii="Times New Roman" w:hAnsi="Times New Roman"/>
          <w:b/>
          <w:sz w:val="20"/>
        </w:rPr>
        <w:t xml:space="preserve">DESCRIPTION OF CAPITAL STOCK </w:t>
      </w:r>
    </w:p>
    <w:p>
      <w:pPr>
        <w:pStyle w:val="TextBody"/>
        <w:bidi w:val="0"/>
        <w:spacing w:before="12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our amended and restated certificate of incorporation, as amended and supplemented, we are authorized to issue up to 30,000,000 shares of preferred stock, par value $1.00 per share,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As of February 19, 2024, there were 35,000 shares of Series B Non-Voting Perpetual Preferred Stock, par value $1.00 per share, issued and outstanding. The Certificate of Designations for the Series B Non-Voting Perpetual Preferred Stock has been filed as Exhibit 4.5 to the registration statement of which this prospectus is a part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preferred stock sets forth certain general terms and provisions of the series of preferred stock to which any prospectus supplement may relate. The prospectus supplement relating to a particular series of preferred stock will describe certain other terms of such series of preferred stock. If so indicated in the prospectus supplement relating to a particular series of preferred stock, the terms of any such series of preferred stock may differ from the terms set forth below. The description of preferred stock set forth below and the description of the terms of a particular series of preferred stock set forth in the related prospectus supplement are not complete and are qualified in their entirety by reference to the certificate of incorporation and to the certificate of designation relating to that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rights of the holders of each series of preferred stock will be subordinate to those of our general creditors.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Terms of the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will set forth the designations, preferences, and relative, participating, optional and other special rights, and the qualifications, limitations, and restrictions of the preferred stock of each series. To the extent the certificate of incorporation does not set forth the rights and limitations, they will be fixed by the certificate of designation relating to the series. A prospectus supplement relating to each series will specify the terms of the preferred stock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distinctive designation of the series and the number of shares which shall constitute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of dividends, if any, payable on shares of the series, the date, if any, from which the dividends shall accrue, the conditions upon which and the date when the dividends shall be payable, and whether the dividends shall be cumulative or noncumulative;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which the holders of the preferred stock of the series shall be entitled to be paid in the event of a voluntary or involuntary liquidation, dissolution, or winding up of Williams;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preferred stock of the series shall be redeemable and at what times and under what conditions and the amount or amounts payable thereon in the event of 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may, in a manner not inconsistent with the provisions of the certificate of incorporation: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number of shares of the series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a sinking fund for the purchase or redemption or a purchase fund for the purchase of shares of the series, set forth the terms and provisions governing the operation of any fund, and establish the status as to reissue of shares of preferred stock purchased or otherwise reacquired or redeemed or retired through the operation of the sinking or purchase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voting rights to the holder of shares of the series, in addition to and not inconsistent with those granted by the certificate of incorporation to the holders of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impose conditions or restrictions upon the creation of indebtedness of Williams or upon the issue of additional preferred stock or other capital stock ranking equally with or prior to the preferred stock or capital stock as to dividends or distribution of assets on liquidation;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impose conditions or restrictions upon the payment of dividends upon, the making of other distributions to, or the acquisition of junior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to the holders of the preferred stock of the series the right to convert the preferred stock into shares of another series or class of capital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other special rights to the holders of shares of the series as the board of directors may determine and as shall not be inconsistent with the provisions of the certificate of incorporation.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preferred stock of any series shall be entitled to receive, when, as and if declared by the board of directors, preferential dividends in cash at the annual rate, if any, fixed for the series. Their entitlement will be subject to any limitations specified in the certificate of incorporation and in the certificate of designation providing for the issuance of a particular series of preferred stock. The certificate of designation providing for the issuance of preferred stock of the series may specify the date on which the preferential dividends are payable. The preferential dividends shall further be payable to stockholders of record on a date which precedes each dividend payment date which the board of directors has fixed in advance of each particular dividend. </w:t>
      </w:r>
    </w:p>
    <w:p>
      <w:pPr>
        <w:pStyle w:val="TextBody"/>
        <w:bidi w:val="0"/>
        <w:spacing w:before="240" w:after="0"/>
        <w:jc w:val="left"/>
        <w:rPr>
          <w:rFonts w:ascii="Times New Roman" w:hAnsi="Times New Roman"/>
          <w:sz w:val="20"/>
        </w:rPr>
      </w:pPr>
      <w:r>
        <w:rPr>
          <w:rFonts w:ascii="Times New Roman" w:hAnsi="Times New Roman"/>
          <w:sz w:val="20"/>
        </w:rPr>
        <w:t xml:space="preserve">Each share of preferred stock shall rank on a parity with each other share of preferred stock, irrespective of series, with respect to preferential dividends accrued on the shares of the series. We will not declare or pay any dividend nor will we set apart a dividend for payment for the preferred stock of any series unless at the same time we declare, pay, or set apart a dividend in like proportion to the dividends accrued upon the preferred stock of each other series. This does not, however, prevent us from authorizing or issuing one or more series of preferred stock bearing dividends subject to contingencies as to the existence or amount of our earnings during one or more fiscal periods, or as to other events, to which dividends on other series of preferred stock are not subject.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shares of preferred stock remain outstanding, we will not, unless all dividends accrued on outstanding shares of preferred stock for all past dividend periods shall have been paid or declared and a sum sufficient for the payment of the dividends set apart: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or declare any dividends whatsoever, whether in cash, stock,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distribution on any class of junior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retire, or otherwise acquire for valuable consideration any shares of preferred stock (subject to certain limitations) or junior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holding company, our ability to pay dividends on the preferred stock will depend upon the payment of dividends, interest, or other charges by our subsidiaries to us. Debt instruments of certain of our subsidiaries may limit the amount of payments to us, which could affect the amount of funds available to us to pay dividends on the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registrar, transfer agent, and dividend disbursing agent for the preferred stock will be named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With the approval of our board of directors, we may redeem all or any part of the preferred stock of any series that by its terms is redeemable. Redemption will take place at the time or times and on the terms and conditions fixed for the series. We must duly give notice in the manner provided in the certificate of designation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providing for the series. We must pay for preferred stock in cash the sum fixed for the series, together, in each case, with an amount equal to accrued and unpaid dividends on the series of preferred stock. The certificate of designation providing for a series of preferred stock that is subject to redemption may provide, upon the two conditions discussed below, that the shares will no longer be deemed outstanding, and all rights with respect to the shares will cease, including the accrual of further dividends, other than the right to receive the redemption price of the shares without interest,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given notice of redemption of all or part of the shares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set aside or deposited with a suitable depositary for the proportionate benefit of the shares called for redemption the redemption price of the shares, together with accrued dividends to the date fixed as the redemption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Redemption will terminate the right of holders of the preferred stock to accrual of further dividends. Redemption will not, however, terminate the right of holders of the shares redeemed to receive the redemption price for the shares without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will have no right or power to vote on any question or in any proceeding or to be represented at or to receive notice of any meeting of stockholders, except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stated in this prospectus or the applicable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expressly provided by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in the certificate of designation of the series of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any matters on which the holders of the preferred stock or any series thereof shall be entitled to vote separately as a class or series, they shall be entitled to one vote for each share held.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shares of preferred stock are outstanding, we must not, during the continuance of any default in the payment of dividends on the preferred stock, redeem or otherwise acquire for value any shares of the preferred stock or of any other stock ranking on a parity with the preferred stock concerning dividends or distribution of assets on liquidation. Holders of a majority of the number of shares of preferred stock outstanding at the time may, however, permit such a redemption by giving their consent in person or by proxy, either in writing or by vote at any annual meeting or any special meeting called for the purpose.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voluntary or involuntary liquidation, dissolution, or winding up of the affairs of Williams, the holders of the preferred stock of the respective series are entitled to be paid in full the following amounts: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fixed in the certificate of designation providing for the issue of shares of the series;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sum equal to all accrued and unpaid dividends on the shares of preferred stock to the date of payment of the dividends.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must have made this payment in full to the holders of the preferred stock before we may make any distribution or payment to the holders of any class of stock ranking junior to the preferred stock as to dividends or distribution of assets on liquidation. After we have made this payment in full to the holders of the preferred stock, our remaining assets and funds will be distributed among the holders of our stock ranking junior to the preferred stock according to their rights. If our assets available for distribution to holders of preferred stock are insufficient to make the payment required to be made in full, these assets will be distributed to the holders of shares of preferred stock proportionately to the amounts payable upon each share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we are authorized to issue up to 1,470,000,000 shares of common stock, par value $1.00 per share. As of February 19, 2024, we had 1,216,750,172 issued and outstanding shares of common stock. As of February 19, 2024, 20,543,438 shares of our common stock were reserved for issuance pursuant to existing and future stock awards under our stock incentive plans, of which 11,256,634 shares were available for future grants. As of February 19, 2024, 909,425 shares of our common stock were reserved for issuance pursuant to our employee stock purchase plan. The outstanding shares of common stock are fully paid and nonassessable. The holders of common stock are not entitled to preemptive or redemption rights. Shares of common stock are not convertible into shares of any other class of capital stock. Computershare Trust Company, N.A. (“Computershare”) is the transfer agent and registrar for our common stock. Our common stock is listed on the New York Stock Exchange under the ticker symbol “WMB.”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receive dividends when, as, and if declared by our board of directors, out of funds legally available for their payment subject to the rights of holders of any outstanding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per share on all matters submitted to a vote of stockholders. Except as otherwise provided by law, our charter or our bylaws, at each meeting of the stockholders, all corporate actions to be taken by vote of the stockholders shall be authorized by a majority of the votes cast by the stockholders entitled to vote thereon, present in person or represented by proxy. Director nominees in uncontested elections must receive a majority of the votes cast to be elected, and director nominees in contested elections must receive a plurality of the votes cast to be elected. A vote of 75% of the outstanding shares of our common stock is required to amend certain provisions of our charter and for stockholders to amend our bylaws.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Upon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voluntary or involuntary liquidation, dissolution, or winding up of the affairs of Williams, the holders of our common stock will be entitled to share equally in any assets available for distribution after the payment in full of all debts and distributions and after the holders of all series of outstanding preferred stock have received their liquidation preferences in full.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the following provisions in our charter or bylaws that could be considered to be “anti-takeover”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article in our charter requiring the affirmative vote of three-fourths of the outstanding shares of common stock for certain merger and asset sale transactions with holders of more than five percent of the voting power of Williams;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bylaw that only permits our chairman of the board, chief executive officer or a majority of the board to call a special meeting of the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bylaw requiring stockholders to provide prior notice for nominations for election to the board of directors or for proposing matters which can be acted upon at stockholders meetings.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a Delaware corporation and are subject to Section 203 of the Delaware General Corporation Law (“DGCL”). In general, Section 203 prevents an interested stockholder, which is defined generally as a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owning 15% or more of our outstanding voting stock, from engaging in a business combination with us for three years following the date that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that person became an interested stockholder, our board of directors approved the transaction in which the interested stockholder became an interested stockholder or approved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that resulted in the interested stockholder becoming an interested stockholder, the interested stockholder owned at least 85% of our voting stock outstanding at the time the transaction commenced (excluding stock held by persons who are both directors and officers of Williams or by certain employee stock plans);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following the date on which that person became an interested stockholder, the business combination is approved by our board of directors and authorized at a meeting of stockholders by the affirmative vote of the holders of at least 662/3% of our outstanding voting stock (excluding shares held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business combination includes mergers, asset sales and other transactions resulting in a financial benefit to the interested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110651_10"/>
      <w:bookmarkEnd w:id="27"/>
      <w:r>
        <w:rPr>
          <w:rFonts w:ascii="Times New Roman" w:hAnsi="Times New Roman"/>
          <w:b/>
          <w:sz w:val="20"/>
        </w:rPr>
        <w:t xml:space="preserve">DESCRIPTION OF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purchase contracts for the purchase or sale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or equity securities issued by us or securities of third parties, a basket of such securities, an index or indices of such securities or any combination of the above as specified in the applicable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currencies;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commodities.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 </w:t>
      </w:r>
    </w:p>
    <w:p>
      <w:pPr>
        <w:pStyle w:val="TextBody"/>
        <w:bidi w:val="0"/>
        <w:spacing w:before="240" w:after="0"/>
        <w:jc w:val="left"/>
        <w:rPr>
          <w:rFonts w:ascii="Times New Roman" w:hAnsi="Times New Roman"/>
          <w:sz w:val="20"/>
        </w:rPr>
      </w:pPr>
      <w:r>
        <w:rPr>
          <w:rFonts w:ascii="Times New Roman" w:hAnsi="Times New Roman"/>
          <w:sz w:val="20"/>
        </w:rPr>
        <w:t xml:space="preserve">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the indenture, a copy of which is filed as an exhibit to the registration statement of which this prospectus is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110651_11"/>
      <w:bookmarkEnd w:id="28"/>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following terms of any warrants in respect of which this prospectus is being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warrants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the price of such warrants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or other rights, including rights to receive payment in cash or securities based on the value, rate or price of one or more specified commodities, currencies, securities or indices, or any combination of the foregoing, purchasable upon exercise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and the currency or currencies, in which the securities or other rights purchasable upon exercise of such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warrants shall commence and the date on which such right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such warrants are issued and the number of such warrants issued with each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such warrants and the related securities will be separately transferable;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exchange and exercise of such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110651_12"/>
      <w:bookmarkEnd w:id="29"/>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As specified in the applicable prospectus supplement, we may issue units consisting of one or more purchase contracts, warrants, debt securities, shares of preferred stock, shares of common stock, or any combination of such securities. The applicable prospectus supplement will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units and of the purchase contracts, warrants, debt securities, preferred stock, and common stock comprising the units, including whether and under what circumstances the securities comprising the units may be traded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terms of any unit agreement governing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provisions for the payment, settlement, transfer or exchange of the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110651_13"/>
      <w:bookmarkEnd w:id="30"/>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selling securityholders, where applicable, will be set forth in a prospectus supplement, in a post-effective amendment, or in filings we make with the SEC under the Exchange Act that are incorporated by reference. </w:t>
      </w:r>
    </w:p>
    <w:p>
      <w:pPr>
        <w:pStyle w:val="TextBody"/>
        <w:bidi w:val="0"/>
        <w:spacing w:before="480" w:after="0"/>
        <w:jc w:val="center"/>
        <w:rPr>
          <w:rFonts w:ascii="Times New Roman" w:hAnsi="Times New Roman"/>
          <w:b/>
          <w:sz w:val="20"/>
        </w:rPr>
      </w:pPr>
      <w:bookmarkStart w:id="31" w:name="toc110651_14"/>
      <w:bookmarkEnd w:id="3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will be passed upon for us by Gibson, Dunn &amp; Crutcher LLP. Any agents or underwriters will be represented by their own legal counsel named in the applicable prospectus supplement. </w:t>
      </w:r>
    </w:p>
    <w:p>
      <w:pPr>
        <w:pStyle w:val="TextBody"/>
        <w:bidi w:val="0"/>
        <w:spacing w:before="480" w:after="0"/>
        <w:jc w:val="center"/>
        <w:rPr>
          <w:rFonts w:ascii="Times New Roman" w:hAnsi="Times New Roman"/>
          <w:b/>
          <w:sz w:val="20"/>
        </w:rPr>
      </w:pPr>
      <w:bookmarkStart w:id="32" w:name="toc110651_15"/>
      <w:bookmarkEnd w:id="3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The Williams Companies, Inc. appearing in The Williams Companies, Inc.’s Annual Report (Form 10-K) for the year ended December 31, 2023, including the schedule appearing therein, and the effectiveness of The Williams Companies, Inc.’s internal control over financial reporting as of December 31, 2023, have been audited by Ernst &amp; Young LLP, independent registered public accounting firm, as set forth in their reports thereon, included therein, and incorporated herein by reference. Such consolidated financial statements and The Williams Companies, Inc. management’s assessment of the effectiveness of internal control over financial reporting as of December 31, 2023 are, and audited financial statements and The Williams Companies, Inc. management’s assessment of internal control over financial reporting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0" w:after="0"/>
        <w:jc w:val="center"/>
        <w:rPr>
          <w:rFonts w:ascii="Times New Roman" w:hAnsi="Times New Roman"/>
          <w:b/>
          <w:sz w:val="36"/>
        </w:rPr>
      </w:pPr>
      <w:r>
        <w:rPr>
          <w:rFonts w:ascii="Times New Roman" w:hAnsi="Times New Roman"/>
          <w:b/>
          <w:sz w:val="36"/>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88745" cy="7283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
                    <a:stretch>
                      <a:fillRect/>
                    </a:stretch>
                  </pic:blipFill>
                  <pic:spPr bwMode="auto">
                    <a:xfrm>
                      <a:off x="0" y="0"/>
                      <a:ext cx="1388745" cy="72834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$     % Senior Notes due </w:t>
      </w:r>
    </w:p>
    <w:p>
      <w:pPr>
        <w:pStyle w:val="TextBody"/>
        <w:bidi w:val="0"/>
        <w:spacing w:before="0" w:after="0"/>
        <w:jc w:val="center"/>
        <w:rPr>
          <w:rFonts w:ascii="Times New Roman" w:hAnsi="Times New Roman"/>
          <w:b/>
          <w:sz w:val="28"/>
        </w:rPr>
      </w:pPr>
      <w:r>
        <w:rPr>
          <w:rFonts w:ascii="Times New Roman" w:hAnsi="Times New Roman"/>
          <w:b/>
          <w:sz w:val="28"/>
        </w:rPr>
        <w:t xml:space="preserve">$     % Senior Notes due </w:t>
      </w:r>
    </w:p>
    <w:p>
      <w:pPr>
        <w:pStyle w:val="TextBody"/>
        <w:bidi w:val="0"/>
        <w:spacing w:before="0" w:after="0"/>
        <w:jc w:val="center"/>
        <w:rPr>
          <w:rFonts w:ascii="Times New Roman" w:hAnsi="Times New Roman"/>
          <w:b/>
          <w:sz w:val="28"/>
        </w:rPr>
      </w:pPr>
      <w:r>
        <w:rPr>
          <w:rFonts w:ascii="Times New Roman" w:hAnsi="Times New Roman"/>
          <w:b/>
          <w:sz w:val="28"/>
        </w:rPr>
        <w:t xml:space="preserve">$     % Senior Notes due </w:t>
      </w:r>
    </w:p>
    <w:p>
      <w:pPr>
        <w:pStyle w:val="TextBody"/>
        <w:bidi w:val="0"/>
        <w:spacing w:before="0" w:after="0"/>
        <w:jc w:val="center"/>
        <w:rPr>
          <w:rFonts w:ascii="Times New Roman" w:hAnsi="Times New Roman"/>
          <w:b/>
          <w:sz w:val="28"/>
        </w:rPr>
      </w:pPr>
      <w:r>
        <w:rPr>
          <w:rFonts w:ascii="Times New Roman" w:hAnsi="Times New Roman"/>
          <w:b/>
          <w:sz w:val="28"/>
        </w:rPr>
        <w:t xml:space="preserve">$     % Senior Notes due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0" w:after="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120" w:after="0"/>
        <w:jc w:val="center"/>
        <w:rPr>
          <w:rFonts w:ascii="Times New Roman" w:hAnsi="Times New Roman"/>
          <w:b/>
          <w:sz w:val="28"/>
        </w:rPr>
      </w:pPr>
      <w:r>
        <w:rPr>
          <w:rFonts w:ascii="Times New Roman" w:hAnsi="Times New Roman"/>
          <w:b/>
          <w:sz w:val="28"/>
        </w:rPr>
        <w:t xml:space="preserve">Citigroup </w:t>
      </w:r>
    </w:p>
    <w:p>
      <w:pPr>
        <w:pStyle w:val="TextBody"/>
        <w:bidi w:val="0"/>
        <w:spacing w:before="120" w:after="0"/>
        <w:jc w:val="center"/>
        <w:rPr>
          <w:rFonts w:ascii="Times New Roman" w:hAnsi="Times New Roman"/>
          <w:b/>
          <w:sz w:val="28"/>
        </w:rPr>
      </w:pPr>
      <w:r>
        <w:rPr>
          <w:rFonts w:ascii="Times New Roman" w:hAnsi="Times New Roman"/>
          <w:b/>
          <w:sz w:val="28"/>
        </w:rPr>
        <w:t xml:space="preserve">Mizuho </w:t>
      </w:r>
    </w:p>
    <w:p>
      <w:pPr>
        <w:pStyle w:val="TextBody"/>
        <w:bidi w:val="0"/>
        <w:spacing w:before="120" w:after="0"/>
        <w:jc w:val="center"/>
        <w:rPr>
          <w:rFonts w:ascii="Times New Roman" w:hAnsi="Times New Roman"/>
          <w:b/>
          <w:sz w:val="28"/>
        </w:rPr>
      </w:pPr>
      <w:r>
        <w:rPr>
          <w:rFonts w:ascii="Times New Roman" w:hAnsi="Times New Roman"/>
          <w:b/>
          <w:sz w:val="28"/>
        </w:rPr>
        <w:t xml:space="preserve">Morgan Stanley </w:t>
      </w:r>
    </w:p>
    <w:p>
      <w:pPr>
        <w:pStyle w:val="TextBody"/>
        <w:bidi w:val="0"/>
        <w:spacing w:before="120" w:after="0"/>
        <w:jc w:val="center"/>
        <w:rPr>
          <w:rFonts w:ascii="Times New Roman" w:hAnsi="Times New Roman"/>
          <w:b/>
          <w:sz w:val="28"/>
        </w:rPr>
      </w:pPr>
      <w:r>
        <w:rPr>
          <w:rFonts w:ascii="Times New Roman" w:hAnsi="Times New Roman"/>
          <w:b/>
          <w:sz w:val="28"/>
        </w:rPr>
        <w:t xml:space="preserve">SMBC Nikko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0107263/000010726326000006/wmb-20251231.htm" TargetMode="External"/><Relationship Id="rId4" Type="http://schemas.openxmlformats.org/officeDocument/2006/relationships/hyperlink" Target="http://www.sec.gov/Archives/edgar/data/../../../ix?doc=/Archives/edgar/data/0000107263/000010726326000017/wmb-20260331.htm" TargetMode="External"/><Relationship Id="rId5" Type="http://schemas.openxmlformats.org/officeDocument/2006/relationships/hyperlink" Target="http://www.sec.gov/Archives/edgar/data/../../../ix?doc=/Archives/edgar/data/0000107263/000010726326000026/wmb-20260630.htm" TargetMode="External"/><Relationship Id="rId6" Type="http://schemas.openxmlformats.org/officeDocument/2006/relationships/hyperlink" Target="http://www.sec.gov/Archives/edgar/data/../../../ix?doc=/Archives/edgar/data/0000107263/000119312526112643/wmb-20260317.htm" TargetMode="External"/><Relationship Id="rId7" Type="http://schemas.openxmlformats.org/officeDocument/2006/relationships/hyperlink" Target="http://www.sec.gov/Archives/edgar/data/../../../ix?doc=/Archives/edgar/data/0000107263/000119312526007085/d56301d8k.htm" TargetMode="External"/><Relationship Id="rId8" Type="http://schemas.openxmlformats.org/officeDocument/2006/relationships/hyperlink" Target="http://www.sec.gov/Archives/edgar/data/../../../ix?doc=/Archives/edgar/data/0000107263/000119312526007722/d33935d8k.htm" TargetMode="External"/><Relationship Id="rId9" Type="http://schemas.openxmlformats.org/officeDocument/2006/relationships/hyperlink" Target="http://www.sec.gov/Archives/edgar/data/../../../ix?doc=/Archives/edgar/data/0000107263/000010726326000008/wmb-20260326.htm" TargetMode="External"/><Relationship Id="rId10" Type="http://schemas.openxmlformats.org/officeDocument/2006/relationships/hyperlink" Target="http://www.sec.gov/Archives/edgar/data/../../../ix?doc=/Archives/edgar/data/0000107263/000010726326000013/wmb-20260504.htm" TargetMode="External"/><Relationship Id="rId11" Type="http://schemas.openxmlformats.org/officeDocument/2006/relationships/hyperlink" Target="http://www.sec.gov/Archives/edgar/data/../../../ix?doc=/Archives/edgar/data/0000107263/000119312526232714/d227957d8k.htm" TargetMode="External"/><Relationship Id="rId12" Type="http://schemas.openxmlformats.org/officeDocument/2006/relationships/hyperlink" Target="http://www.sec.gov/Archives/edgar/data/../../../ix?doc=/Archives/edgar/data/0000107263/000010726326000020/wmb-20260701.htm" TargetMode="External"/><Relationship Id="rId13" Type="http://schemas.openxmlformats.org/officeDocument/2006/relationships/hyperlink" Target="http://www.sec.gov/Archives/edgar/data/../../../ix?doc=/Archives/edgar/data/107263/000010726326000028/wmb-20260821.htm" TargetMode="External"/><Relationship Id="rId14" Type="http://schemas.openxmlformats.org/officeDocument/2006/relationships/hyperlink" Target="http://www.sec.gov/Archives/edgar/data/../../../ix?doc=/Archives/edgar/data/107263/000119312526381926/d111572d8k.htm" TargetMode="External"/><Relationship Id="rId15" Type="http://schemas.openxmlformats.org/officeDocument/2006/relationships/image" Target="media/image2.jpeg"/><Relationship Id="rId16" Type="http://schemas.openxmlformats.org/officeDocument/2006/relationships/hyperlink" Target="http://www.sec.gov/Archives/edgar/data/../../../ix?doc=/Archives/edgar/data/107263/000010726324000019/wmb-20231231.htm" TargetMode="External"/><Relationship Id="rId17" Type="http://schemas.openxmlformats.org/officeDocument/2006/relationships/hyperlink" Target="http://www.sec.gov/Archives/edgar/data/../../../ix?doc=/Archives/edgar/data/107263/000119312524041468/d538932dpre14a.htm" TargetMode="External"/><Relationship Id="rId18" Type="http://schemas.openxmlformats.org/officeDocument/2006/relationships/hyperlink" Target="http://www.sec.gov/Archives/edgar/data/../../../ix?doc=/Archives/edgar/data/107263/000119312524002923/d668036d8k.htm" TargetMode="External"/><Relationship Id="rId19" Type="http://schemas.openxmlformats.org/officeDocument/2006/relationships/hyperlink" Target="http://www.sec.gov/Archives/edgar/data/../../../ix?doc=/Archives/edgar/data/107263/000119312524003389/d697925d8k.htm" TargetMode="External"/><Relationship Id="rId20" Type="http://schemas.openxmlformats.org/officeDocument/2006/relationships/hyperlink" Target="http://www.sec.gov/Archives/edgar/data/107263/000119312518219725/d522727d8k.htm" TargetMode="External"/><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81</Pages>
  <Words>40270</Words>
  <Characters>210460</Characters>
  <CharactersWithSpaces>252845</CharactersWithSpaces>
  <Paragraphs>2955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