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1572d8k.htm"/>
      <w:bookmarkStart w:id="1" w:name="ksd11157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September 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The Williams Companies,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1-4174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73-0569878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3935"/>
        <w:gridCol w:w="60"/>
        <w:gridCol w:w="119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One Williams Center</w:t>
              <w:br/>
              <w:t>Tulsa, Oklahoma</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74172-0172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800-945-5426 (800-WILLIAMS)</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center"/>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30" w:type="dxa"/>
        <w:jc w:val="left"/>
        <w:tblInd w:w="0" w:type="dxa"/>
        <w:tblLayout w:type="fixed"/>
        <w:tblCellMar>
          <w:top w:w="0" w:type="dxa"/>
          <w:left w:w="0" w:type="dxa"/>
          <w:bottom w:w="0" w:type="dxa"/>
          <w:right w:w="0" w:type="dxa"/>
        </w:tblCellMar>
      </w:tblPr>
      <w:tblGrid>
        <w:gridCol w:w="3110"/>
        <w:gridCol w:w="60"/>
        <w:gridCol w:w="740"/>
        <w:gridCol w:w="60"/>
        <w:gridCol w:w="266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10" w:type="dxa"/>
            <w:tcBorders/>
            <w:vAlign w:val="center"/>
          </w:tcPr>
          <w:p>
            <w:pPr>
              <w:pStyle w:val="TableContents"/>
              <w:bidi w:val="0"/>
              <w:spacing w:before="0" w:after="283"/>
              <w:jc w:val="center"/>
              <w:rPr/>
            </w:pPr>
            <w:r>
              <w:rPr/>
              <w:t>Common Stock, $1.00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WMB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3, 2026, The Williams Companies, Inc. (the “Company”) filed a prospectus supplement to the Company’s existing effective shelf registration statement on Form S-3 (File No. 333-277232) registering the resale by the selling securityholders named therein of up to 26,874,496 shares of the Company’s common stock, par value $1.00 per share (the “Shares”),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A copy of the opinion regarding the validity of the Shares is attached hereto as Exhibit 5.1 and incorporated herein by reference. </w:t>
      </w:r>
      <w:r>
        <w:br w:type="page"/>
      </w:r>
    </w:p>
    <w:p>
      <w:pPr>
        <w:pStyle w:val="HorizontalLine"/>
        <w:bidi w:val="0"/>
        <w:jc w:val="left"/>
        <w:rPr/>
      </w:pPr>
      <w:r>
        <w:rPr/>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11572dex51.htm">
              <w:r>
                <w:rPr>
                  <w:rStyle w:val="InternetLink"/>
                </w:rPr>
                <w:t xml:space="preserve">Opinion of Davis Polk &amp; Wardwell LLP.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11572dex51.htm">
              <w:r>
                <w:rPr>
                  <w:rStyle w:val="InternetLink"/>
                </w:rPr>
                <w:t>Consent of Davis Polk &amp; Wardwell LLP (contained in its opinion filed as Exhibit 5.1 and incorporated herein by reference).</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069" w:type="dxa"/>
        <w:jc w:val="left"/>
        <w:tblInd w:w="0" w:type="dxa"/>
        <w:tblLayout w:type="fixed"/>
        <w:tblCellMar>
          <w:top w:w="0" w:type="dxa"/>
          <w:left w:w="0" w:type="dxa"/>
          <w:bottom w:w="0" w:type="dxa"/>
          <w:right w:w="0" w:type="dxa"/>
        </w:tblCellMar>
      </w:tblPr>
      <w:tblGrid>
        <w:gridCol w:w="785"/>
        <w:gridCol w:w="1241"/>
        <w:gridCol w:w="483"/>
        <w:gridCol w:w="60"/>
        <w:gridCol w:w="365"/>
        <w:gridCol w:w="60"/>
        <w:gridCol w:w="5075"/>
      </w:tblGrid>
      <w:tr>
        <w:trPr/>
        <w:tc>
          <w:tcPr>
            <w:tcW w:w="78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pPr>
            <w:r>
              <w:rPr/>
              <w:t>Dated: September 3, 2026</w:t>
            </w:r>
          </w:p>
        </w:tc>
        <w:tc>
          <w:tcPr>
            <w:tcW w:w="60" w:type="dxa"/>
            <w:tcBorders/>
            <w:vAlign w:val="center"/>
          </w:tcPr>
          <w:p>
            <w:pPr>
              <w:pStyle w:val="TableContents"/>
              <w:bidi w:val="0"/>
              <w:spacing w:before="0" w:after="283"/>
              <w:jc w:val="left"/>
              <w:rPr/>
            </w:pPr>
            <w:r>
              <w:rPr/>
              <w:t> </w:t>
            </w:r>
          </w:p>
        </w:tc>
        <w:tc>
          <w:tcPr>
            <w:tcW w:w="5500" w:type="dxa"/>
            <w:gridSpan w:val="3"/>
            <w:tcBorders/>
            <w:vAlign w:val="center"/>
          </w:tcPr>
          <w:p>
            <w:pPr>
              <w:pStyle w:val="TableContents"/>
              <w:bidi w:val="0"/>
              <w:spacing w:before="0" w:after="283"/>
              <w:jc w:val="left"/>
              <w:rPr/>
            </w:pPr>
            <w:r>
              <w:rPr/>
              <w:t>THE WILLIAMS COMPANIES, INC.</w:t>
            </w:r>
          </w:p>
        </w:tc>
      </w:tr>
      <w:tr>
        <w:trPr/>
        <w:tc>
          <w:tcPr>
            <w:tcW w:w="78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00" w:type="dxa"/>
            <w:gridSpan w:val="3"/>
            <w:tcBorders/>
            <w:vAlign w:val="center"/>
          </w:tcPr>
          <w:p>
            <w:pPr>
              <w:pStyle w:val="TableContents"/>
              <w:bidi w:val="0"/>
              <w:spacing w:before="0" w:after="283"/>
              <w:jc w:val="left"/>
              <w:rPr/>
            </w:pPr>
            <w:r>
              <w:rPr/>
              <w:t>(Registrant)</w:t>
            </w:r>
          </w:p>
        </w:tc>
      </w:tr>
      <w:tr>
        <w:trPr/>
        <w:tc>
          <w:tcPr>
            <w:tcW w:w="785" w:type="dxa"/>
            <w:tcBorders/>
            <w:vAlign w:val="center"/>
          </w:tcPr>
          <w:p>
            <w:pPr>
              <w:pStyle w:val="TableContents"/>
              <w:bidi w:val="0"/>
              <w:spacing w:before="0" w:after="283"/>
              <w:jc w:val="left"/>
              <w:rPr>
                <w:sz w:val="4"/>
                <w:szCs w:val="4"/>
              </w:rPr>
            </w:pPr>
            <w:r>
              <w:rPr>
                <w:sz w:val="4"/>
                <w:szCs w:val="4"/>
              </w:rPr>
            </w:r>
          </w:p>
        </w:tc>
        <w:tc>
          <w:tcPr>
            <w:tcW w:w="1724"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D. PORTER</w:t>
            </w:r>
          </w:p>
        </w:tc>
      </w:tr>
      <w:tr>
        <w:trPr/>
        <w:tc>
          <w:tcPr>
            <w:tcW w:w="78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John D. Porter</w:t>
            </w:r>
          </w:p>
        </w:tc>
      </w:tr>
      <w:tr>
        <w:trPr/>
        <w:tc>
          <w:tcPr>
            <w:tcW w:w="78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r>
        <w:trPr/>
        <w:tc>
          <w:tcPr>
            <w:tcW w:w="78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(Principal Financial Officer)</w:t>
            </w:r>
          </w:p>
        </w:tc>
      </w:tr>
    </w:tbl>
    <w:p>
      <w:pPr>
        <w:pStyle w:val="TextBody"/>
        <w:bidi w:val="0"/>
        <w:spacing w:before="0" w:after="0"/>
        <w:jc w:val="right"/>
        <w:rPr>
          <w:rFonts w:ascii="Times New Roman" w:hAnsi="Times New Roman"/>
          <w:b/>
          <w:sz w:val="20"/>
        </w:rPr>
      </w:pPr>
      <w:bookmarkStart w:id="2" w:name="d111572dex51.htm"/>
      <w:bookmarkStart w:id="3" w:name="ksd111572dex51"/>
      <w:bookmarkEnd w:id="2"/>
      <w:bookmarkEnd w:id="3"/>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95"/>
        <w:gridCol w:w="123"/>
        <w:gridCol w:w="8287"/>
      </w:tblGrid>
      <w:tr>
        <w:trPr/>
        <w:tc>
          <w:tcPr>
            <w:tcW w:w="179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287" w:type="dxa"/>
            <w:tcBorders/>
            <w:vAlign w:val="center"/>
          </w:tcPr>
          <w:p>
            <w:pPr>
              <w:pStyle w:val="TableContents"/>
              <w:bidi w:val="0"/>
              <w:spacing w:before="0" w:after="283"/>
              <w:jc w:val="left"/>
              <w:rPr>
                <w:sz w:val="4"/>
                <w:szCs w:val="4"/>
              </w:rPr>
            </w:pPr>
            <w:r>
              <w:rPr>
                <w:sz w:val="4"/>
                <w:szCs w:val="4"/>
              </w:rPr>
            </w:r>
          </w:p>
        </w:tc>
      </w:tr>
      <w:tr>
        <w:trPr/>
        <w:tc>
          <w:tcPr>
            <w:tcW w:w="1795" w:type="dxa"/>
            <w:tcBorders/>
          </w:tcPr>
          <w:p>
            <w:pPr>
              <w:pStyle w:val="TableContents"/>
              <w:bidi w:val="0"/>
              <w:spacing w:before="0" w:after="283"/>
              <w:jc w:val="left"/>
              <w:rPr/>
            </w:pPr>
            <w:r>
              <w:rPr/>
              <w:drawing>
                <wp:inline distT="0" distB="0" distL="0" distR="0">
                  <wp:extent cx="1000125" cy="190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0125" cy="190500"/>
                          </a:xfrm>
                          <a:prstGeom prst="rect">
                            <a:avLst/>
                          </a:prstGeom>
                        </pic:spPr>
                      </pic:pic>
                    </a:graphicData>
                  </a:graphic>
                </wp:inline>
              </w:drawing>
            </w:r>
            <w:r>
              <w:rPr/>
              <w:t xml:space="preserve"> </w:t>
            </w:r>
          </w:p>
        </w:tc>
        <w:tc>
          <w:tcPr>
            <w:tcW w:w="123" w:type="dxa"/>
            <w:tcBorders/>
            <w:vAlign w:val="bottom"/>
          </w:tcPr>
          <w:p>
            <w:pPr>
              <w:pStyle w:val="TableContents"/>
              <w:bidi w:val="0"/>
              <w:spacing w:before="0" w:after="283"/>
              <w:jc w:val="left"/>
              <w:rPr/>
            </w:pPr>
            <w:r>
              <w:rPr/>
              <w:t>  </w:t>
            </w:r>
          </w:p>
        </w:tc>
        <w:tc>
          <w:tcPr>
            <w:tcW w:w="8287" w:type="dxa"/>
            <w:tcBorders/>
          </w:tcPr>
          <w:p>
            <w:pPr>
              <w:pStyle w:val="TableContents"/>
              <w:bidi w:val="0"/>
              <w:spacing w:before="0" w:after="0"/>
              <w:jc w:val="left"/>
              <w:rPr>
                <w:rFonts w:ascii="Times New Roman" w:hAnsi="Times New Roman"/>
                <w:sz w:val="20"/>
              </w:rPr>
            </w:pPr>
            <w:r>
              <w:rPr>
                <w:rFonts w:ascii="Times New Roman" w:hAnsi="Times New Roman"/>
                <w:sz w:val="20"/>
              </w:rPr>
              <w:t>Davis Polk &amp; Wardwell LLP</w:t>
            </w:r>
          </w:p>
          <w:p>
            <w:pPr>
              <w:pStyle w:val="TableContents"/>
              <w:bidi w:val="0"/>
              <w:spacing w:before="0" w:after="0"/>
              <w:jc w:val="left"/>
              <w:rPr>
                <w:rFonts w:ascii="Times New Roman" w:hAnsi="Times New Roman"/>
                <w:sz w:val="20"/>
              </w:rPr>
            </w:pPr>
            <w:r>
              <w:rPr>
                <w:rFonts w:ascii="Times New Roman" w:hAnsi="Times New Roman"/>
                <w:sz w:val="20"/>
              </w:rPr>
              <w:t>450 Lexington Avenue</w:t>
            </w:r>
          </w:p>
          <w:p>
            <w:pPr>
              <w:pStyle w:val="TableContents"/>
              <w:bidi w:val="0"/>
              <w:spacing w:before="0" w:after="0"/>
              <w:jc w:val="left"/>
              <w:rPr>
                <w:rFonts w:ascii="Times New Roman" w:hAnsi="Times New Roman"/>
                <w:sz w:val="20"/>
              </w:rPr>
            </w:pPr>
            <w:r>
              <w:rPr>
                <w:rFonts w:ascii="Times New Roman" w:hAnsi="Times New Roman"/>
                <w:sz w:val="20"/>
              </w:rPr>
              <w:t>New York, NY 10017</w:t>
            </w:r>
          </w:p>
          <w:p>
            <w:pPr>
              <w:pStyle w:val="TableContents"/>
              <w:bidi w:val="0"/>
              <w:spacing w:before="0" w:after="20"/>
              <w:jc w:val="left"/>
              <w:rPr>
                <w:rFonts w:ascii="Times New Roman" w:hAnsi="Times New Roman"/>
                <w:sz w:val="20"/>
              </w:rPr>
            </w:pPr>
            <w:r>
              <w:rPr>
                <w:rFonts w:ascii="Times New Roman" w:hAnsi="Times New Roman"/>
                <w:sz w:val="20"/>
              </w:rPr>
              <w:t>davispolk.com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September 3, 2026 </w:t>
      </w:r>
    </w:p>
    <w:p>
      <w:pPr>
        <w:pStyle w:val="TextBody"/>
        <w:bidi w:val="0"/>
        <w:spacing w:before="240" w:after="0"/>
        <w:jc w:val="left"/>
        <w:rPr>
          <w:rFonts w:ascii="Times New Roman" w:hAnsi="Times New Roman"/>
          <w:sz w:val="20"/>
        </w:rPr>
      </w:pPr>
      <w:r>
        <w:rPr>
          <w:rFonts w:ascii="Times New Roman" w:hAnsi="Times New Roman"/>
          <w:sz w:val="20"/>
        </w:rPr>
        <w:t xml:space="preserve">The Williams Companies, Inc. </w:t>
      </w:r>
    </w:p>
    <w:p>
      <w:pPr>
        <w:pStyle w:val="TextBody"/>
        <w:bidi w:val="0"/>
        <w:spacing w:before="0" w:after="0"/>
        <w:jc w:val="left"/>
        <w:rPr>
          <w:rFonts w:ascii="Times New Roman" w:hAnsi="Times New Roman"/>
          <w:sz w:val="20"/>
        </w:rPr>
      </w:pPr>
      <w:r>
        <w:rPr>
          <w:rFonts w:ascii="Times New Roman" w:hAnsi="Times New Roman"/>
          <w:sz w:val="20"/>
        </w:rPr>
        <w:t xml:space="preserve">One Williams Center </w:t>
      </w:r>
    </w:p>
    <w:p>
      <w:pPr>
        <w:pStyle w:val="TextBody"/>
        <w:bidi w:val="0"/>
        <w:spacing w:before="0" w:after="0"/>
        <w:jc w:val="left"/>
        <w:rPr>
          <w:rFonts w:ascii="Times New Roman" w:hAnsi="Times New Roman"/>
          <w:sz w:val="20"/>
        </w:rPr>
      </w:pPr>
      <w:r>
        <w:rPr>
          <w:rFonts w:ascii="Times New Roman" w:hAnsi="Times New Roman"/>
          <w:sz w:val="20"/>
        </w:rPr>
        <w:t xml:space="preserve">Tulsa, Oklahoma 74172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Williams Companies, Inc. a Delaware corporation (the “</w:t>
      </w:r>
      <w:r>
        <w:rPr>
          <w:rFonts w:ascii="Times New Roman" w:hAnsi="Times New Roman"/>
          <w:b/>
          <w:sz w:val="20"/>
        </w:rPr>
        <w:t>Parent</w:t>
      </w:r>
      <w:r>
        <w:rPr>
          <w:rFonts w:ascii="Times New Roman" w:hAnsi="Times New Roman"/>
          <w:sz w:val="20"/>
        </w:rPr>
        <w:t>”), has filed with the Securities and Exchange Commission a Registration Statement on Form S-3 (File No. 333-277232) (the “</w:t>
      </w:r>
      <w:r>
        <w:rPr>
          <w:rFonts w:ascii="Times New Roman" w:hAnsi="Times New Roman"/>
          <w:b/>
          <w:sz w:val="20"/>
        </w:rPr>
        <w:t>Registration Statement</w:t>
      </w:r>
      <w:r>
        <w:rPr>
          <w:rFonts w:ascii="Times New Roman" w:hAnsi="Times New Roman"/>
          <w:sz w:val="20"/>
        </w:rPr>
        <w:t>”) for the purpose of registering under the Securities Act of 1933, as amended (the “</w:t>
      </w:r>
      <w:r>
        <w:rPr>
          <w:rFonts w:ascii="Times New Roman" w:hAnsi="Times New Roman"/>
          <w:b/>
          <w:sz w:val="20"/>
        </w:rPr>
        <w:t>Securities Act</w:t>
      </w:r>
      <w:r>
        <w:rPr>
          <w:rFonts w:ascii="Times New Roman" w:hAnsi="Times New Roman"/>
          <w:sz w:val="20"/>
        </w:rPr>
        <w:t>”), certain securities, including up to 26,874,496 shares of its common stock, par value $1.00 per share (the “</w:t>
      </w:r>
      <w:r>
        <w:rPr>
          <w:rFonts w:ascii="Times New Roman" w:hAnsi="Times New Roman"/>
          <w:b/>
          <w:sz w:val="20"/>
        </w:rPr>
        <w:t>Common Stock</w:t>
      </w:r>
      <w:r>
        <w:rPr>
          <w:rFonts w:ascii="Times New Roman" w:hAnsi="Times New Roman"/>
          <w:sz w:val="20"/>
        </w:rPr>
        <w:t>”), that may be sold by the selling stockholders named in the Registration Statement (the “</w:t>
      </w:r>
      <w:r>
        <w:rPr>
          <w:rFonts w:ascii="Times New Roman" w:hAnsi="Times New Roman"/>
          <w:b/>
          <w:sz w:val="20"/>
        </w:rPr>
        <w:t>Selling Stockholders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as your counsel, have examined originals or copies of such documents, corporate records, certificates of public officials and other instruments as we have deemed necessary or advisable for the purpose of rendering this opinion.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additional assumptions and qualifications set forth below, we advise you that, in our opinion, the shares of Common Stock proposed to be sold by the Selling Stockholders have been duly authorized and validly issued and are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are members of the Bar of the State of New York and the foregoing opinion is limited to the laws of the State of New York and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a report on Form 8-K to be filed by the Company on the date hereof and its incorporation by reference into the Registration Statement and further consent to the reference to our name under the caption “Legal Matters” in the prospectus supplement, which is a part of the Registration Statement. In giving this consent, we do not admit that we are in the category of persons whose consent is required under Section 7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Davis Polk &amp; Wardwell LLP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937</Words>
  <Characters>5020</Characters>
  <CharactersWithSpaces>5956</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