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732155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688975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2,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Williams Companies, Inc.</w:t>
      </w:r>
    </w:p>
    <w:p>
      <w:pPr>
        <w:spacing w:after="0" w:line="75" w:lineRule="exact"/>
        <w:rPr>
          <w:sz w:val="24"/>
          <w:szCs w:val="24"/>
          <w:color w:val="auto"/>
        </w:rPr>
      </w:pPr>
    </w:p>
    <w:tbl>
      <w:tblPr>
        <w:tblLayout w:type="fixed"/>
        <w:tblInd w:w="820" w:type="dxa"/>
        <w:tblCellMar>
          <w:top w:w="0" w:type="dxa"/>
          <w:left w:w="0" w:type="dxa"/>
          <w:bottom w:w="0" w:type="dxa"/>
          <w:right w:w="0" w:type="dxa"/>
        </w:tblCellMar>
      </w:tblPr>
      <w:tr>
        <w:trPr>
          <w:trHeight w:val="233"/>
        </w:trPr>
        <w:tc>
          <w:tcPr>
            <w:tcW w:w="2880" w:type="dxa"/>
            <w:vAlign w:val="bottom"/>
          </w:tcPr>
          <w:p>
            <w:pPr>
              <w:spacing w:after="0"/>
              <w:rPr>
                <w:sz w:val="20"/>
                <w:szCs w:val="20"/>
                <w:color w:val="auto"/>
              </w:rPr>
            </w:pPr>
          </w:p>
        </w:tc>
        <w:tc>
          <w:tcPr>
            <w:tcW w:w="40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00" w:type="dxa"/>
            <w:vAlign w:val="bottom"/>
          </w:tcPr>
          <w:p>
            <w:pPr>
              <w:spacing w:after="0"/>
              <w:rPr>
                <w:sz w:val="20"/>
                <w:szCs w:val="20"/>
                <w:color w:val="auto"/>
              </w:rPr>
            </w:pPr>
          </w:p>
        </w:tc>
      </w:tr>
      <w:tr>
        <w:trPr>
          <w:trHeight w:val="238"/>
        </w:trPr>
        <w:tc>
          <w:tcPr>
            <w:tcW w:w="28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1-4174</w:t>
            </w:r>
          </w:p>
        </w:tc>
        <w:tc>
          <w:tcPr>
            <w:tcW w:w="23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73-0569878</w:t>
            </w:r>
          </w:p>
        </w:tc>
      </w:tr>
      <w:tr>
        <w:trPr>
          <w:trHeight w:val="225"/>
        </w:trPr>
        <w:tc>
          <w:tcPr>
            <w:tcW w:w="28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0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(Commission</w:t>
            </w:r>
          </w:p>
        </w:tc>
        <w:tc>
          <w:tcPr>
            <w:tcW w:w="23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88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23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28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One Williams Center</w:t>
            </w:r>
          </w:p>
        </w:tc>
        <w:tc>
          <w:tcPr>
            <w:tcW w:w="4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92"/>
        </w:trPr>
        <w:tc>
          <w:tcPr>
            <w:tcW w:w="28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Tulsa, Oklahoma</w:t>
            </w:r>
          </w:p>
        </w:tc>
        <w:tc>
          <w:tcPr>
            <w:tcW w:w="4040" w:type="dxa"/>
            <w:vAlign w:val="bottom"/>
          </w:tcPr>
          <w:p>
            <w:pPr>
              <w:spacing w:after="0"/>
              <w:rPr>
                <w:sz w:val="24"/>
                <w:szCs w:val="24"/>
                <w:color w:val="auto"/>
              </w:rPr>
            </w:pPr>
          </w:p>
        </w:tc>
        <w:tc>
          <w:tcPr>
            <w:tcW w:w="230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74172-0172</w:t>
            </w:r>
          </w:p>
        </w:tc>
      </w:tr>
      <w:tr>
        <w:trPr>
          <w:trHeight w:val="234"/>
        </w:trPr>
        <w:tc>
          <w:tcPr>
            <w:tcW w:w="6920" w:type="dxa"/>
            <w:vAlign w:val="bottom"/>
            <w:gridSpan w:val="2"/>
          </w:tcPr>
          <w:p>
            <w:pPr>
              <w:jc w:val="center"/>
              <w:ind w:right="2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800-945-5426 (800-WILLIAMS)</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9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13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WMB</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0"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320"/>
        <w:spacing w:after="0" w:line="207" w:lineRule="exact"/>
        <w:tabs>
          <w:tab w:leader="none" w:pos="33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0808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 2026, The Williams Companies, Inc. (the "Company") issued a press release announcing its financial results for the quarter ended September 30, 2026. A copy of the press release and accompanying financial highlights and operating statistics and reconciliation schedules are furnished herewith as Exhibit 99.1 and are incorporated herein in their entirety by reference.</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press release and accompanying financial highlights and operating statistics and reconciliation schedules are being furnished pursuant to Item 2.02, Results of Operations and Financial Condition. The information furnished is not deemed "filed" for purposes of Section 18 of the Securities Exchange Act of 1934, as amended, is not subject to the liabilities of that section and is not deemed incorporated by reference in any filing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185" w:lineRule="auto"/>
        <w:framePr w:w="840" w:h="160" w:wrap="auto" w:vAnchor="page" w:hAnchor="page" w:x="580" w:y="137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w:t>
      </w:r>
    </w:p>
    <w:p>
      <w:pPr>
        <w:spacing w:after="0" w:line="185" w:lineRule="auto"/>
        <w:framePr w:w="860" w:h="160" w:wrap="auto" w:vAnchor="page" w:hAnchor="page" w:x="580" w:y="182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None</w:t>
      </w:r>
    </w:p>
    <w:p>
      <w:pPr>
        <w:spacing w:after="0" w:line="185" w:lineRule="auto"/>
        <w:framePr w:w="840" w:h="160" w:wrap="auto" w:vAnchor="page" w:hAnchor="page" w:x="580" w:y="228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None</w:t>
      </w:r>
    </w:p>
    <w:p>
      <w:pPr>
        <w:spacing w:after="0" w:line="185" w:lineRule="auto"/>
        <w:framePr w:w="1100" w:h="160" w:wrap="auto" w:vAnchor="page" w:hAnchor="page" w:x="580" w:y="274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Exhibits.</w:t>
      </w:r>
    </w:p>
    <w:p>
      <w:pPr>
        <w:spacing w:after="0" w:line="196" w:lineRule="auto"/>
        <w:framePr w:w="960" w:h="160" w:wrap="auto" w:vAnchor="page" w:hAnchor="page" w:x="520" w:y="3004"/>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 No.</w:t>
      </w:r>
    </w:p>
    <w:p>
      <w:pPr>
        <w:spacing w:after="0" w:line="185" w:lineRule="auto"/>
        <w:framePr w:w="400" w:h="160" w:wrap="auto" w:vAnchor="page" w:hAnchor="page" w:x="800" w:y="328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99.1</w:t>
      </w:r>
    </w:p>
    <w:p>
      <w:pPr>
        <w:spacing w:after="0" w:line="185" w:lineRule="auto"/>
        <w:framePr w:w="3540" w:h="160" w:wrap="auto" w:vAnchor="page" w:hAnchor="page" w:x="280" w:y="91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40" w:lineRule="exact"/>
        <w:rPr>
          <w:rFonts w:ascii="Times New Roman" w:cs="Times New Roman" w:eastAsia="Times New Roman" w:hAnsi="Times New Roman"/>
          <w:sz w:val="18"/>
          <w:szCs w:val="18"/>
          <w:b w:val="1"/>
          <w:bCs w:val="1"/>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b w:val="1"/>
          <w:bCs w:val="1"/>
          <w:color w:val="auto"/>
        </w:rPr>
      </w:pPr>
    </w:p>
    <w:p>
      <w:pPr>
        <w:ind w:left="1500" w:right="40"/>
        <w:spacing w:after="0" w:line="273" w:lineRule="auto"/>
        <w:rPr>
          <w:sz w:val="20"/>
          <w:szCs w:val="20"/>
          <w:color w:val="auto"/>
        </w:rPr>
      </w:pPr>
      <w:r>
        <w:rPr>
          <w:rFonts w:ascii="Times New Roman" w:cs="Times New Roman" w:eastAsia="Times New Roman" w:hAnsi="Times New Roman"/>
          <w:sz w:val="18"/>
          <w:szCs w:val="18"/>
          <w:u w:val="single" w:color="auto"/>
          <w:color w:val="0000FF"/>
        </w:rPr>
        <w:t>Press release of the Company dated November 2, 2026, publicly announcing the Company's financial results, with Non-GAAP Reconciliations, Financial Highlights, and Operating Statistics, for the quarter ended September 30, 2026.</w:t>
      </w:r>
    </w:p>
    <w:p>
      <w:pPr>
        <w:spacing w:after="0" w:line="56" w:lineRule="exact"/>
        <w:rPr>
          <w:rFonts w:ascii="Times New Roman" w:cs="Times New Roman" w:eastAsia="Times New Roman" w:hAnsi="Times New Roman"/>
          <w:sz w:val="18"/>
          <w:szCs w:val="18"/>
          <w:b w:val="1"/>
          <w:bCs w:val="1"/>
          <w:color w:val="auto"/>
        </w:rPr>
      </w:pPr>
    </w:p>
    <w:p>
      <w:pPr>
        <w:ind w:left="1500" w:right="40" w:hanging="952"/>
        <w:spacing w:after="0"/>
        <w:tabs>
          <w:tab w:leader="none" w:pos="1500"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Cover Page Interactive Data File. The cover page XBRL tags are embedded within the inline XBRL document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91" w:lineRule="exact"/>
        <w:rPr>
          <w:rFonts w:ascii="Times New Roman" w:cs="Times New Roman" w:eastAsia="Times New Roman" w:hAnsi="Times New Roman"/>
          <w:sz w:val="18"/>
          <w:szCs w:val="18"/>
          <w:b w:val="1"/>
          <w:bCs w:val="1"/>
          <w:color w:val="auto"/>
        </w:rPr>
      </w:pPr>
    </w:p>
    <w:p>
      <w:pPr>
        <w:ind w:firstLine="202"/>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rFonts w:ascii="Times New Roman" w:cs="Times New Roman" w:eastAsia="Times New Roman" w:hAnsi="Times New Roman"/>
          <w:sz w:val="18"/>
          <w:szCs w:val="18"/>
          <w:b w:val="1"/>
          <w:bCs w:val="1"/>
          <w:color w:val="auto"/>
        </w:rPr>
      </w:pPr>
    </w:p>
    <w:p>
      <w:pPr>
        <w:ind w:left="67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ILLIAMS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36" w:lineRule="exact"/>
        <w:rPr>
          <w:rFonts w:ascii="Times New Roman" w:cs="Times New Roman" w:eastAsia="Times New Roman" w:hAnsi="Times New Roman"/>
          <w:sz w:val="18"/>
          <w:szCs w:val="18"/>
          <w:b w:val="1"/>
          <w:bCs w:val="1"/>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77" w:lineRule="exact"/>
        <w:rPr>
          <w:rFonts w:ascii="Times New Roman" w:cs="Times New Roman" w:eastAsia="Times New Roman" w:hAnsi="Times New Roman"/>
          <w:sz w:val="18"/>
          <w:szCs w:val="18"/>
          <w:b w:val="1"/>
          <w:bCs w:val="1"/>
          <w:color w:val="auto"/>
        </w:rPr>
      </w:pPr>
    </w:p>
    <w:p>
      <w:pPr>
        <w:ind w:left="740" w:right="3080" w:hanging="6708"/>
        <w:spacing w:after="0" w:line="284" w:lineRule="auto"/>
        <w:tabs>
          <w:tab w:leader="none" w:pos="720" w:val="left"/>
        </w:tabs>
        <w:rPr>
          <w:sz w:val="20"/>
          <w:szCs w:val="20"/>
          <w:color w:val="auto"/>
        </w:rPr>
      </w:pPr>
      <w:r>
        <w:rPr>
          <w:rFonts w:ascii="Times New Roman" w:cs="Times New Roman" w:eastAsia="Times New Roman" w:hAnsi="Times New Roman"/>
          <w:sz w:val="18"/>
          <w:szCs w:val="18"/>
          <w:color w:val="auto"/>
        </w:rPr>
        <w:t>Dated:</w:t>
        <w:tab/>
        <w:t>November 2, 2026 By: /s/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D. P</w:t>
      </w:r>
      <w:r>
        <w:rPr>
          <w:rFonts w:ascii="Times New Roman" w:cs="Times New Roman" w:eastAsia="Times New Roman" w:hAnsi="Times New Roman"/>
          <w:sz w:val="14"/>
          <w:szCs w:val="14"/>
          <w:color w:val="auto"/>
        </w:rPr>
        <w:t>ORTER</w:t>
      </w:r>
      <w:r>
        <w:rPr>
          <w:rFonts w:ascii="Times New Roman" w:cs="Times New Roman" w:eastAsia="Times New Roman" w:hAnsi="Times New Roman"/>
          <w:sz w:val="18"/>
          <w:szCs w:val="18"/>
          <w:color w:val="auto"/>
        </w:rPr>
        <w:t xml:space="preserve"> John D. Porter</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4265295</wp:posOffset>
            </wp:positionH>
            <wp:positionV relativeFrom="paragraph">
              <wp:posOffset>1905</wp:posOffset>
            </wp:positionV>
            <wp:extent cx="284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0" w:lineRule="exact"/>
        <w:rPr>
          <w:rFonts w:ascii="Times New Roman" w:cs="Times New Roman" w:eastAsia="Times New Roman" w:hAnsi="Times New Roman"/>
          <w:sz w:val="18"/>
          <w:szCs w:val="18"/>
          <w:b w:val="1"/>
          <w:bCs w:val="1"/>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521970</wp:posOffset>
            </wp:positionV>
            <wp:extent cx="889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6597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57"/>
          <w:szCs w:val="57"/>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2240"/>
        <w:spacing w:after="0"/>
        <w:rPr>
          <w:sz w:val="20"/>
          <w:szCs w:val="20"/>
          <w:color w:val="auto"/>
        </w:rPr>
      </w:pPr>
      <w:r>
        <w:rPr>
          <w:rFonts w:ascii="Arial" w:cs="Arial" w:eastAsia="Arial" w:hAnsi="Arial"/>
          <w:sz w:val="14"/>
          <w:szCs w:val="14"/>
          <w:color w:val="auto"/>
        </w:rPr>
        <w:t>Williams (NYSE: WMB)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-52705</wp:posOffset>
            </wp:positionV>
            <wp:extent cx="93408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4085" cy="497205"/>
                    </a:xfrm>
                    <a:prstGeom prst="rect">
                      <a:avLst/>
                    </a:prstGeom>
                    <a:noFill/>
                  </pic:spPr>
                </pic:pic>
              </a:graphicData>
            </a:graphic>
          </wp:anchor>
        </w:drawing>
      </w:r>
    </w:p>
    <w:p>
      <w:pPr>
        <w:spacing w:after="0" w:line="22" w:lineRule="exact"/>
        <w:rPr>
          <w:sz w:val="20"/>
          <w:szCs w:val="20"/>
          <w:color w:val="auto"/>
        </w:rPr>
      </w:pPr>
    </w:p>
    <w:p>
      <w:pPr>
        <w:jc w:val="right"/>
        <w:ind w:right="2240"/>
        <w:spacing w:after="0"/>
        <w:rPr>
          <w:sz w:val="20"/>
          <w:szCs w:val="20"/>
          <w:color w:val="auto"/>
        </w:rPr>
      </w:pPr>
      <w:r>
        <w:rPr>
          <w:rFonts w:ascii="Arial" w:cs="Arial" w:eastAsia="Arial" w:hAnsi="Arial"/>
          <w:sz w:val="14"/>
          <w:szCs w:val="14"/>
          <w:color w:val="auto"/>
        </w:rPr>
        <w:t>One Williams Center</w:t>
      </w:r>
    </w:p>
    <w:p>
      <w:pPr>
        <w:spacing w:after="0" w:line="29" w:lineRule="exact"/>
        <w:rPr>
          <w:sz w:val="20"/>
          <w:szCs w:val="20"/>
          <w:color w:val="auto"/>
        </w:rPr>
      </w:pPr>
    </w:p>
    <w:p>
      <w:pPr>
        <w:jc w:val="right"/>
        <w:ind w:right="2240"/>
        <w:spacing w:after="0"/>
        <w:rPr>
          <w:sz w:val="20"/>
          <w:szCs w:val="20"/>
          <w:color w:val="auto"/>
        </w:rPr>
      </w:pPr>
      <w:r>
        <w:rPr>
          <w:rFonts w:ascii="Arial" w:cs="Arial" w:eastAsia="Arial" w:hAnsi="Arial"/>
          <w:sz w:val="14"/>
          <w:szCs w:val="14"/>
          <w:color w:val="auto"/>
        </w:rPr>
        <w:t>Tulsa, OK 74172</w:t>
      </w:r>
    </w:p>
    <w:p>
      <w:pPr>
        <w:spacing w:after="0" w:line="40" w:lineRule="exact"/>
        <w:rPr>
          <w:sz w:val="20"/>
          <w:szCs w:val="20"/>
          <w:color w:val="auto"/>
        </w:rPr>
      </w:pPr>
    </w:p>
    <w:p>
      <w:pPr>
        <w:jc w:val="right"/>
        <w:ind w:right="2240"/>
        <w:spacing w:after="0"/>
        <w:rPr>
          <w:sz w:val="20"/>
          <w:szCs w:val="20"/>
          <w:color w:val="auto"/>
        </w:rPr>
      </w:pPr>
      <w:r>
        <w:rPr>
          <w:rFonts w:ascii="Arial" w:cs="Arial" w:eastAsia="Arial" w:hAnsi="Arial"/>
          <w:sz w:val="14"/>
          <w:szCs w:val="14"/>
          <w:color w:val="auto"/>
        </w:rPr>
        <w:t>800-Williams</w:t>
      </w:r>
    </w:p>
    <w:p>
      <w:pPr>
        <w:spacing w:after="0" w:line="42" w:lineRule="exact"/>
        <w:rPr>
          <w:sz w:val="20"/>
          <w:szCs w:val="20"/>
          <w:color w:val="auto"/>
        </w:rPr>
      </w:pPr>
    </w:p>
    <w:p>
      <w:pPr>
        <w:jc w:val="right"/>
        <w:ind w:right="2240"/>
        <w:spacing w:after="0"/>
        <w:rPr>
          <w:sz w:val="20"/>
          <w:szCs w:val="20"/>
          <w:color w:val="auto"/>
        </w:rPr>
      </w:pPr>
      <w:r>
        <w:rPr>
          <w:rFonts w:ascii="Arial" w:cs="Arial" w:eastAsia="Arial" w:hAnsi="Arial"/>
          <w:sz w:val="14"/>
          <w:szCs w:val="14"/>
          <w:color w:val="auto"/>
        </w:rPr>
        <w:t>www.williams.com</w:t>
      </w:r>
    </w:p>
    <w:p>
      <w:pPr>
        <w:spacing w:after="0" w:line="325" w:lineRule="exact"/>
        <w:rPr>
          <w:sz w:val="20"/>
          <w:szCs w:val="20"/>
          <w:color w:val="auto"/>
        </w:rPr>
      </w:pPr>
    </w:p>
    <w:p>
      <w:pPr>
        <w:sectPr>
          <w:pgSz w:w="11900" w:h="16838" w:orient="portrait"/>
          <w:cols w:equalWidth="0" w:num="2">
            <w:col w:w="6780" w:space="720"/>
            <w:col w:w="3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5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Monday, Nov. 2, 2026</w:t>
            </w:r>
          </w:p>
        </w:tc>
        <w:tc>
          <w:tcPr>
            <w:tcW w:w="26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725"/>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MEDIA CONTACT:</w:t>
            </w:r>
          </w:p>
        </w:tc>
        <w:tc>
          <w:tcPr>
            <w:tcW w:w="2660" w:type="dxa"/>
            <w:vAlign w:val="bottom"/>
          </w:tcPr>
          <w:p>
            <w:pPr>
              <w:ind w:left="240"/>
              <w:spacing w:after="0"/>
              <w:rPr>
                <w:sz w:val="20"/>
                <w:szCs w:val="20"/>
                <w:color w:val="auto"/>
              </w:rPr>
            </w:pPr>
            <w:r>
              <w:rPr>
                <w:rFonts w:ascii="Arial" w:cs="Arial" w:eastAsia="Arial" w:hAnsi="Arial"/>
                <w:sz w:val="18"/>
                <w:szCs w:val="18"/>
                <w:b w:val="1"/>
                <w:bCs w:val="1"/>
                <w:color w:val="auto"/>
              </w:rPr>
              <w:t>INVESTOR CONTACTS:</w:t>
            </w:r>
          </w:p>
        </w:tc>
        <w:tc>
          <w:tcPr>
            <w:tcW w:w="1620" w:type="dxa"/>
            <w:vAlign w:val="bottom"/>
          </w:tcPr>
          <w:p>
            <w:pPr>
              <w:spacing w:after="0"/>
              <w:rPr>
                <w:sz w:val="24"/>
                <w:szCs w:val="24"/>
                <w:color w:val="auto"/>
              </w:rPr>
            </w:pPr>
          </w:p>
        </w:tc>
      </w:tr>
      <w:tr>
        <w:trPr>
          <w:trHeight w:val="181"/>
        </w:trPr>
        <w:tc>
          <w:tcPr>
            <w:tcW w:w="2560" w:type="dxa"/>
            <w:vAlign w:val="bottom"/>
          </w:tcPr>
          <w:p>
            <w:pPr>
              <w:ind w:left="20"/>
              <w:spacing w:after="0" w:line="181" w:lineRule="exact"/>
              <w:rPr>
                <w:sz w:val="20"/>
                <w:szCs w:val="20"/>
                <w:color w:val="auto"/>
              </w:rPr>
            </w:pPr>
            <w:r>
              <w:rPr>
                <w:rFonts w:ascii="Arial" w:cs="Arial" w:eastAsia="Arial" w:hAnsi="Arial"/>
                <w:sz w:val="18"/>
                <w:szCs w:val="18"/>
                <w:color w:val="auto"/>
              </w:rPr>
              <w:t>media@williams.com</w:t>
            </w:r>
          </w:p>
        </w:tc>
        <w:tc>
          <w:tcPr>
            <w:tcW w:w="2660" w:type="dxa"/>
            <w:vAlign w:val="bottom"/>
          </w:tcPr>
          <w:p>
            <w:pPr>
              <w:ind w:left="240"/>
              <w:spacing w:after="0" w:line="181" w:lineRule="exact"/>
              <w:rPr>
                <w:sz w:val="20"/>
                <w:szCs w:val="20"/>
                <w:color w:val="auto"/>
              </w:rPr>
            </w:pPr>
            <w:r>
              <w:rPr>
                <w:rFonts w:ascii="Arial" w:cs="Arial" w:eastAsia="Arial" w:hAnsi="Arial"/>
                <w:sz w:val="18"/>
                <w:szCs w:val="18"/>
                <w:color w:val="auto"/>
              </w:rPr>
              <w:t>Caroline Sardella</w:t>
            </w:r>
          </w:p>
        </w:tc>
        <w:tc>
          <w:tcPr>
            <w:tcW w:w="1620" w:type="dxa"/>
            <w:vAlign w:val="bottom"/>
          </w:tcPr>
          <w:p>
            <w:pPr>
              <w:ind w:left="380"/>
              <w:spacing w:after="0" w:line="181" w:lineRule="exact"/>
              <w:rPr>
                <w:sz w:val="20"/>
                <w:szCs w:val="20"/>
                <w:color w:val="auto"/>
              </w:rPr>
            </w:pPr>
            <w:r>
              <w:rPr>
                <w:rFonts w:ascii="Arial" w:cs="Arial" w:eastAsia="Arial" w:hAnsi="Arial"/>
                <w:sz w:val="18"/>
                <w:szCs w:val="18"/>
                <w:color w:val="auto"/>
              </w:rPr>
              <w:t>Ashley Mitchell</w:t>
            </w:r>
          </w:p>
        </w:tc>
      </w:tr>
      <w:tr>
        <w:trPr>
          <w:trHeight w:val="239"/>
        </w:trPr>
        <w:tc>
          <w:tcPr>
            <w:tcW w:w="2560" w:type="dxa"/>
            <w:vAlign w:val="bottom"/>
          </w:tcPr>
          <w:p>
            <w:pPr>
              <w:ind w:left="20"/>
              <w:spacing w:after="0"/>
              <w:rPr>
                <w:sz w:val="20"/>
                <w:szCs w:val="20"/>
                <w:color w:val="auto"/>
              </w:rPr>
            </w:pPr>
            <w:r>
              <w:rPr>
                <w:rFonts w:ascii="Arial" w:cs="Arial" w:eastAsia="Arial" w:hAnsi="Arial"/>
                <w:sz w:val="18"/>
                <w:szCs w:val="18"/>
                <w:color w:val="auto"/>
              </w:rPr>
              <w:t>(800) 945-8723</w:t>
            </w:r>
          </w:p>
        </w:tc>
        <w:tc>
          <w:tcPr>
            <w:tcW w:w="2660" w:type="dxa"/>
            <w:vAlign w:val="bottom"/>
          </w:tcPr>
          <w:p>
            <w:pPr>
              <w:ind w:left="240"/>
              <w:spacing w:after="0"/>
              <w:rPr>
                <w:sz w:val="20"/>
                <w:szCs w:val="20"/>
                <w:color w:val="auto"/>
              </w:rPr>
            </w:pPr>
            <w:r>
              <w:rPr>
                <w:rFonts w:ascii="Arial" w:cs="Arial" w:eastAsia="Arial" w:hAnsi="Arial"/>
                <w:sz w:val="18"/>
                <w:szCs w:val="18"/>
                <w:color w:val="auto"/>
              </w:rPr>
              <w:t>(918) 230-9992</w:t>
            </w:r>
          </w:p>
        </w:tc>
        <w:tc>
          <w:tcPr>
            <w:tcW w:w="1620" w:type="dxa"/>
            <w:vAlign w:val="bottom"/>
          </w:tcPr>
          <w:p>
            <w:pPr>
              <w:ind w:left="380"/>
              <w:spacing w:after="0"/>
              <w:rPr>
                <w:sz w:val="20"/>
                <w:szCs w:val="20"/>
                <w:color w:val="auto"/>
              </w:rPr>
            </w:pPr>
            <w:r>
              <w:rPr>
                <w:rFonts w:ascii="Arial" w:cs="Arial" w:eastAsia="Arial" w:hAnsi="Arial"/>
                <w:sz w:val="18"/>
                <w:szCs w:val="18"/>
                <w:color w:val="auto"/>
                <w:w w:val="99"/>
              </w:rPr>
              <w:t>(918) 240-6082</w:t>
            </w: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Williams Delivers Strong Third-Quarter 2026 Results</w:t>
      </w:r>
    </w:p>
    <w:p>
      <w:pPr>
        <w:spacing w:after="0" w:line="287" w:lineRule="exact"/>
        <w:rPr>
          <w:sz w:val="20"/>
          <w:szCs w:val="20"/>
          <w:color w:val="auto"/>
        </w:rPr>
      </w:pPr>
    </w:p>
    <w:p>
      <w:pPr>
        <w:ind w:right="340"/>
        <w:spacing w:after="0" w:line="300" w:lineRule="auto"/>
        <w:rPr>
          <w:sz w:val="20"/>
          <w:szCs w:val="20"/>
          <w:color w:val="auto"/>
        </w:rPr>
      </w:pPr>
      <w:r>
        <w:rPr>
          <w:rFonts w:ascii="Arial" w:cs="Arial" w:eastAsia="Arial" w:hAnsi="Arial"/>
          <w:sz w:val="20"/>
          <w:szCs w:val="20"/>
          <w:color w:val="auto"/>
        </w:rPr>
        <w:t>TULSA, Okla. – Williams (NYSE: WMB) today announced its unaudited financial results for the three and nine months ended Sept. 30, 2026.</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performance demonstrates industry-leading growth position</w:t>
      </w:r>
    </w:p>
    <w:p>
      <w:pPr>
        <w:spacing w:after="0" w:line="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GAAP net income: $699 million, or $0.56 per diluted share (EPS), up 8% and 6%, respectively, vs. 3Q 2025</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net income: $663 million, or $0.54 per diluted share (Adj. EPS), up 10% vs. 3Q 2025</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$2.039 billion, up $119 million or 6% vs. 3Q 2025</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Cash flow from operations (CFFO): $1.505 billion, up $66 million or 5% vs. 3Q 2025</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Available funds from operations (AFFO): $1.589 billion, up $140 million or 10% vs. 3Q 2025</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Dividend coverage ratio: 2.42x (AFFO basis)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Tracking toward the upper half of 2026 Adjusted EBITDA guidance range of $8.3 billion to $8.5 billion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Expanding growth runway and advancing key milestones</w:t>
      </w:r>
    </w:p>
    <w:p>
      <w:pPr>
        <w:spacing w:after="0" w:line="33" w:lineRule="exact"/>
        <w:rPr>
          <w:sz w:val="20"/>
          <w:szCs w:val="20"/>
          <w:color w:val="auto"/>
        </w:rPr>
      </w:pPr>
    </w:p>
    <w:p>
      <w:pPr>
        <w:ind w:left="660" w:right="840" w:hanging="328"/>
        <w:spacing w:after="0" w:line="25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Closed acquisition of Momentum Midstream, enhancing our premier Haynesville position to serve growing LNG, industrial and power demand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Announced a 9.4 Bcf storage expansion at Clay Basin</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Announced Transco's 150+ MMcf/d Southeast Supply Enhancement II</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Upsized Transco's Garden Connector capacity by 84 MMcf/d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Expanded pipeline capacity by 413 MMcf/d across four projects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Socrates' Plato North Power project on track for in-service by mid-November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Perspective</w:t>
      </w:r>
    </w:p>
    <w:p>
      <w:pPr>
        <w:spacing w:after="0"/>
        <w:rPr>
          <w:sz w:val="20"/>
          <w:szCs w:val="20"/>
          <w:color w:val="auto"/>
        </w:rPr>
      </w:pPr>
      <w:r>
        <w:rPr>
          <w:rFonts w:ascii="Arial" w:cs="Arial" w:eastAsia="Arial" w:hAnsi="Arial"/>
          <w:sz w:val="20"/>
          <w:szCs w:val="20"/>
          <w:color w:val="auto"/>
        </w:rPr>
        <w:t>Chad Zamarin, president and chief executive officer, made the following comments:</w:t>
      </w:r>
    </w:p>
    <w:p>
      <w:pPr>
        <w:spacing w:after="0" w:line="22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“Williams delivered another strong quarter as our teams continued to execute across a growing portfolio of critical energy infrastructure projects. Year-to-date Adjusted EBITDA increased 9% year over year to $6.2 billion, reflecting the strength of our natural gas transmission, storage and gathering businesses and keeping us on track toward the upper half of our 2026 guidance range. Our performance to date, combined with a growing slate of projects set to come online, gives us strong confidence in our ability to achieve our long-term 11% plus Adjusted EBITDA compound annual growth rate through 2030.”</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1" w:right="339" w:bottom="1440" w:gutter="0" w:footer="0" w:header="0"/>
          <w:type w:val="continuous"/>
        </w:sectPr>
      </w:pPr>
    </w:p>
    <w:bookmarkStart w:id="4" w:name="page5"/>
    <w:bookmarkEnd w:id="4"/>
    <w:p>
      <w:pPr>
        <w:ind w:right="140"/>
        <w:spacing w:after="0" w:line="242" w:lineRule="auto"/>
        <w:rPr>
          <w:sz w:val="20"/>
          <w:szCs w:val="20"/>
          <w:color w:val="auto"/>
        </w:rPr>
      </w:pPr>
      <w:r>
        <w:rPr>
          <w:rFonts w:ascii="Arial" w:cs="Arial" w:eastAsia="Arial" w:hAnsi="Arial"/>
          <w:sz w:val="20"/>
          <w:szCs w:val="20"/>
          <w:color w:val="auto"/>
        </w:rPr>
        <w:t>“I am especially proud of our team's exceptional execution to bring Socrates fully online ahead of schedule. As the first of many power projects, Socrates demonstrates our ability to deliver fast, reliable and scalable solutions for customers facing rapidly growing power demand, and we are actively working to commercialize additional power projects, which we expect to announce soon. We also closed the Momentum Midstream acquisition ahead of schedule, enhancing our premier footprint in the Haynesville — America’s fastest-growing natural gas basin — which strengthens Williams' ability to serve growing LNG, power and industrial demand. Across our broader portfolio, we announced new Transco projects and expansions, advanced a storage expansion at Clay Basin, and placed four pipeline projects into service.”</w:t>
      </w:r>
    </w:p>
    <w:p>
      <w:pPr>
        <w:spacing w:after="0" w:line="213" w:lineRule="exact"/>
        <w:rPr>
          <w:sz w:val="20"/>
          <w:szCs w:val="20"/>
          <w:color w:val="auto"/>
        </w:rPr>
      </w:pPr>
    </w:p>
    <w:p>
      <w:pPr>
        <w:ind w:right="500"/>
        <w:spacing w:after="0" w:line="255" w:lineRule="auto"/>
        <w:rPr>
          <w:sz w:val="20"/>
          <w:szCs w:val="20"/>
          <w:color w:val="auto"/>
        </w:rPr>
      </w:pPr>
      <w:r>
        <w:rPr>
          <w:rFonts w:ascii="Arial" w:cs="Arial" w:eastAsia="Arial" w:hAnsi="Arial"/>
          <w:sz w:val="20"/>
          <w:szCs w:val="20"/>
          <w:color w:val="auto"/>
        </w:rPr>
        <w:t>Zamarin added, “Together, these accomplishments underscore our ability to execute across multiple growth platforms while maintaining safe and reliable operations. With growing demand from LNG, power generation and industrial development, Williams is well positioned to deliver durable, long-term value for our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0575" cy="381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381508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Williams Summary Financial Information</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3Q</w:t>
            </w:r>
          </w:p>
        </w:tc>
        <w:tc>
          <w:tcPr>
            <w:tcW w:w="84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CACAC"/>
              <w:right w:val="single" w:sz="8" w:color="auto"/>
            </w:tcBorders>
            <w:shd w:val="clear" w:color="auto" w:fill="ACACAC"/>
          </w:tcPr>
          <w:p>
            <w:pPr>
              <w:spacing w:after="0"/>
              <w:rPr>
                <w:sz w:val="21"/>
                <w:szCs w:val="21"/>
                <w:color w:val="auto"/>
              </w:rPr>
            </w:pPr>
          </w:p>
        </w:tc>
        <w:tc>
          <w:tcPr>
            <w:tcW w:w="2100" w:type="dxa"/>
            <w:vAlign w:val="bottom"/>
            <w:tcBorders>
              <w:top w:val="single" w:sz="8" w:color="auto"/>
              <w:bottom w:val="single" w:sz="8" w:color="auto"/>
              <w:right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Year to Date</w:t>
            </w:r>
          </w:p>
        </w:tc>
        <w:tc>
          <w:tcPr>
            <w:tcW w:w="0" w:type="dxa"/>
            <w:vAlign w:val="bottom"/>
          </w:tcPr>
          <w:p>
            <w:pPr>
              <w:spacing w:after="0"/>
              <w:rPr>
                <w:sz w:val="1"/>
                <w:szCs w:val="1"/>
                <w:color w:val="auto"/>
              </w:rPr>
            </w:pPr>
          </w:p>
        </w:tc>
      </w:tr>
      <w:tr>
        <w:trPr>
          <w:trHeight w:val="169"/>
        </w:trPr>
        <w:tc>
          <w:tcPr>
            <w:tcW w:w="6940" w:type="dxa"/>
            <w:vAlign w:val="bottom"/>
          </w:tcPr>
          <w:p>
            <w:pPr>
              <w:ind w:left="40"/>
              <w:spacing w:after="0" w:line="169" w:lineRule="exact"/>
              <w:rPr>
                <w:sz w:val="20"/>
                <w:szCs w:val="20"/>
                <w:color w:val="auto"/>
              </w:rPr>
            </w:pPr>
            <w:r>
              <w:rPr>
                <w:rFonts w:ascii="Arial" w:cs="Arial" w:eastAsia="Arial" w:hAnsi="Arial"/>
                <w:sz w:val="18"/>
                <w:szCs w:val="18"/>
                <w:i w:val="1"/>
                <w:iCs w:val="1"/>
                <w:color w:val="auto"/>
              </w:rPr>
              <w:t>Amounts in millions, except ratios and per-share amounts. Per share amounts are</w:t>
            </w:r>
          </w:p>
        </w:tc>
        <w:tc>
          <w:tcPr>
            <w:tcW w:w="12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shd w:val="clear" w:color="auto" w:fill="ACACAC"/>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40" w:type="dxa"/>
            <w:vAlign w:val="bottom"/>
          </w:tcPr>
          <w:p>
            <w:pPr>
              <w:ind w:left="40"/>
              <w:spacing w:after="0" w:line="176" w:lineRule="exact"/>
              <w:rPr>
                <w:sz w:val="20"/>
                <w:szCs w:val="20"/>
                <w:color w:val="auto"/>
              </w:rPr>
            </w:pPr>
            <w:r>
              <w:rPr>
                <w:rFonts w:ascii="Arial" w:cs="Arial" w:eastAsia="Arial" w:hAnsi="Arial"/>
                <w:sz w:val="18"/>
                <w:szCs w:val="18"/>
                <w:i w:val="1"/>
                <w:iCs w:val="1"/>
                <w:color w:val="auto"/>
              </w:rPr>
              <w:t>reported on a diluted basis. Net income amounts are from continuing operations</w:t>
            </w:r>
          </w:p>
        </w:tc>
        <w:tc>
          <w:tcPr>
            <w:tcW w:w="1260" w:type="dxa"/>
            <w:vAlign w:val="bottom"/>
            <w:vMerge w:val="restart"/>
          </w:tcPr>
          <w:p>
            <w:pPr>
              <w:jc w:val="right"/>
              <w:ind w:right="471"/>
              <w:spacing w:after="0"/>
              <w:rPr>
                <w:sz w:val="20"/>
                <w:szCs w:val="20"/>
                <w:color w:val="auto"/>
              </w:rPr>
            </w:pPr>
            <w:r>
              <w:rPr>
                <w:rFonts w:ascii="Arial" w:cs="Arial" w:eastAsia="Arial" w:hAnsi="Arial"/>
                <w:sz w:val="18"/>
                <w:szCs w:val="18"/>
                <w:color w:val="auto"/>
              </w:rPr>
              <w:t>2026</w:t>
            </w:r>
          </w:p>
        </w:tc>
        <w:tc>
          <w:tcPr>
            <w:tcW w:w="84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2025</w:t>
            </w:r>
          </w:p>
        </w:tc>
        <w:tc>
          <w:tcPr>
            <w:tcW w:w="120" w:type="dxa"/>
            <w:vAlign w:val="bottom"/>
            <w:tcBorders>
              <w:right w:val="single" w:sz="8" w:color="auto"/>
            </w:tcBorders>
            <w:shd w:val="clear" w:color="auto" w:fill="ACACAC"/>
          </w:tcPr>
          <w:p>
            <w:pPr>
              <w:spacing w:after="0"/>
              <w:rPr>
                <w:sz w:val="15"/>
                <w:szCs w:val="15"/>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color w:val="auto"/>
              </w:rPr>
              <w:t>2026</w:t>
            </w:r>
          </w:p>
        </w:tc>
        <w:tc>
          <w:tcPr>
            <w:tcW w:w="92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attributable to The Williams Companies, Inc. available to common stockholders.</w:t>
            </w:r>
          </w:p>
        </w:tc>
        <w:tc>
          <w:tcPr>
            <w:tcW w:w="12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20" w:type="dxa"/>
            <w:vAlign w:val="bottom"/>
            <w:tcBorders>
              <w:bottom w:val="single" w:sz="8" w:color="ACACAC"/>
              <w:right w:val="single" w:sz="8" w:color="auto"/>
            </w:tcBorders>
            <w:shd w:val="clear" w:color="auto" w:fill="ACACAC"/>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GAAP Measures</w:t>
            </w:r>
          </w:p>
        </w:tc>
        <w:tc>
          <w:tcPr>
            <w:tcW w:w="12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shd w:val="clear" w:color="auto" w:fill="ACACAC"/>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$699</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$646</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$2,390</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Net Income Per Share</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$0.56</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$1.94</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9"/>
        </w:trPr>
        <w:tc>
          <w:tcPr>
            <w:tcW w:w="6940" w:type="dxa"/>
            <w:vAlign w:val="bottom"/>
          </w:tcPr>
          <w:p>
            <w:pPr>
              <w:ind w:left="160"/>
              <w:spacing w:after="0"/>
              <w:rPr>
                <w:sz w:val="20"/>
                <w:szCs w:val="20"/>
                <w:color w:val="auto"/>
              </w:rPr>
            </w:pPr>
            <w:r>
              <w:rPr>
                <w:rFonts w:ascii="Arial" w:cs="Arial" w:eastAsia="Arial" w:hAnsi="Arial"/>
                <w:sz w:val="18"/>
                <w:szCs w:val="18"/>
                <w:color w:val="auto"/>
              </w:rPr>
              <w:t>Cash Flow From Operations</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$1,505</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$1,439</w:t>
            </w:r>
          </w:p>
        </w:tc>
        <w:tc>
          <w:tcPr>
            <w:tcW w:w="120" w:type="dxa"/>
            <w:vAlign w:val="bottom"/>
            <w:tcBorders>
              <w:right w:val="single" w:sz="8" w:color="auto"/>
            </w:tcBorders>
            <w:shd w:val="clear" w:color="auto" w:fill="ACACAC"/>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$4,484</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328"/>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Non-GAAP Measures (1)</w:t>
            </w:r>
          </w:p>
        </w:tc>
        <w:tc>
          <w:tcPr>
            <w:tcW w:w="12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shd w:val="clear" w:color="auto" w:fill="ACACAC"/>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$2,039</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$1,920</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$6,214</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Adjusted Net Income</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$663</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$603</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$2,172</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9"/>
        </w:trPr>
        <w:tc>
          <w:tcPr>
            <w:tcW w:w="6940" w:type="dxa"/>
            <w:vAlign w:val="bottom"/>
          </w:tcPr>
          <w:p>
            <w:pPr>
              <w:ind w:left="160"/>
              <w:spacing w:after="0"/>
              <w:rPr>
                <w:sz w:val="20"/>
                <w:szCs w:val="20"/>
                <w:color w:val="auto"/>
              </w:rPr>
            </w:pPr>
            <w:r>
              <w:rPr>
                <w:rFonts w:ascii="Arial" w:cs="Arial" w:eastAsia="Arial" w:hAnsi="Arial"/>
                <w:sz w:val="18"/>
                <w:szCs w:val="18"/>
                <w:color w:val="auto"/>
              </w:rPr>
              <w:t>Adjusted Earnings Per Share</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$0.54</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$0.49</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$1.77</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Available Funds from Operations</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$1,589</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$1,449</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$4,809</w:t>
            </w:r>
          </w:p>
        </w:tc>
        <w:tc>
          <w:tcPr>
            <w:tcW w:w="9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39"/>
        </w:trPr>
        <w:tc>
          <w:tcPr>
            <w:tcW w:w="6940" w:type="dxa"/>
            <w:vAlign w:val="bottom"/>
          </w:tcPr>
          <w:p>
            <w:pPr>
              <w:ind w:left="160"/>
              <w:spacing w:after="0"/>
              <w:rPr>
                <w:sz w:val="20"/>
                <w:szCs w:val="20"/>
                <w:color w:val="auto"/>
              </w:rPr>
            </w:pPr>
            <w:r>
              <w:rPr>
                <w:rFonts w:ascii="Arial" w:cs="Arial" w:eastAsia="Arial" w:hAnsi="Arial"/>
                <w:sz w:val="18"/>
                <w:szCs w:val="18"/>
                <w:color w:val="auto"/>
              </w:rPr>
              <w:t>Dividend Coverage Ratio</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2.42 x</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2.37 x</w:t>
            </w:r>
          </w:p>
        </w:tc>
        <w:tc>
          <w:tcPr>
            <w:tcW w:w="120" w:type="dxa"/>
            <w:vAlign w:val="bottom"/>
            <w:tcBorders>
              <w:right w:val="single" w:sz="8" w:color="auto"/>
            </w:tcBorders>
            <w:shd w:val="clear" w:color="auto" w:fill="ACACAC"/>
          </w:tcPr>
          <w:p>
            <w:pPr>
              <w:spacing w:after="0"/>
              <w:rPr>
                <w:sz w:val="20"/>
                <w:szCs w:val="20"/>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rPr>
              <w:t>2.48 x</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2.30 x</w:t>
            </w:r>
          </w:p>
        </w:tc>
        <w:tc>
          <w:tcPr>
            <w:tcW w:w="0" w:type="dxa"/>
            <w:vAlign w:val="bottom"/>
          </w:tcPr>
          <w:p>
            <w:pPr>
              <w:spacing w:after="0"/>
              <w:rPr>
                <w:sz w:val="1"/>
                <w:szCs w:val="1"/>
                <w:color w:val="auto"/>
              </w:rPr>
            </w:pPr>
          </w:p>
        </w:tc>
      </w:tr>
      <w:tr>
        <w:trPr>
          <w:trHeight w:val="333"/>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Other</w:t>
            </w:r>
          </w:p>
        </w:tc>
        <w:tc>
          <w:tcPr>
            <w:tcW w:w="12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shd w:val="clear" w:color="auto" w:fill="ACACAC"/>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Debt-to-Adjusted EBITDA at Quarter End (2)</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3.80 x</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3.73 x</w:t>
            </w:r>
          </w:p>
        </w:tc>
        <w:tc>
          <w:tcPr>
            <w:tcW w:w="120" w:type="dxa"/>
            <w:vAlign w:val="bottom"/>
            <w:tcBorders>
              <w:right w:val="single" w:sz="8" w:color="auto"/>
            </w:tcBorders>
            <w:shd w:val="clear" w:color="auto" w:fill="ACACAC"/>
          </w:tcPr>
          <w:p>
            <w:pPr>
              <w:spacing w:after="0"/>
              <w:rPr>
                <w:sz w:val="19"/>
                <w:szCs w:val="19"/>
                <w:color w:val="auto"/>
              </w:rPr>
            </w:pPr>
          </w:p>
        </w:tc>
        <w:tc>
          <w:tcPr>
            <w:tcW w:w="1180" w:type="dxa"/>
            <w:vAlign w:val="bottom"/>
            <w:shd w:val="clear" w:color="auto" w:fill="000000"/>
          </w:tcPr>
          <w:p>
            <w:pPr>
              <w:spacing w:after="0"/>
              <w:rPr>
                <w:sz w:val="19"/>
                <w:szCs w:val="19"/>
                <w:color w:val="auto"/>
              </w:rPr>
            </w:pPr>
          </w:p>
        </w:tc>
        <w:tc>
          <w:tcPr>
            <w:tcW w:w="920" w:type="dxa"/>
            <w:vAlign w:val="bottom"/>
            <w:tcBorders>
              <w:right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Capital Investments (Excluding acquisitions) (3) (4)</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$2,727</w:t>
            </w: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auto"/>
              <w:right w:val="single" w:sz="8" w:color="auto"/>
            </w:tcBorders>
            <w:shd w:val="clear" w:color="auto" w:fill="ACACAC"/>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$6,011</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80" w:right="700" w:hanging="241"/>
        <w:spacing w:after="0" w:line="241" w:lineRule="auto"/>
        <w:tabs>
          <w:tab w:leader="none" w:pos="253"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Schedules reconciling Adjusted Net Income, Adjusted EBITDA, Available Funds from Operations and Dividend Coverage Ratio (non-GAAP measures) to the most comparable GAAP measure are available at www.williams.com and as an attachment to this news release.</w:t>
      </w:r>
    </w:p>
    <w:p>
      <w:pPr>
        <w:spacing w:after="0" w:line="14" w:lineRule="exact"/>
        <w:rPr>
          <w:rFonts w:ascii="Arial" w:cs="Arial" w:eastAsia="Arial" w:hAnsi="Arial"/>
          <w:sz w:val="14"/>
          <w:szCs w:val="14"/>
          <w:i w:val="1"/>
          <w:iCs w:val="1"/>
          <w:color w:val="auto"/>
        </w:rPr>
      </w:pPr>
    </w:p>
    <w:p>
      <w:pPr>
        <w:jc w:val="both"/>
        <w:ind w:left="280" w:right="360" w:hanging="241"/>
        <w:spacing w:after="0" w:line="234" w:lineRule="auto"/>
        <w:tabs>
          <w:tab w:leader="none" w:pos="253"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Does not represent leverage ratios measured for WMB credit agreement compliance or leverage ratios as calculated by the major credit ratings agencies. Debt is net of cash on hand and, for 2026, $857 million of cash purchases of certain reimbursable long-lead Power equipment, and Adjusted EBITDA reflects the sum of the last four quarters.</w:t>
      </w:r>
    </w:p>
    <w:p>
      <w:pPr>
        <w:spacing w:after="0" w:line="15" w:lineRule="exact"/>
        <w:rPr>
          <w:rFonts w:ascii="Arial" w:cs="Arial" w:eastAsia="Arial" w:hAnsi="Arial"/>
          <w:sz w:val="14"/>
          <w:szCs w:val="14"/>
          <w:i w:val="1"/>
          <w:iCs w:val="1"/>
          <w:color w:val="auto"/>
        </w:rPr>
      </w:pPr>
    </w:p>
    <w:p>
      <w:pPr>
        <w:ind w:left="280" w:right="660" w:hanging="241"/>
        <w:spacing w:after="0" w:line="241" w:lineRule="auto"/>
        <w:tabs>
          <w:tab w:leader="none" w:pos="253"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Capital investments include increases to property, plant, and equipment (growth &amp; maintenance), purchases of and contributions to equity-method investments and purchases of other long-term investments.</w:t>
      </w:r>
    </w:p>
    <w:p>
      <w:pPr>
        <w:spacing w:after="0" w:line="14" w:lineRule="exact"/>
        <w:rPr>
          <w:rFonts w:ascii="Arial" w:cs="Arial" w:eastAsia="Arial" w:hAnsi="Arial"/>
          <w:sz w:val="14"/>
          <w:szCs w:val="14"/>
          <w:i w:val="1"/>
          <w:iCs w:val="1"/>
          <w:color w:val="auto"/>
        </w:rPr>
      </w:pPr>
    </w:p>
    <w:p>
      <w:pPr>
        <w:ind w:left="280" w:right="120" w:hanging="241"/>
        <w:spacing w:after="0" w:line="231" w:lineRule="auto"/>
        <w:tabs>
          <w:tab w:leader="none" w:pos="253"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Third quarter and year-to-date 2026 capital investments exclude $2.816 billion for the September 2026 Momentum acquisition and $6 million and $176 million, respectively, of certain reimbursable long-lead Power equipment. Year-to-date 2025 capital excludes $43 million for the acquisition of Saber Midstream, which closed June 2025; $319 million for the Rimrock acquisition, which closed January 2025; $153 million for the investment in Cogentrix, which closed March 2025; and $1 million for an adjustment of the Crowheart acquisition and Discovery consolidation, which closed 2024.</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Measures</w:t>
      </w:r>
    </w:p>
    <w:p>
      <w:pPr>
        <w:spacing w:after="0" w:line="20"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Third-quarter and year-to-date 2026 net income increased by $53 million and $508 million, respectively, compared to the prior year. Both comparative periods benefited from:</w:t>
      </w:r>
    </w:p>
    <w:p>
      <w:pPr>
        <w:spacing w:after="0" w:line="1" w:lineRule="exact"/>
        <w:rPr>
          <w:sz w:val="20"/>
          <w:szCs w:val="20"/>
          <w:color w:val="auto"/>
        </w:rPr>
      </w:pPr>
    </w:p>
    <w:p>
      <w:pPr>
        <w:ind w:left="660" w:right="220" w:hanging="328"/>
        <w:spacing w:after="0" w:line="23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Higher service revenues of $198 million and $512 million, respectively, reflecting new power generation revenues, the Momentum acquisition, projects placed in service, and higher storage revenues, while the year-to-date period also saw increases from new Gulf volumes.</w:t>
      </w:r>
    </w:p>
    <w:p>
      <w:pPr>
        <w:spacing w:after="0" w:line="1" w:lineRule="exact"/>
        <w:rPr>
          <w:rFonts w:ascii="Arial" w:cs="Arial" w:eastAsia="Arial" w:hAnsi="Arial"/>
          <w:sz w:val="20"/>
          <w:szCs w:val="20"/>
          <w:color w:val="auto"/>
        </w:rPr>
      </w:pPr>
    </w:p>
    <w:p>
      <w:pPr>
        <w:ind w:left="660" w:right="6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 gain of $83 million from the sale of a Permian gathering system. The year-to-date period also benefited from a net gain of $130 million from the June 2026 sale of the Brazos Permian II equity-method investment and a $194 million gain on the January 2026 sale of the South Mansfield upstream interests.</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847" w:right="319" w:bottom="1440" w:gutter="0" w:footer="0" w:header="0"/>
        </w:sectPr>
      </w:pPr>
    </w:p>
    <w:bookmarkStart w:id="5" w:name="page6"/>
    <w:bookmarkEnd w:id="5"/>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year-to-date period also reflects higher gas marketing margins.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These favorable changes were partially offset by:</w:t>
      </w:r>
    </w:p>
    <w:p>
      <w:pPr>
        <w:spacing w:after="0" w:line="1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Reduced upstream results due to the sale of the South Mansfield interests.</w:t>
      </w:r>
    </w:p>
    <w:p>
      <w:pPr>
        <w:ind w:left="660" w:right="40" w:hanging="328"/>
        <w:spacing w:after="0" w:line="232"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An increase in operating and administrative expenses, including $63 million of acquisition and JV formation costs, as well as costs from acquired businesses and new projects.</w:t>
      </w:r>
    </w:p>
    <w:p>
      <w:pPr>
        <w:ind w:left="660" w:right="10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Unfavorable changes in net unrealized gains/losses on commodity derivatives of $29 million and $116 million, respectively.</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year-to-date period also reflects a higher provision for income taxes driven by increased pre-tax income.</w:t>
      </w:r>
    </w:p>
    <w:p>
      <w:pPr>
        <w:spacing w:after="0" w:line="225"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Third-quarter and year-to-date 2026 cash flow from operations increased $66 million and $162 million, respectively, compared to the prior year primarily due to higher operating results exclusive of non-cash items and higher distributions from equity-method investments, partially offset by unfavorable net changes in both working capital, including payment of Transco’s rate refunds in April 2026, and derivative collateral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0"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Third-quarter and year-to-date 2026 Adjusted EBITDA increased by $119 million and $497 million, respectively, over the prior year driven by the previously described increases in service revenues partially offset by reduced upstream results and higher operating and administrative expenses excluding the acquisition and JV formation costs. The year-to-date period also benefited from higher gas marketing margins.</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Third-quarter and year-to-date 2026 Adjusted Net Income improved by $60 million and $273 million, respectively, over the prior year driven by the previously described impacts to net income, adjusted primarily to remove the effects of net unrealized gains/losses on commodity derivatives, acquisition and JV formation costs, and the gains associated with the asset sales.</w:t>
      </w:r>
    </w:p>
    <w:p>
      <w:pPr>
        <w:spacing w:after="0" w:line="198" w:lineRule="exact"/>
        <w:rPr>
          <w:sz w:val="20"/>
          <w:szCs w:val="20"/>
          <w:color w:val="auto"/>
        </w:rPr>
      </w:pPr>
    </w:p>
    <w:p>
      <w:pPr>
        <w:jc w:val="both"/>
        <w:ind w:right="480"/>
        <w:spacing w:after="0" w:line="250" w:lineRule="auto"/>
        <w:rPr>
          <w:sz w:val="20"/>
          <w:szCs w:val="20"/>
          <w:color w:val="auto"/>
        </w:rPr>
      </w:pPr>
      <w:r>
        <w:rPr>
          <w:rFonts w:ascii="Arial" w:cs="Arial" w:eastAsia="Arial" w:hAnsi="Arial"/>
          <w:sz w:val="20"/>
          <w:szCs w:val="20"/>
          <w:color w:val="auto"/>
        </w:rPr>
        <w:t>Third-quarter and year-to-date 2026 Available Funds from Operations (AFFO) increased by $140 million and $598 million, respectively, compared to the prior year primarily due to higher adjusted operating results exclusive of non-cash items and higher distributions from equity-method investments. The year-to-date period also reflects a favorable change in the current component of the income tax provision.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 Results &amp; Form 10-Q</w:t>
      </w:r>
    </w:p>
    <w:p>
      <w:pPr>
        <w:spacing w:after="0" w:line="20" w:lineRule="exact"/>
        <w:rPr>
          <w:sz w:val="20"/>
          <w:szCs w:val="20"/>
          <w:color w:val="auto"/>
        </w:rPr>
      </w:pPr>
    </w:p>
    <w:p>
      <w:pPr>
        <w:ind w:right="340"/>
        <w:spacing w:after="0" w:line="264" w:lineRule="auto"/>
        <w:rPr>
          <w:sz w:val="20"/>
          <w:szCs w:val="20"/>
          <w:color w:val="auto"/>
        </w:rPr>
      </w:pPr>
      <w:r>
        <w:rPr>
          <w:rFonts w:ascii="Arial" w:cs="Arial" w:eastAsia="Arial" w:hAnsi="Arial"/>
          <w:sz w:val="20"/>
          <w:szCs w:val="20"/>
          <w:color w:val="auto"/>
        </w:rPr>
        <w:t>Williams' operations are comprised of the following reportable segments: Transmission, Power &amp; Gulf; Northeast G&amp;P; West; Gas &amp; NGL Marketing Services and Other. For more information, see the company's third-quarter 2026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40575" cy="1834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8345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640" w:type="dxa"/>
            <w:vAlign w:val="bottom"/>
            <w:tcBorders>
              <w:top w:val="single" w:sz="8" w:color="auto"/>
              <w:bottom w:val="single" w:sz="8" w:color="auto"/>
              <w:right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Third Quarter</w:t>
            </w:r>
          </w:p>
        </w:tc>
        <w:tc>
          <w:tcPr>
            <w:tcW w:w="8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right w:val="single" w:sz="8" w:color="auto"/>
            </w:tcBorders>
          </w:tcPr>
          <w:p>
            <w:pPr>
              <w:spacing w:after="0"/>
              <w:rPr>
                <w:sz w:val="16"/>
                <w:szCs w:val="16"/>
                <w:color w:val="auto"/>
              </w:rPr>
            </w:pPr>
          </w:p>
        </w:tc>
        <w:tc>
          <w:tcPr>
            <w:tcW w:w="120" w:type="dxa"/>
            <w:vAlign w:val="bottom"/>
            <w:tcBorders>
              <w:top w:val="single" w:sz="8" w:color="auto"/>
              <w:bottom w:val="single" w:sz="8" w:color="auto"/>
              <w:right w:val="single" w:sz="8" w:color="auto"/>
            </w:tcBorders>
            <w:shd w:val="clear" w:color="auto" w:fill="ACACAC"/>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Year to Date</w:t>
            </w:r>
          </w:p>
        </w:tc>
        <w:tc>
          <w:tcPr>
            <w:tcW w:w="7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i w:val="1"/>
                <w:iCs w:val="1"/>
                <w:color w:val="auto"/>
              </w:rPr>
              <w:t>Amounts in millions</w:t>
            </w:r>
          </w:p>
        </w:tc>
        <w:tc>
          <w:tcPr>
            <w:tcW w:w="2380" w:type="dxa"/>
            <w:vAlign w:val="bottom"/>
            <w:tcBorders>
              <w:right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Modified EBITDA</w:t>
            </w:r>
          </w:p>
        </w:tc>
        <w:tc>
          <w:tcPr>
            <w:tcW w:w="100" w:type="dxa"/>
            <w:vAlign w:val="bottom"/>
            <w:tcBorders>
              <w:right w:val="single" w:sz="8" w:color="auto"/>
            </w:tcBorders>
          </w:tcPr>
          <w:p>
            <w:pPr>
              <w:spacing w:after="0"/>
              <w:rPr>
                <w:sz w:val="20"/>
                <w:szCs w:val="20"/>
                <w:color w:val="auto"/>
              </w:rPr>
            </w:pPr>
          </w:p>
        </w:tc>
        <w:tc>
          <w:tcPr>
            <w:tcW w:w="2380" w:type="dxa"/>
            <w:vAlign w:val="bottom"/>
            <w:tcBorders>
              <w:right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Borders>
              <w:right w:val="single" w:sz="8" w:color="auto"/>
            </w:tcBorders>
            <w:shd w:val="clear" w:color="auto" w:fill="ACACAC"/>
          </w:tcPr>
          <w:p>
            <w:pPr>
              <w:spacing w:after="0"/>
              <w:rPr>
                <w:sz w:val="20"/>
                <w:szCs w:val="20"/>
                <w:color w:val="auto"/>
              </w:rPr>
            </w:pPr>
          </w:p>
        </w:tc>
        <w:tc>
          <w:tcPr>
            <w:tcW w:w="2260" w:type="dxa"/>
            <w:vAlign w:val="bottom"/>
            <w:tcBorders>
              <w:right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Modified EBITDA</w:t>
            </w:r>
          </w:p>
        </w:tc>
        <w:tc>
          <w:tcPr>
            <w:tcW w:w="1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02"/>
        </w:trPr>
        <w:tc>
          <w:tcPr>
            <w:tcW w:w="1640" w:type="dxa"/>
            <w:vAlign w:val="bottom"/>
            <w:tcBorders>
              <w:right w:val="single" w:sz="8" w:color="auto"/>
            </w:tcBorders>
            <w:vMerge w:val="continue"/>
          </w:tcPr>
          <w:p>
            <w:pPr>
              <w:spacing w:after="0"/>
              <w:rPr>
                <w:sz w:val="8"/>
                <w:szCs w:val="8"/>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3Q 2026</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3Q 2025</w:t>
            </w:r>
          </w:p>
        </w:tc>
        <w:tc>
          <w:tcPr>
            <w:tcW w:w="8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right w:val="single" w:sz="8" w:color="auto"/>
            </w:tcBorders>
          </w:tcPr>
          <w:p>
            <w:pPr>
              <w:spacing w:after="0"/>
              <w:rPr>
                <w:sz w:val="8"/>
                <w:szCs w:val="8"/>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3Q 2026</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3Q 2025</w:t>
            </w:r>
          </w:p>
        </w:tc>
        <w:tc>
          <w:tcPr>
            <w:tcW w:w="78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right w:val="single" w:sz="8" w:color="auto"/>
            </w:tcBorders>
            <w:shd w:val="clear" w:color="auto" w:fill="ACACAC"/>
          </w:tcPr>
          <w:p>
            <w:pPr>
              <w:spacing w:after="0"/>
              <w:rPr>
                <w:sz w:val="8"/>
                <w:szCs w:val="8"/>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2026</w:t>
            </w: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right w:val="single" w:sz="8" w:color="auto"/>
            </w:tcBorders>
          </w:tcPr>
          <w:p>
            <w:pPr>
              <w:spacing w:after="0"/>
              <w:rPr>
                <w:sz w:val="8"/>
                <w:szCs w:val="8"/>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2026</w:t>
            </w:r>
          </w:p>
        </w:tc>
        <w:tc>
          <w:tcPr>
            <w:tcW w:w="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1640" w:type="dxa"/>
            <w:vAlign w:val="bottom"/>
            <w:tcBorders>
              <w:right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vMerge w:val="continue"/>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right w:val="single" w:sz="8" w:color="auto"/>
            </w:tcBorders>
            <w:shd w:val="clear" w:color="auto" w:fill="ACACAC"/>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40"/>
              <w:spacing w:after="0" w:line="144" w:lineRule="exact"/>
              <w:rPr>
                <w:sz w:val="20"/>
                <w:szCs w:val="20"/>
                <w:color w:val="auto"/>
              </w:rPr>
            </w:pPr>
            <w:r>
              <w:rPr>
                <w:rFonts w:ascii="Arial" w:cs="Arial" w:eastAsia="Arial" w:hAnsi="Arial"/>
                <w:sz w:val="16"/>
                <w:szCs w:val="16"/>
                <w:color w:val="auto"/>
              </w:rPr>
              <w:t>Transmission, Power</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shd w:val="clear" w:color="auto" w:fill="ACACAC"/>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40"/>
              <w:spacing w:after="0"/>
              <w:rPr>
                <w:sz w:val="20"/>
                <w:szCs w:val="20"/>
                <w:color w:val="auto"/>
              </w:rPr>
            </w:pPr>
            <w:r>
              <w:rPr>
                <w:rFonts w:ascii="Arial" w:cs="Arial" w:eastAsia="Arial" w:hAnsi="Arial"/>
                <w:sz w:val="16"/>
                <w:szCs w:val="16"/>
                <w:color w:val="auto"/>
              </w:rPr>
              <w:t>&amp; Gulf</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$1,030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auto"/>
            </w:tcBorders>
            <w:shd w:val="clear" w:color="auto" w:fill="ACACAC"/>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$2,969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$2,722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$2,999</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$2,712</w:t>
            </w: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15"/>
        </w:trPr>
        <w:tc>
          <w:tcPr>
            <w:tcW w:w="1640" w:type="dxa"/>
            <w:vAlign w:val="bottom"/>
          </w:tcPr>
          <w:p>
            <w:pPr>
              <w:ind w:left="40"/>
              <w:spacing w:after="0"/>
              <w:rPr>
                <w:sz w:val="20"/>
                <w:szCs w:val="20"/>
                <w:color w:val="auto"/>
              </w:rPr>
            </w:pPr>
            <w:r>
              <w:rPr>
                <w:rFonts w:ascii="Arial" w:cs="Arial" w:eastAsia="Arial" w:hAnsi="Arial"/>
                <w:sz w:val="16"/>
                <w:szCs w:val="16"/>
                <w:color w:val="auto"/>
              </w:rPr>
              <w:t>Northeast G&amp;P</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Borders>
              <w:right w:val="single" w:sz="8" w:color="auto"/>
            </w:tcBorders>
            <w:shd w:val="clear" w:color="auto" w:fill="ACACAC"/>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1,606</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1,520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16"/>
        </w:trPr>
        <w:tc>
          <w:tcPr>
            <w:tcW w:w="1640" w:type="dxa"/>
            <w:vAlign w:val="bottom"/>
          </w:tcPr>
          <w:p>
            <w:pPr>
              <w:ind w:left="40"/>
              <w:spacing w:after="0"/>
              <w:rPr>
                <w:sz w:val="20"/>
                <w:szCs w:val="20"/>
                <w:color w:val="auto"/>
              </w:rPr>
            </w:pPr>
            <w:r>
              <w:rPr>
                <w:rFonts w:ascii="Arial" w:cs="Arial" w:eastAsia="Arial" w:hAnsi="Arial"/>
                <w:sz w:val="16"/>
                <w:szCs w:val="16"/>
                <w:color w:val="auto"/>
              </w:rPr>
              <w:t>West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451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7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Borders>
              <w:right w:val="single" w:sz="8" w:color="auto"/>
            </w:tcBorders>
            <w:shd w:val="clear" w:color="auto" w:fill="ACACAC"/>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1,217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1,037</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1,062</w:t>
            </w: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4"/>
        </w:trPr>
        <w:tc>
          <w:tcPr>
            <w:tcW w:w="1640" w:type="dxa"/>
            <w:vAlign w:val="bottom"/>
          </w:tcPr>
          <w:p>
            <w:pPr>
              <w:ind w:left="40"/>
              <w:spacing w:after="0" w:line="164" w:lineRule="exact"/>
              <w:rPr>
                <w:sz w:val="20"/>
                <w:szCs w:val="20"/>
                <w:color w:val="auto"/>
              </w:rPr>
            </w:pPr>
            <w:r>
              <w:rPr>
                <w:rFonts w:ascii="Arial" w:cs="Arial" w:eastAsia="Arial" w:hAnsi="Arial"/>
                <w:sz w:val="16"/>
                <w:szCs w:val="16"/>
                <w:color w:val="auto"/>
              </w:rPr>
              <w:t>Gas &amp; NGL</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shd w:val="clear" w:color="auto" w:fill="ACACAC"/>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40" w:type="dxa"/>
            <w:vAlign w:val="bottom"/>
          </w:tcPr>
          <w:p>
            <w:pPr>
              <w:ind w:left="40"/>
              <w:spacing w:after="0"/>
              <w:rPr>
                <w:sz w:val="20"/>
                <w:szCs w:val="20"/>
                <w:color w:val="auto"/>
              </w:rPr>
            </w:pPr>
            <w:r>
              <w:rPr>
                <w:rFonts w:ascii="Arial" w:cs="Arial" w:eastAsia="Arial" w:hAnsi="Arial"/>
                <w:sz w:val="16"/>
                <w:szCs w:val="16"/>
                <w:color w:val="auto"/>
              </w:rPr>
              <w:t>Marketing Services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ACACAC"/>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202</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8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1640" w:type="dxa"/>
            <w:vAlign w:val="bottom"/>
          </w:tcPr>
          <w:p>
            <w:pPr>
              <w:ind w:left="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ACACAC"/>
              <w:right w:val="single" w:sz="8" w:color="auto"/>
            </w:tcBorders>
            <w:shd w:val="clear" w:color="auto" w:fill="ACACAC"/>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382</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17"/>
        </w:trPr>
        <w:tc>
          <w:tcPr>
            <w:tcW w:w="1640" w:type="dxa"/>
            <w:vAlign w:val="bottom"/>
          </w:tcPr>
          <w:p>
            <w:pPr>
              <w:ind w:left="4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$2,084</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$1,967</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$2,039</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w:t>
            </w:r>
          </w:p>
        </w:tc>
        <w:tc>
          <w:tcPr>
            <w:tcW w:w="7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ACACAC"/>
              <w:right w:val="single" w:sz="8" w:color="auto"/>
            </w:tcBorders>
            <w:shd w:val="clear" w:color="auto" w:fill="ACACAC"/>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$6,376</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$5,741</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$6,214</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$5,717</w:t>
            </w:r>
          </w:p>
        </w:tc>
        <w:tc>
          <w:tcPr>
            <w:tcW w:w="8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CACA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40" w:right="160"/>
        <w:spacing w:after="0" w:line="261" w:lineRule="auto"/>
        <w:rPr>
          <w:sz w:val="20"/>
          <w:szCs w:val="20"/>
          <w:color w:val="auto"/>
        </w:rPr>
      </w:pPr>
      <w:r>
        <w:rPr>
          <w:rFonts w:ascii="Arial" w:cs="Arial" w:eastAsia="Arial" w:hAnsi="Arial"/>
          <w:sz w:val="14"/>
          <w:szCs w:val="14"/>
          <w:i w:val="1"/>
          <w:iCs w:val="1"/>
          <w:color w:val="auto"/>
        </w:rPr>
        <w:t>Note: Williams uses Modified EBITDA for its segment reporting. Definitions of Modified EBITDA and Adjusted EBITDA and schedules reconciling to net income are included in this news release.</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847" w:right="3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Transmission, Power &amp; Gulf</w:t>
      </w:r>
    </w:p>
    <w:p>
      <w:pPr>
        <w:spacing w:after="0" w:line="20"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Third-quarter and year-to-date 2026 Modified and Adjusted EBITDA improved compared to the prior year driven by new power generation revenues, contributions from projects placed in service, and higher storage revenues, partially offset by higher operating and administrative expenses. New Gulf volumes also benefited the year-to-date period.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Northeast G&amp;P</w:t>
      </w:r>
    </w:p>
    <w:p>
      <w:pPr>
        <w:spacing w:after="0" w:line="20"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Third-quarter and year-to-date 2026 Modified and Adjusted EBITDA increased compared to the prior year driven primarily by higher volumes at Ohio Valley Midstream and higher proportional EBITDA from equity-method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Third-quarter and year-to-date 2026 Modified EBITDA and Adjusted EBITDA improved compared to the prior year driven by the Momentum acquisition and Louisiana Energy Gateway, placed into service in third-quarter 2025. The year-to-date period also reflected higher gathering volumes including contributions from the 2025 Rimrock and Saber acquisitions, partially offset by lower minimum volume commitment revenues. Modified EBITDA benefited from the gain on sale of a Permian gathering system and the absence of a prior year impairment, partially offset by Momentum acquisition costs, all of which are excluded from Adjusted EBITDA.</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 &amp; NGL Marketing Services</w:t>
      </w:r>
    </w:p>
    <w:p>
      <w:pPr>
        <w:spacing w:after="0" w:line="20"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Third-quarter 2026 Modified EBITDA decreased from the prior year, while year-to-date 2026 Modified EBITDA increased. Both periods reflect net unfavorable changes in unrealized gains/losses on commodity derivatives of $14 million and $79 million, respectively, which are excluded from Adjusted EBITDA. The year-to-date period for both measures benefited from higher gas marketing margins driven by winter storms.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0"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The changes in third-quarter and year-to-date 2026 Modified EBITDA reflect the absence of the South Mansfield upstream interests sold in January 2026 and net unfavorable changes in unrealized gains/losses on commodity derivatives. The year-to-date period also includes a $194 million gain from the January 2026 sale of the South Mansfield upstream interests. Both the gains on sale of the South Mansfield interests and the unrealized gains/losses on commodity derivatives are excluded from Adjusted EBITDA.</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Financial Guidance</w:t>
      </w:r>
    </w:p>
    <w:p>
      <w:pPr>
        <w:spacing w:after="0" w:line="6"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The company continues to expect 2026 Adjusted EBITDA of $8.3 billion to $8.5 billion and growth capex between $7.3 billion and $7.9 billion. The leverage ratio midpoint for 2026 is approximately 3.75x. Guidance for 2026 growth capex and debt-to-adjusted EBITDA excludes certain reimbursable long-lead equipment.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Williams Third-Quarter 2026 Materials to be Posted Shortly; Q&amp;A Webcast Scheduled for Tomorrow</w:t>
      </w:r>
    </w:p>
    <w:p>
      <w:pPr>
        <w:spacing w:after="0" w:line="20"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Williams' third-quarter 2026 earnings presentation will be posted at www.williams.com. The company's third-quarter 2026 earnings conference call and webcast with analysts and investors is scheduled for Tuesday, Nov. 3, at 9:30 a.m. Eastern Time (8:30 a.m. Central Time). Participants who wish to join the call by phone must register using the following link: https://register-conf.media-server.com/register/BI584a5f0f046f4d079d5ceddf753d218f</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A webcast link to the conference call will be provided on Williams’ Investor Relations website. A replay of the webcast will be available on the website for at least 90 days following the event.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088" w:right="39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Williams</w:t>
      </w:r>
    </w:p>
    <w:p>
      <w:pPr>
        <w:spacing w:after="0" w:line="3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Williams (NYSE: WMB) is a trusted energy industry leader committed to safely, reliably and responsibly meeting growing energy demand. We use our infrastructure to deliver one third of the nation’s natural gas to where it's needed most, supplying the energy used to heat our homes, cook our food and generate low-carbon electricity. For over a century, we’ve been driven by a passion for doing things the right way. Today, our team of problem solvers is leading the charge into the clean energy future. Learn more at www.williams.com.</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845"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340" w:type="dxa"/>
            <w:vAlign w:val="bottom"/>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(Millions, except per-share amounts)</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revenues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8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revenues – commodity consideration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processing commodity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certain assets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(income) expense –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0" w:type="dxa"/>
            <w:vAlign w:val="bottom"/>
          </w:tcPr>
          <w:p>
            <w:pPr>
              <w:spacing w:after="0"/>
              <w:rPr>
                <w:sz w:val="1"/>
                <w:szCs w:val="1"/>
                <w:color w:val="auto"/>
              </w:rPr>
            </w:pPr>
          </w:p>
        </w:tc>
      </w:tr>
      <w:tr>
        <w:trPr>
          <w:trHeight w:val="20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The Williams Companies, Inc.</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5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Weighted-average shares (millions)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Weighted-average shares (millions)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(Millions, except per-share amounts)</w:t>
            </w:r>
          </w:p>
        </w:tc>
        <w:tc>
          <w:tcPr>
            <w:tcW w:w="0" w:type="dxa"/>
            <w:vAlign w:val="bottom"/>
          </w:tcPr>
          <w:p>
            <w:pPr>
              <w:spacing w:after="0"/>
              <w:rPr>
                <w:sz w:val="1"/>
                <w:szCs w:val="1"/>
                <w:color w:val="auto"/>
              </w:rPr>
            </w:pPr>
          </w:p>
        </w:tc>
      </w:tr>
      <w:tr>
        <w:trPr>
          <w:trHeight w:val="22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accounts and other receivables (net of allowance of ($1) at September 30, 2026 and December 31, 2025)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62,010</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depletion, and amortization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(20,014)</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assets, deferred charges,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0" w:type="dxa"/>
            <w:vAlign w:val="bottom"/>
          </w:tcPr>
          <w:p>
            <w:pPr>
              <w:spacing w:after="0"/>
              <w:rPr>
                <w:sz w:val="1"/>
                <w:szCs w:val="1"/>
                <w:color w:val="auto"/>
              </w:rPr>
            </w:pPr>
          </w:p>
        </w:tc>
      </w:tr>
      <w:tr>
        <w:trPr>
          <w:trHeight w:val="212"/>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58,573</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due within one year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7"/>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liabilities, deferred income, and other</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liabilities and commitments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Preferred stock ($1 par value; 30 million shares authorized at September 30, 2026 and December 31, 2025; 35</w:t>
            </w: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8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thousand shares issued at September 30, 2026 and December 31, 2025)</w:t>
            </w: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($1 par value; 1,470 million shares authorized at September 30, 2026 and December 31, 2025; 1,290</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million shares issued at September 30, 2026 and 1,261 million shares issued at December 31, 2025)</w:t>
            </w: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deficit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(12,237)</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(39 million shares at September 30, 2026 and December 31, 2025 of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7"/>
        </w:trPr>
        <w:tc>
          <w:tcPr>
            <w:tcW w:w="8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14,995</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58,573</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1251"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90"/>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r>
      <w:tr>
        <w:trPr>
          <w:trHeight w:val="23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to net cash provided (used)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(earnings) losses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equity-method investees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certain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 loss from commodity derivative instruments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disposition of equity-method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write-downs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8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9"/>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8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3"/>
        </w:trPr>
        <w:tc>
          <w:tcPr>
            <w:tcW w:w="8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current and noncurrent commodity derivative assets and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8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2"/>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(payments of) commercial paper –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partial interest in consolidated subsidiary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dividends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paid to noncontrolling interests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2"/>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 (1)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Dispositions –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businesses, net of cash acquired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disposition of equity-method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and contributions to equity-method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r>
      <w:tr>
        <w:trPr>
          <w:trHeight w:val="20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_________</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3"/>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w:t>
            </w:r>
          </w:p>
        </w:tc>
      </w:tr>
      <w:tr>
        <w:trPr>
          <w:trHeight w:val="216"/>
        </w:trPr>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2"/>
        </w:trPr>
        <w:tc>
          <w:tcPr>
            <w:tcW w:w="8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927" w:right="33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16"/>
          <w:szCs w:val="16"/>
          <w:b w:val="1"/>
          <w:bCs w:val="1"/>
          <w:color w:val="auto"/>
        </w:rPr>
        <w:t>Transmission, Power &amp; Gulf</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6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40" w:type="dxa"/>
            <w:vAlign w:val="bottom"/>
          </w:tcPr>
          <w:p>
            <w:pPr>
              <w:spacing w:after="0"/>
              <w:rPr>
                <w:sz w:val="11"/>
                <w:szCs w:val="11"/>
                <w:color w:val="auto"/>
              </w:rPr>
            </w:pPr>
          </w:p>
        </w:tc>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w w:val="94"/>
              </w:rPr>
              <w:t>3rd Qtr</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i w:val="1"/>
                <w:iCs w:val="1"/>
                <w:color w:val="auto"/>
                <w:w w:val="98"/>
              </w:rPr>
              <w:t>Year-to-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date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ind w:left="40"/>
              <w:spacing w:after="0" w:line="188" w:lineRule="exact"/>
              <w:rPr>
                <w:sz w:val="20"/>
                <w:szCs w:val="20"/>
                <w:color w:val="auto"/>
              </w:rPr>
            </w:pPr>
            <w:r>
              <w:rPr>
                <w:rFonts w:ascii="Times New Roman" w:cs="Times New Roman" w:eastAsia="Times New Roman" w:hAnsi="Times New Roman"/>
                <w:sz w:val="13"/>
                <w:szCs w:val="13"/>
                <w:color w:val="auto"/>
              </w:rPr>
              <w:t xml:space="preserve">Regulated interstate natural gas transportation, storage, and other revenues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Gathering, processing, storage and transportation revenues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Other fee revenues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Commodity margins</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xml:space="preserve">Operating and administrative costs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Other segment income (expenses) - net </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Proportional Modified EBITDA of equity-method investments</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4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Modified EBITDA</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998</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959</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3,710</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Statistics for Operated Assets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40"/>
              <w:spacing w:after="0" w:line="189" w:lineRule="exact"/>
              <w:rPr>
                <w:sz w:val="20"/>
                <w:szCs w:val="20"/>
                <w:color w:val="auto"/>
              </w:rPr>
            </w:pPr>
            <w:r>
              <w:rPr>
                <w:rFonts w:ascii="Times New Roman" w:cs="Times New Roman" w:eastAsia="Times New Roman" w:hAnsi="Times New Roman"/>
                <w:sz w:val="13"/>
                <w:szCs w:val="13"/>
                <w:i w:val="1"/>
                <w:iCs w:val="1"/>
                <w:color w:val="auto"/>
              </w:rPr>
              <w:t xml:space="preserve">Natural Gas Transmission </w:t>
            </w:r>
            <w:r>
              <w:rPr>
                <w:rFonts w:ascii="Times New Roman" w:cs="Times New Roman" w:eastAsia="Times New Roman" w:hAnsi="Times New Roman"/>
                <w:sz w:val="17"/>
                <w:szCs w:val="17"/>
                <w:i w:val="1"/>
                <w:iCs w:val="1"/>
                <w:color w:val="auto"/>
                <w:vertAlign w:val="superscript"/>
              </w:rPr>
              <w:t>(2)</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Transcontinental Gas Pipe Line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Avg. daily transportation volumes (MMdth)</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Avg. daily firm reserved capacity (MMdth)</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Northwest Pipeline LLC</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Avg. daily transportation volumes (MMdth)</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Avg. daily firm reserved capacity (MMdth)</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 xml:space="preserve">MountainWest </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Avg. daily transportation volumes (MMdth)</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Avg. daily firm reserved capacity (MMdth)</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Gulfstream - Non-consolidated </w:t>
            </w:r>
            <w:r>
              <w:rPr>
                <w:rFonts w:ascii="Times New Roman" w:cs="Times New Roman" w:eastAsia="Times New Roman" w:hAnsi="Times New Roman"/>
                <w:sz w:val="17"/>
                <w:szCs w:val="17"/>
                <w:color w:val="auto"/>
                <w:vertAlign w:val="superscript"/>
              </w:rPr>
              <w:t>(4)</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Avg. daily transportation volumes (MMdth)</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Avg. daily firm reserved capacity (MMdth)</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Gathering, Processing, and Crude Oil Transportation</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Gathering volumes (Bcf/d)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Plant inlet natural gas volumes (Bcf/d)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NGL production (Mbbls/d)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NGL equity sales (Mbbls/d)</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Crude oil transportation volumes (Mbbls/d)</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-3762375</wp:posOffset>
            </wp:positionV>
            <wp:extent cx="7140575" cy="435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4354830"/>
                    </a:xfrm>
                    <a:prstGeom prst="rect">
                      <a:avLst/>
                    </a:prstGeom>
                    <a:noFill/>
                  </pic:spPr>
                </pic:pic>
              </a:graphicData>
            </a:graphic>
          </wp:anchor>
        </w:drawing>
      </w:r>
    </w:p>
    <w:p>
      <w:pPr>
        <w:spacing w:after="0" w:line="192" w:lineRule="exact"/>
        <w:rPr>
          <w:sz w:val="20"/>
          <w:szCs w:val="20"/>
          <w:color w:val="auto"/>
        </w:rPr>
      </w:pPr>
    </w:p>
    <w:p>
      <w:pPr>
        <w:ind w:left="220" w:hanging="181"/>
        <w:spacing w:after="0"/>
        <w:tabs>
          <w:tab w:leader="none" w:pos="2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certain amounts associated with revenues and operating costs for tracked or reimbursable charges.</w:t>
      </w:r>
    </w:p>
    <w:p>
      <w:pPr>
        <w:spacing w:after="0" w:line="26" w:lineRule="exact"/>
        <w:rPr>
          <w:rFonts w:ascii="Times New Roman" w:cs="Times New Roman" w:eastAsia="Times New Roman" w:hAnsi="Times New Roman"/>
          <w:sz w:val="13"/>
          <w:szCs w:val="13"/>
          <w:color w:val="auto"/>
        </w:rPr>
      </w:pPr>
    </w:p>
    <w:p>
      <w:pPr>
        <w:ind w:left="220" w:hanging="181"/>
        <w:spacing w:after="0"/>
        <w:tabs>
          <w:tab w:leader="none" w:pos="2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Tbtu converted to MMdth at one trillion British thermal units = one million dekatherms.</w:t>
      </w:r>
    </w:p>
    <w:p>
      <w:pPr>
        <w:spacing w:after="0" w:line="26" w:lineRule="exact"/>
        <w:rPr>
          <w:rFonts w:ascii="Times New Roman" w:cs="Times New Roman" w:eastAsia="Times New Roman" w:hAnsi="Times New Roman"/>
          <w:sz w:val="13"/>
          <w:szCs w:val="13"/>
          <w:color w:val="auto"/>
        </w:rPr>
      </w:pPr>
    </w:p>
    <w:p>
      <w:pPr>
        <w:ind w:left="220" w:hanging="181"/>
        <w:spacing w:after="0"/>
        <w:tabs>
          <w:tab w:leader="none" w:pos="2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100% of the volumes associated with the operated equity-method investment White River Hub, LLC.</w:t>
      </w:r>
    </w:p>
    <w:p>
      <w:pPr>
        <w:spacing w:after="0" w:line="26" w:lineRule="exact"/>
        <w:rPr>
          <w:rFonts w:ascii="Times New Roman" w:cs="Times New Roman" w:eastAsia="Times New Roman" w:hAnsi="Times New Roman"/>
          <w:sz w:val="13"/>
          <w:szCs w:val="13"/>
          <w:color w:val="auto"/>
        </w:rPr>
      </w:pPr>
    </w:p>
    <w:p>
      <w:pPr>
        <w:ind w:left="220" w:hanging="181"/>
        <w:spacing w:after="0"/>
        <w:tabs>
          <w:tab w:leader="none" w:pos="2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100% of the volumes associated with the equity-method investment Gulfstream Natural Gas System, L.L.C.</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320" w:top="1298" w:right="31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color w:val="auto"/>
        </w:rPr>
        <w:t>Northeast G&amp;P</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4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60" w:type="dxa"/>
            <w:vAlign w:val="bottom"/>
          </w:tcPr>
          <w:p>
            <w:pPr>
              <w:spacing w:after="0"/>
              <w:rPr>
                <w:sz w:val="11"/>
                <w:szCs w:val="11"/>
                <w:color w:val="auto"/>
              </w:rPr>
            </w:pPr>
          </w:p>
        </w:tc>
        <w:tc>
          <w:tcPr>
            <w:tcW w:w="5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w w:val="94"/>
              </w:rPr>
              <w:t>3rd Qtr</w:t>
            </w: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i w:val="1"/>
                <w:iCs w:val="1"/>
                <w:color w:val="auto"/>
              </w:rPr>
              <w:t>Year-to-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w w:val="99"/>
              </w:rPr>
              <w:t>date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40"/>
              <w:spacing w:after="0" w:line="188" w:lineRule="exact"/>
              <w:rPr>
                <w:sz w:val="20"/>
                <w:szCs w:val="20"/>
                <w:color w:val="auto"/>
              </w:rPr>
            </w:pPr>
            <w:r>
              <w:rPr>
                <w:rFonts w:ascii="Times New Roman" w:cs="Times New Roman" w:eastAsia="Times New Roman" w:hAnsi="Times New Roman"/>
                <w:sz w:val="13"/>
                <w:szCs w:val="13"/>
                <w:color w:val="auto"/>
              </w:rPr>
              <w:t xml:space="preserve">Gathering, processing, transportation, and fractionation revenues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fee revenues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Commodity margins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Operating and administrative costs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segment income (expenses) - net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Proportional Modified EBITDA of equity-method investments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Modified EBITDA</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501</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505</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1,606</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Adjustments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Statistics for Operated Assets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Gathering and Processing</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Consolidated </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Gathering volumes (Bcf/d)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Plant inlet natural gas volumes (Bcf/d)</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NGL production (Mbbls/d)</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6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NGL equity sales (Mbbls/d)</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 xml:space="preserve">Non-consolidated </w:t>
            </w:r>
            <w:r>
              <w:rPr>
                <w:rFonts w:ascii="Times New Roman" w:cs="Times New Roman" w:eastAsia="Times New Roman" w:hAnsi="Times New Roman"/>
                <w:sz w:val="17"/>
                <w:szCs w:val="17"/>
                <w:color w:val="auto"/>
                <w:vertAlign w:val="superscript"/>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Gathering volumes (Bcf/d)</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Plant inlet natural gas volumes (Bcf/d)</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NGL production (Mbbls/d)</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NGL equity sales (Mbbls/d)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-2759710</wp:posOffset>
            </wp:positionV>
            <wp:extent cx="7140575" cy="3317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331724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 Excludes certain amounts associated with revenues and operating costs for reimbursable charges.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(2) Includes volumes associated with Susquehanna Supply Hub, the Northeast JV, and Utica Supply Hub.</w:t>
      </w:r>
    </w:p>
    <w:p>
      <w:pPr>
        <w:spacing w:after="0" w:line="26" w:lineRule="exact"/>
        <w:rPr>
          <w:sz w:val="20"/>
          <w:szCs w:val="20"/>
          <w:color w:val="auto"/>
        </w:rPr>
      </w:pPr>
    </w:p>
    <w:p>
      <w:pPr>
        <w:ind w:left="280" w:right="380" w:hanging="242"/>
        <w:spacing w:after="0" w:line="229" w:lineRule="auto"/>
        <w:rPr>
          <w:sz w:val="20"/>
          <w:szCs w:val="20"/>
          <w:color w:val="auto"/>
        </w:rPr>
      </w:pPr>
      <w:r>
        <w:rPr>
          <w:rFonts w:ascii="Times New Roman" w:cs="Times New Roman" w:eastAsia="Times New Roman" w:hAnsi="Times New Roman"/>
          <w:sz w:val="13"/>
          <w:szCs w:val="13"/>
          <w:color w:val="auto"/>
        </w:rPr>
        <w:t>(3) Includes 100% of the volumes associated with operated equity-method investments, including the Laurel Mountain Midstream partnership, Blue Racer Midstream, and the Bradford Supply Hub and the Marcellus South Supply Hub within Appalachia Midstream Investments.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1298" w:right="31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color w:val="auto"/>
        </w:rPr>
        <w:t>West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0" w:type="dxa"/>
            <w:vAlign w:val="bottom"/>
          </w:tcPr>
          <w:p>
            <w:pPr>
              <w:spacing w:after="0"/>
              <w:rPr>
                <w:sz w:val="11"/>
                <w:szCs w:val="11"/>
                <w:color w:val="auto"/>
              </w:rPr>
            </w:pPr>
          </w:p>
        </w:tc>
        <w:tc>
          <w:tcPr>
            <w:tcW w:w="5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00" w:type="dxa"/>
            <w:vAlign w:val="bottom"/>
          </w:tcPr>
          <w:p>
            <w:pPr>
              <w:spacing w:after="0"/>
              <w:rPr>
                <w:sz w:val="11"/>
                <w:szCs w:val="11"/>
                <w:color w:val="auto"/>
              </w:rPr>
            </w:pP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5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w w:val="98"/>
              </w:rPr>
              <w:t>3rd Qtr</w:t>
            </w:r>
          </w:p>
        </w:tc>
        <w:tc>
          <w:tcPr>
            <w:tcW w:w="100" w:type="dxa"/>
            <w:vAlign w:val="bottom"/>
          </w:tcPr>
          <w:p>
            <w:pPr>
              <w:spacing w:after="0"/>
              <w:rPr>
                <w:sz w:val="11"/>
                <w:szCs w:val="11"/>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w w:val="98"/>
              </w:rPr>
              <w:t>3rd Qtr</w:t>
            </w:r>
          </w:p>
        </w:tc>
        <w:tc>
          <w:tcPr>
            <w:tcW w:w="100" w:type="dxa"/>
            <w:vAlign w:val="bottom"/>
          </w:tcPr>
          <w:p>
            <w:pPr>
              <w:spacing w:after="0"/>
              <w:rPr>
                <w:sz w:val="11"/>
                <w:szCs w:val="11"/>
                <w:color w:val="auto"/>
              </w:rPr>
            </w:pPr>
          </w:p>
        </w:tc>
        <w:tc>
          <w:tcPr>
            <w:tcW w:w="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i w:val="1"/>
                <w:iCs w:val="1"/>
                <w:color w:val="auto"/>
              </w:rPr>
              <w:t>Year-to-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date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shd w:val="clear" w:color="auto" w:fill="CCEEFF"/>
          </w:tcPr>
          <w:p>
            <w:pPr>
              <w:ind w:left="40"/>
              <w:spacing w:after="0" w:line="188" w:lineRule="exact"/>
              <w:rPr>
                <w:sz w:val="20"/>
                <w:szCs w:val="20"/>
                <w:color w:val="auto"/>
              </w:rPr>
            </w:pPr>
            <w:r>
              <w:rPr>
                <w:rFonts w:ascii="Times New Roman" w:cs="Times New Roman" w:eastAsia="Times New Roman" w:hAnsi="Times New Roman"/>
                <w:sz w:val="13"/>
                <w:szCs w:val="13"/>
                <w:color w:val="auto"/>
              </w:rPr>
              <w:t xml:space="preserve">Net gathering, processing, transportation, storage, and fractionation revenues </w:t>
            </w:r>
            <w:r>
              <w:rPr>
                <w:rFonts w:ascii="Times New Roman" w:cs="Times New Roman" w:eastAsia="Times New Roman" w:hAnsi="Times New Roman"/>
                <w:sz w:val="17"/>
                <w:szCs w:val="17"/>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fee revenues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Commodity margins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40"/>
              <w:spacing w:after="0" w:line="189" w:lineRule="exact"/>
              <w:rPr>
                <w:sz w:val="20"/>
                <w:szCs w:val="20"/>
                <w:color w:val="auto"/>
              </w:rPr>
            </w:pPr>
            <w:r>
              <w:rPr>
                <w:rFonts w:ascii="Times New Roman" w:cs="Times New Roman" w:eastAsia="Times New Roman" w:hAnsi="Times New Roman"/>
                <w:sz w:val="14"/>
                <w:szCs w:val="14"/>
                <w:color w:val="auto"/>
              </w:rPr>
              <w:t xml:space="preserve">Operating and administrative costs </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segment income (expenses) - net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Impairment or write-off of certain assets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Gain on sale of certain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Proportional Modified EBITDA of equity-method investments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Modified EBITDA</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342</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1,217</w:t>
            </w: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Adjustments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Statistics for Operated Assets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4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Gathering and Processing</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Gathering volumes (Bcf/d)</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Plant inlet natural gas volumes (Bcf/d)</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NGL production (Mbbls/d)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NGL equity sales (Mbbls/d)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 xml:space="preserve">NGL and Crude Oil Transportation volumes (Mbbls/d) </w:t>
            </w:r>
            <w:r>
              <w:rPr>
                <w:rFonts w:ascii="Times New Roman" w:cs="Times New Roman" w:eastAsia="Times New Roman" w:hAnsi="Times New Roman"/>
                <w:sz w:val="17"/>
                <w:szCs w:val="17"/>
                <w:color w:val="auto"/>
                <w:vertAlign w:val="superscript"/>
              </w:rPr>
              <w:t>(2)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-2313940</wp:posOffset>
            </wp:positionV>
            <wp:extent cx="7140575" cy="267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267462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 Excludes certain amounts associated with revenues and operating costs for reimbursable charges.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(2) Includes 100% of the volumes associated with Overland Pass Pipeline Company (an operated equity-method investment), Rocky Mountain Midstream, and Bluestem pipelines.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320" w:top="1298" w:right="31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color w:val="auto"/>
        </w:rPr>
        <w:t>Gas &amp; NGL Marketing Services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60" w:type="dxa"/>
            <w:vAlign w:val="bottom"/>
          </w:tcPr>
          <w:p>
            <w:pPr>
              <w:spacing w:after="0"/>
              <w:rPr>
                <w:sz w:val="11"/>
                <w:szCs w:val="11"/>
                <w:color w:val="auto"/>
              </w:rPr>
            </w:pPr>
          </w:p>
        </w:tc>
        <w:tc>
          <w:tcPr>
            <w:tcW w:w="5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w w:val="98"/>
              </w:rPr>
              <w:t>3rd Qtr</w:t>
            </w: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i w:val="1"/>
                <w:iCs w:val="1"/>
                <w:color w:val="auto"/>
                <w:w w:val="98"/>
              </w:rPr>
              <w:t>Year-to-</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date</w:t>
            </w:r>
          </w:p>
        </w:tc>
        <w:tc>
          <w:tcPr>
            <w:tcW w:w="0" w:type="dxa"/>
            <w:vAlign w:val="bottom"/>
          </w:tcPr>
          <w:p>
            <w:pPr>
              <w:spacing w:after="0"/>
              <w:rPr>
                <w:sz w:val="1"/>
                <w:szCs w:val="1"/>
                <w:color w:val="auto"/>
              </w:rPr>
            </w:pPr>
          </w:p>
        </w:tc>
      </w:tr>
      <w:tr>
        <w:trPr>
          <w:trHeight w:val="188"/>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Commodity margins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Net unrealized gain (loss) from derivative instruments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Operating and administrative costs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Other segment income (expenses) - net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Proportional Modified EBITDA of equity-method investments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Modified EBITDA</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135</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46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Statistics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i w:val="1"/>
                <w:iCs w:val="1"/>
                <w:color w:val="auto"/>
              </w:rPr>
              <w:t>Product Sales Volumes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46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Natural Gas (Bcf/d)</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NGLs (Mbbls/d)</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46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1298" w:right="31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60" w:type="dxa"/>
            <w:vAlign w:val="bottom"/>
          </w:tcPr>
          <w:p>
            <w:pPr>
              <w:spacing w:after="0"/>
              <w:rPr>
                <w:sz w:val="11"/>
                <w:szCs w:val="11"/>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60" w:type="dxa"/>
            <w:vAlign w:val="bottom"/>
          </w:tcPr>
          <w:p>
            <w:pPr>
              <w:spacing w:after="0"/>
              <w:rPr>
                <w:sz w:val="11"/>
                <w:szCs w:val="11"/>
                <w:color w:val="auto"/>
              </w:rPr>
            </w:pPr>
          </w:p>
        </w:tc>
        <w:tc>
          <w:tcPr>
            <w:tcW w:w="5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w w:val="98"/>
              </w:rPr>
              <w:t>3rd Qtr</w:t>
            </w:r>
          </w:p>
        </w:tc>
        <w:tc>
          <w:tcPr>
            <w:tcW w:w="120" w:type="dxa"/>
            <w:vAlign w:val="bottom"/>
          </w:tcPr>
          <w:p>
            <w:pPr>
              <w:spacing w:after="0"/>
              <w:rPr>
                <w:sz w:val="11"/>
                <w:szCs w:val="11"/>
                <w:color w:val="auto"/>
              </w:rPr>
            </w:pPr>
          </w:p>
        </w:tc>
        <w:tc>
          <w:tcPr>
            <w:tcW w:w="7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i w:val="1"/>
                <w:iCs w:val="1"/>
                <w:color w:val="auto"/>
              </w:rPr>
              <w:t>Year-to-</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date</w:t>
            </w:r>
          </w:p>
        </w:tc>
        <w:tc>
          <w:tcPr>
            <w:tcW w:w="0" w:type="dxa"/>
            <w:vAlign w:val="bottom"/>
          </w:tcPr>
          <w:p>
            <w:pPr>
              <w:spacing w:after="0"/>
              <w:rPr>
                <w:sz w:val="1"/>
                <w:szCs w:val="1"/>
                <w:color w:val="auto"/>
              </w:rPr>
            </w:pPr>
          </w:p>
        </w:tc>
      </w:tr>
      <w:tr>
        <w:trPr>
          <w:trHeight w:val="188"/>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Service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Net realized product sales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unrealized gain (loss) from derivative instruments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Operating and administrative costs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segment income (expenses) -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Gain on sale of certain assets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Borders>
              <w:top w:val="single" w:sz="8" w:color="CCEEFF"/>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Modified EBITDA</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382</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Adjustments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Borders>
              <w:bottom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Statistics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4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Net Product Sales Volumes</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Natural Gas (Bcf/d)</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NGLs (Mbbls/d)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Crude Oil (Mbbls/d)</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46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320" w:top="1298" w:right="31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 and Investments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(UNAUDITED)</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4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6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20" w:type="dxa"/>
            <w:vAlign w:val="bottom"/>
          </w:tcPr>
          <w:p>
            <w:pPr>
              <w:spacing w:after="0"/>
              <w:rPr>
                <w:sz w:val="11"/>
                <w:szCs w:val="11"/>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60" w:type="dxa"/>
            <w:vAlign w:val="bottom"/>
          </w:tcPr>
          <w:p>
            <w:pPr>
              <w:spacing w:after="0"/>
              <w:rPr>
                <w:sz w:val="11"/>
                <w:szCs w:val="11"/>
                <w:color w:val="auto"/>
              </w:rPr>
            </w:pPr>
          </w:p>
        </w:tc>
        <w:tc>
          <w:tcPr>
            <w:tcW w:w="5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w w:val="98"/>
              </w:rPr>
              <w:t>3rd Qtr</w:t>
            </w: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i w:val="1"/>
                <w:iCs w:val="1"/>
                <w:color w:val="auto"/>
                <w:w w:val="98"/>
              </w:rPr>
              <w:t>Year-to-</w:t>
            </w:r>
          </w:p>
        </w:tc>
        <w:tc>
          <w:tcPr>
            <w:tcW w:w="0" w:type="dxa"/>
            <w:vAlign w:val="bottom"/>
          </w:tcPr>
          <w:p>
            <w:pPr>
              <w:spacing w:after="0"/>
              <w:rPr>
                <w:sz w:val="1"/>
                <w:szCs w:val="1"/>
                <w:color w:val="auto"/>
              </w:rPr>
            </w:pPr>
          </w:p>
        </w:tc>
      </w:tr>
      <w:tr>
        <w:trPr>
          <w:trHeight w:val="207"/>
        </w:trPr>
        <w:tc>
          <w:tcPr>
            <w:tcW w:w="4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date</w:t>
            </w:r>
          </w:p>
        </w:tc>
        <w:tc>
          <w:tcPr>
            <w:tcW w:w="0" w:type="dxa"/>
            <w:vAlign w:val="bottom"/>
          </w:tcPr>
          <w:p>
            <w:pPr>
              <w:spacing w:after="0"/>
              <w:rPr>
                <w:sz w:val="1"/>
                <w:szCs w:val="1"/>
                <w:color w:val="auto"/>
              </w:rPr>
            </w:pPr>
          </w:p>
        </w:tc>
      </w:tr>
      <w:tr>
        <w:trPr>
          <w:trHeight w:val="94"/>
        </w:trPr>
        <w:tc>
          <w:tcPr>
            <w:tcW w:w="44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Transmission, Power &amp; Gulf</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4,706</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Northeast G&amp;P</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West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Gas &amp; NGL Marketing Services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Borders>
              <w:bottom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tcBorders>
              <w:left w:val="single" w:sz="8" w:color="auto"/>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17"/>
                <w:szCs w:val="17"/>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1,955</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4,893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5,682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Purchases of and contributions to equity-method investments: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Transmission, Power &amp; Gulf</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Northeast G&amp;P</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West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Gas &amp; NGL Marketing Services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4"/>
        </w:trPr>
        <w:tc>
          <w:tcPr>
            <w:tcW w:w="4460" w:type="dxa"/>
            <w:vAlign w:val="bottom"/>
            <w:tcBorders>
              <w:top w:val="single" w:sz="8" w:color="CCEEFF"/>
              <w:left w:val="single" w:sz="8" w:color="auto"/>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w:t>
            </w: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Transmission, Power &amp; Gulf</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4,790</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Northeast G&amp;P</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West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Gas &amp; NGL Marketing Services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Borders>
              <w:bottom w:val="single" w:sz="8" w:color="CCEEFF"/>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60" w:type="dxa"/>
            <w:vAlign w:val="bottom"/>
            <w:tcBorders>
              <w:left w:val="single" w:sz="8" w:color="auto"/>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2,274</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5,838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Capital investments:</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Increases to property, plant, and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Purchases of businesses, net of cash acquired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Purchases of and contributions to equity-method investments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Purchases of other long-term investments</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2,616</w:t>
            </w: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5,894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5,549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9,003</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Borders>
              <w:left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Increases to property, plant, and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6,013</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Changes in related accounts payable and accrued liabilities</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Capital expenditures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954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1,955</w:t>
            </w: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4,893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5,682</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Borders>
              <w:left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Contributions from noncontrolling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Proceeds from sale of certain upstream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Proceeds from sale of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Proceeds from disposition of equity-method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Proceeds from sale of partial interest in consolidated subsidiary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3,737</w:t>
            </w:r>
          </w:p>
        </w:tc>
        <w:tc>
          <w:tcPr>
            <w:tcW w:w="1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320" w:top="1298"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This news release and accompanying materials may include certain financial measures – adjusted EBITDA, adjusted income (“earnings”), adjusted earnings per share, available funds from operations and dividend coverage ratio – that are non-GAAP financial measures as defined under the rules of the SEC.</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segment performance measure, modified EBITDA, is defined as net income (loss) before income (loss) from discontinued operations, income tax expense, net interest expense, equity earnings from equity-method investments, other net investing income, impairments of equity investments and goodwill, depreciation, depletion, and amortization expense, and accretion expense associated with asset retirement obligations for nonregulated operations. We also add our proportional ownership share (based on ownership interest) of modified EBITDA of equity-method investments, including our indirect share from interests owned by equity-method investees.</w:t>
      </w:r>
    </w:p>
    <w:p>
      <w:pPr>
        <w:spacing w:after="0" w:line="206"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Adjusted EBITDA further excludes items of income or loss that we characterize as unrepresentative of our ongoing operations. Such items are excluded from net income to determine adjusted income and adjusted earnings per share. Management believes this measure provides investors meaningful insight into results from ongoing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Available funds from operations (AFFO) is defined as cash flow from operations excluding the effect of changes in working capital and certain other changes in noncurrent assets and liabilities, reduced by preferred dividends and net distributions to noncontrolling interests. AFFO may be adjusted to exclude certain items that we characterize as unrepresentative of our ongoing operations.</w:t>
      </w:r>
    </w:p>
    <w:p>
      <w:pPr>
        <w:spacing w:after="0" w:line="19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This news release is accompanied by a reconciliation of these non-GAAP financial measures to their nearest GAAP financial measures. Management uses these financial measures because they are accepted financial indicators used by investors to compare company performance. In addition, management believes that these measures provide investors an enhanced perspective of the operating performance of assets and the cash that the business is generating.</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Neither adjusted EBITDA, adjusted income, nor available funds from operations are intended to represent cash flows for the period, nor are they presented as an alternative to net income or cash flow from operations. They should not be considered in isolation or as substitutes for a measure of performance prepared in accordance with United States generally accepted accounting principles.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12" w:right="339" w:bottom="1440" w:gutter="0" w:footer="0" w:header="0"/>
        </w:sectPr>
      </w:pPr>
    </w:p>
    <w:bookmarkStart w:id="18" w:name="page19"/>
    <w:bookmarkEnd w:id="18"/>
    <w:p>
      <w:pPr>
        <w:ind w:left="20" w:right="2660"/>
        <w:spacing w:after="0" w:line="306" w:lineRule="auto"/>
        <w:rPr>
          <w:sz w:val="20"/>
          <w:szCs w:val="20"/>
          <w:color w:val="auto"/>
        </w:rPr>
      </w:pPr>
      <w:r>
        <w:rPr>
          <w:rFonts w:ascii="Times New Roman" w:cs="Times New Roman" w:eastAsia="Times New Roman" w:hAnsi="Times New Roman"/>
          <w:sz w:val="14"/>
          <w:szCs w:val="14"/>
          <w:b w:val="1"/>
          <w:bCs w:val="1"/>
          <w:color w:val="auto"/>
        </w:rPr>
        <w:t xml:space="preserve">Reconciliation of Income (Loss) from Continuing Operations Attributable to The Williams Companies, Inc. to Non-GAAP Adjusted Income </w:t>
      </w:r>
      <w:r>
        <w:rPr>
          <w:rFonts w:ascii="Times New Roman" w:cs="Times New Roman" w:eastAsia="Times New Roman" w:hAnsi="Times New Roman"/>
          <w:sz w:val="14"/>
          <w:szCs w:val="14"/>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tcBorders>
              <w:bottom w:val="single" w:sz="8" w:color="auto"/>
            </w:tcBorders>
            <w:gridSpan w:val="7"/>
          </w:tcPr>
          <w:p>
            <w:pPr>
              <w:ind w:left="20"/>
              <w:spacing w:after="0" w:line="146" w:lineRule="exact"/>
              <w:rPr>
                <w:sz w:val="20"/>
                <w:szCs w:val="20"/>
                <w:color w:val="auto"/>
              </w:rPr>
            </w:pPr>
            <w:r>
              <w:rPr>
                <w:rFonts w:ascii="Times New Roman" w:cs="Times New Roman" w:eastAsia="Times New Roman" w:hAnsi="Times New Roman"/>
                <w:sz w:val="13"/>
                <w:szCs w:val="13"/>
                <w:i w:val="1"/>
                <w:iCs w:val="1"/>
                <w:color w:val="auto"/>
              </w:rPr>
              <w:t>(Dollars in millions, except per-share amounts)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rPr>
              <w:t>1st Qtr</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i w:val="1"/>
                <w:iCs w:val="1"/>
                <w:color w:val="auto"/>
                <w:w w:val="97"/>
              </w:rPr>
              <w:t>2nd Qtr</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w w:val="96"/>
              </w:rPr>
              <w:t>3rd Qtr</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rPr>
              <w:t>4th Qtr</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i w:val="1"/>
                <w:iCs w:val="1"/>
                <w:color w:val="auto"/>
              </w:rPr>
              <w:t>Year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i w:val="1"/>
                <w:iCs w:val="1"/>
                <w:color w:val="auto"/>
                <w:w w:val="98"/>
              </w:rPr>
              <w:t>1st Qtr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w w:val="97"/>
              </w:rPr>
              <w:t>2nd Qtr</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w w:val="91"/>
              </w:rPr>
              <w:t>3rd Qtr</w:t>
            </w:r>
          </w:p>
        </w:tc>
        <w:tc>
          <w:tcPr>
            <w:tcW w:w="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Year-to-date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5080" w:type="dxa"/>
            <w:vAlign w:val="bottom"/>
            <w:gridSpan w:val="7"/>
            <w:shd w:val="clear" w:color="auto" w:fill="CCEEFF"/>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Income (loss) from continuing operations attributable to The Williams Companies, Inc.</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2,615</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available to common stockholders</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080" w:type="dxa"/>
            <w:vAlign w:val="bottom"/>
            <w:tcBorders>
              <w:bottom w:val="single" w:sz="8" w:color="CCEEFF"/>
            </w:tcBorders>
            <w:gridSpan w:val="7"/>
            <w:shd w:val="clear" w:color="auto" w:fill="CCEEFF"/>
          </w:tcPr>
          <w:p>
            <w:pPr>
              <w:ind w:left="40"/>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Income (loss) from continuing operations - diluted earnings (loss) per common share </w:t>
            </w:r>
            <w:r>
              <w:rPr>
                <w:rFonts w:ascii="Times New Roman" w:cs="Times New Roman" w:eastAsia="Times New Roman" w:hAnsi="Times New Roman"/>
                <w:sz w:val="16"/>
                <w:szCs w:val="16"/>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7"/>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08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80" w:type="dxa"/>
            <w:vAlign w:val="bottom"/>
            <w:gridSpan w:val="7"/>
            <w:shd w:val="clear" w:color="auto" w:fill="CCEEFF"/>
          </w:tcPr>
          <w:p>
            <w:pPr>
              <w:ind w:left="40"/>
              <w:spacing w:after="0" w:line="140" w:lineRule="exact"/>
              <w:rPr>
                <w:sz w:val="20"/>
                <w:szCs w:val="20"/>
                <w:color w:val="auto"/>
              </w:rPr>
            </w:pPr>
            <w:r>
              <w:rPr>
                <w:rFonts w:ascii="Times New Roman" w:cs="Times New Roman" w:eastAsia="Times New Roman" w:hAnsi="Times New Roman"/>
                <w:sz w:val="13"/>
                <w:szCs w:val="13"/>
                <w:i w:val="1"/>
                <w:iCs w:val="1"/>
                <w:color w:val="auto"/>
              </w:rPr>
              <w:t>Transmission, Power &amp; Gulf</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Borders>
              <w:top w:val="single" w:sz="8" w:color="CCEEFF"/>
            </w:tcBorders>
          </w:tcPr>
          <w:p>
            <w:pPr>
              <w:spacing w:after="0"/>
              <w:rPr>
                <w:sz w:val="14"/>
                <w:szCs w:val="14"/>
                <w:color w:val="auto"/>
              </w:rPr>
            </w:pPr>
          </w:p>
        </w:tc>
        <w:tc>
          <w:tcPr>
            <w:tcW w:w="14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color w:val="auto"/>
                <w:w w:val="97"/>
              </w:rPr>
              <w:t>Transco rate case timing*</w:t>
            </w:r>
          </w:p>
        </w:tc>
        <w:tc>
          <w:tcPr>
            <w:tcW w:w="3600" w:type="dxa"/>
            <w:vAlign w:val="bottom"/>
            <w:tcBorders>
              <w:top w:val="single" w:sz="8" w:color="CCEEFF"/>
            </w:tcBorders>
            <w:gridSpan w:val="3"/>
          </w:tcPr>
          <w:p>
            <w:pPr>
              <w:spacing w:after="0"/>
              <w:rPr>
                <w:sz w:val="14"/>
                <w:szCs w:val="14"/>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costs*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4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Acquisition and transition-related costs*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gain related to certain asset retirements*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5040" w:type="dxa"/>
            <w:vAlign w:val="bottom"/>
            <w:gridSpan w:val="6"/>
          </w:tcPr>
          <w:p>
            <w:pPr>
              <w:ind w:left="220"/>
              <w:spacing w:after="0"/>
              <w:rPr>
                <w:sz w:val="20"/>
                <w:szCs w:val="20"/>
                <w:color w:val="auto"/>
              </w:rPr>
            </w:pPr>
            <w:r>
              <w:rPr>
                <w:rFonts w:ascii="Times New Roman" w:cs="Times New Roman" w:eastAsia="Times New Roman" w:hAnsi="Times New Roman"/>
                <w:sz w:val="13"/>
                <w:szCs w:val="13"/>
                <w:i w:val="1"/>
                <w:iCs w:val="1"/>
                <w:color w:val="auto"/>
              </w:rPr>
              <w:t>Total Transmission, Power &amp; Gulf adjustments</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080" w:type="dxa"/>
            <w:vAlign w:val="bottom"/>
            <w:gridSpan w:val="7"/>
            <w:shd w:val="clear" w:color="auto" w:fill="CCEEFF"/>
          </w:tcPr>
          <w:p>
            <w:pPr>
              <w:ind w:left="40"/>
              <w:spacing w:after="0" w:line="141" w:lineRule="exact"/>
              <w:rPr>
                <w:sz w:val="20"/>
                <w:szCs w:val="20"/>
                <w:color w:val="auto"/>
              </w:rPr>
            </w:pPr>
            <w:r>
              <w:rPr>
                <w:rFonts w:ascii="Times New Roman" w:cs="Times New Roman" w:eastAsia="Times New Roman" w:hAnsi="Times New Roman"/>
                <w:sz w:val="13"/>
                <w:szCs w:val="13"/>
                <w:i w:val="1"/>
                <w:iCs w:val="1"/>
                <w:color w:val="auto"/>
              </w:rPr>
              <w:t>West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504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Impairment or write-off of certain assets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 and transition-related costs*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4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Gain on sale of certain assets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top w:val="single" w:sz="8" w:color="CCEEFF"/>
            </w:tcBorders>
            <w:shd w:val="clear" w:color="auto" w:fill="CCEEFF"/>
          </w:tcPr>
          <w:p>
            <w:pPr>
              <w:spacing w:after="0"/>
              <w:rPr>
                <w:sz w:val="15"/>
                <w:szCs w:val="15"/>
                <w:color w:val="auto"/>
              </w:rPr>
            </w:pPr>
          </w:p>
        </w:tc>
        <w:tc>
          <w:tcPr>
            <w:tcW w:w="5040" w:type="dxa"/>
            <w:vAlign w:val="bottom"/>
            <w:tcBorders>
              <w:top w:val="single" w:sz="8" w:color="CCEEFF"/>
            </w:tcBorders>
            <w:gridSpan w:val="6"/>
            <w:shd w:val="clear" w:color="auto" w:fill="CCEEFF"/>
          </w:tcPr>
          <w:p>
            <w:pPr>
              <w:ind w:left="220"/>
              <w:spacing w:after="0"/>
              <w:rPr>
                <w:sz w:val="20"/>
                <w:szCs w:val="20"/>
                <w:color w:val="auto"/>
              </w:rPr>
            </w:pPr>
            <w:r>
              <w:rPr>
                <w:rFonts w:ascii="Times New Roman" w:cs="Times New Roman" w:eastAsia="Times New Roman" w:hAnsi="Times New Roman"/>
                <w:sz w:val="13"/>
                <w:szCs w:val="13"/>
                <w:i w:val="1"/>
                <w:iCs w:val="1"/>
                <w:color w:val="auto"/>
              </w:rPr>
              <w:t>Total West adjustments</w:t>
            </w: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08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 &amp; NGL Marketing Services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Impact of volatility on NGL linefill transactions*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Borders>
              <w:bottom w:val="single" w:sz="8" w:color="CCEEFF"/>
            </w:tcBorders>
          </w:tcPr>
          <w:p>
            <w:pPr>
              <w:spacing w:after="0"/>
              <w:rPr>
                <w:sz w:val="14"/>
                <w:szCs w:val="14"/>
                <w:color w:val="auto"/>
              </w:rPr>
            </w:pPr>
          </w:p>
        </w:tc>
        <w:tc>
          <w:tcPr>
            <w:tcW w:w="504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3"/>
                <w:szCs w:val="13"/>
                <w:color w:val="auto"/>
              </w:rPr>
              <w:t>Net unrealized (gain) loss from derivative instruments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3"/>
                <w:szCs w:val="13"/>
                <w:i w:val="1"/>
                <w:iCs w:val="1"/>
                <w:color w:val="auto"/>
              </w:rPr>
              <w:t>Total Gas &amp; NGL Marketing Services adjustments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08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Other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 and transition-related costs*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040" w:type="dxa"/>
            <w:vAlign w:val="bottom"/>
            <w:gridSpan w:val="6"/>
          </w:tcPr>
          <w:p>
            <w:pPr>
              <w:ind w:left="120"/>
              <w:spacing w:after="0"/>
              <w:rPr>
                <w:sz w:val="20"/>
                <w:szCs w:val="20"/>
                <w:color w:val="auto"/>
              </w:rPr>
            </w:pPr>
            <w:r>
              <w:rPr>
                <w:rFonts w:ascii="Times New Roman" w:cs="Times New Roman" w:eastAsia="Times New Roman" w:hAnsi="Times New Roman"/>
                <w:sz w:val="13"/>
                <w:szCs w:val="13"/>
                <w:color w:val="auto"/>
              </w:rPr>
              <w:t>Net unrealized (gain) loss from derivative instruments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certain upstream assets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CCEEFF"/>
            </w:tcBorders>
          </w:tcPr>
          <w:p>
            <w:pPr>
              <w:spacing w:after="0"/>
              <w:rPr>
                <w:sz w:val="14"/>
                <w:szCs w:val="14"/>
                <w:color w:val="auto"/>
              </w:rPr>
            </w:pPr>
          </w:p>
        </w:tc>
        <w:tc>
          <w:tcPr>
            <w:tcW w:w="5040" w:type="dxa"/>
            <w:vAlign w:val="bottom"/>
            <w:tcBorders>
              <w:bottom w:val="single" w:sz="8" w:color="CCEEFF"/>
            </w:tcBorders>
            <w:gridSpan w:val="6"/>
          </w:tcPr>
          <w:p>
            <w:pPr>
              <w:ind w:left="220"/>
              <w:spacing w:after="0"/>
              <w:rPr>
                <w:sz w:val="20"/>
                <w:szCs w:val="20"/>
                <w:color w:val="auto"/>
              </w:rPr>
            </w:pPr>
            <w:r>
              <w:rPr>
                <w:rFonts w:ascii="Times New Roman" w:cs="Times New Roman" w:eastAsia="Times New Roman" w:hAnsi="Times New Roman"/>
                <w:sz w:val="13"/>
                <w:szCs w:val="13"/>
                <w:i w:val="1"/>
                <w:iCs w:val="1"/>
                <w:color w:val="auto"/>
              </w:rPr>
              <w:t>Total Other adjustments</w:t>
            </w: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 included in Modified EBITDA</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08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color w:val="auto"/>
              </w:rPr>
              <w:t>Adjustments below Modified EBITDA</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Gain on sale of Brazos investment, including additional (gain)/loss on consideration received</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040" w:type="dxa"/>
            <w:vAlign w:val="bottom"/>
            <w:gridSpan w:val="6"/>
          </w:tcPr>
          <w:p>
            <w:pPr>
              <w:ind w:left="120"/>
              <w:spacing w:after="0"/>
              <w:rPr>
                <w:sz w:val="20"/>
                <w:szCs w:val="20"/>
                <w:color w:val="auto"/>
              </w:rPr>
            </w:pPr>
            <w:r>
              <w:rPr>
                <w:rFonts w:ascii="Times New Roman" w:cs="Times New Roman" w:eastAsia="Times New Roman" w:hAnsi="Times New Roman"/>
                <w:sz w:val="13"/>
                <w:szCs w:val="13"/>
                <w:i w:val="1"/>
                <w:iCs w:val="1"/>
                <w:color w:val="auto"/>
              </w:rPr>
              <w:t>Transco rate case timing</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50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Our share of fair value change from Cogentrix investment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tcPr>
          <w:p>
            <w:pPr>
              <w:spacing w:after="0"/>
              <w:rPr>
                <w:sz w:val="14"/>
                <w:szCs w:val="14"/>
                <w:color w:val="auto"/>
              </w:rPr>
            </w:pPr>
          </w:p>
        </w:tc>
        <w:tc>
          <w:tcPr>
            <w:tcW w:w="5040" w:type="dxa"/>
            <w:vAlign w:val="bottom"/>
            <w:tcBorders>
              <w:bottom w:val="single" w:sz="8" w:color="CCEEFF"/>
            </w:tcBorders>
            <w:gridSpan w:val="6"/>
          </w:tcPr>
          <w:p>
            <w:pPr>
              <w:ind w:left="120"/>
              <w:spacing w:after="0"/>
              <w:rPr>
                <w:sz w:val="20"/>
                <w:szCs w:val="20"/>
                <w:color w:val="auto"/>
              </w:rPr>
            </w:pPr>
            <w:r>
              <w:rPr>
                <w:rFonts w:ascii="Times New Roman" w:cs="Times New Roman" w:eastAsia="Times New Roman" w:hAnsi="Times New Roman"/>
                <w:sz w:val="13"/>
                <w:szCs w:val="13"/>
                <w:i w:val="1"/>
                <w:iCs w:val="1"/>
                <w:color w:val="auto"/>
              </w:rPr>
              <w:t>Amortization of intangible assets from 2021 Sequent acquisition</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Total adjustments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 tax effect for above items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gridSpan w:val="7"/>
          </w:tcPr>
          <w:p>
            <w:pPr>
              <w:ind w:left="40"/>
              <w:spacing w:after="0" w:line="175" w:lineRule="exact"/>
              <w:rPr>
                <w:sz w:val="20"/>
                <w:szCs w:val="20"/>
                <w:color w:val="auto"/>
              </w:rPr>
            </w:pPr>
            <w:r>
              <w:rPr>
                <w:rFonts w:ascii="Times New Roman" w:cs="Times New Roman" w:eastAsia="Times New Roman" w:hAnsi="Times New Roman"/>
                <w:sz w:val="13"/>
                <w:szCs w:val="13"/>
                <w:color w:val="auto"/>
              </w:rPr>
              <w:t xml:space="preserve">Adjustments for tax-related items </w:t>
            </w:r>
            <w:r>
              <w:rPr>
                <w:rFonts w:ascii="Times New Roman" w:cs="Times New Roman" w:eastAsia="Times New Roman" w:hAnsi="Times New Roman"/>
                <w:sz w:val="16"/>
                <w:szCs w:val="16"/>
                <w:color w:val="auto"/>
                <w:vertAlign w:val="superscript"/>
              </w:rPr>
              <w:t>(2)</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80" w:type="dxa"/>
            <w:vAlign w:val="bottom"/>
            <w:tcBorders>
              <w:top w:val="single" w:sz="8" w:color="CCEEFF"/>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income from continuing operations available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80" w:type="dxa"/>
            <w:vAlign w:val="bottom"/>
            <w:gridSpan w:val="7"/>
          </w:tcPr>
          <w:p>
            <w:pPr>
              <w:ind w:left="40"/>
              <w:spacing w:after="0" w:line="177" w:lineRule="exact"/>
              <w:rPr>
                <w:sz w:val="20"/>
                <w:szCs w:val="20"/>
                <w:color w:val="auto"/>
              </w:rPr>
            </w:pPr>
            <w:r>
              <w:rPr>
                <w:rFonts w:ascii="Times New Roman" w:cs="Times New Roman" w:eastAsia="Times New Roman" w:hAnsi="Times New Roman"/>
                <w:sz w:val="13"/>
                <w:szCs w:val="13"/>
                <w:b w:val="1"/>
                <w:bCs w:val="1"/>
                <w:color w:val="auto"/>
              </w:rPr>
              <w:t xml:space="preserve">Adjusted income from continuing operations - diluted earnings per common share </w:t>
            </w:r>
            <w:r>
              <w:rPr>
                <w:rFonts w:ascii="Times New Roman" w:cs="Times New Roman" w:eastAsia="Times New Roman" w:hAnsi="Times New Roman"/>
                <w:sz w:val="16"/>
                <w:szCs w:val="16"/>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Weighted-average shares - diluted (millions)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-4302760</wp:posOffset>
            </wp:positionV>
            <wp:extent cx="7140575" cy="4620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4620260"/>
                    </a:xfrm>
                    <a:prstGeom prst="rect">
                      <a:avLst/>
                    </a:prstGeom>
                    <a:noFill/>
                  </pic:spPr>
                </pic:pic>
              </a:graphicData>
            </a:graphic>
          </wp:anchor>
        </w:drawing>
      </w:r>
    </w:p>
    <w:p>
      <w:pPr>
        <w:ind w:left="200" w:hanging="161"/>
        <w:spacing w:after="0"/>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sum of earnings per share for the quarters may not equal the total earnings per share for the year due to changes in the weighted-average number of common shares outstanding.</w:t>
      </w:r>
    </w:p>
    <w:p>
      <w:pPr>
        <w:spacing w:after="0" w:line="35" w:lineRule="exact"/>
        <w:rPr>
          <w:rFonts w:ascii="Times New Roman" w:cs="Times New Roman" w:eastAsia="Times New Roman" w:hAnsi="Times New Roman"/>
          <w:sz w:val="11"/>
          <w:szCs w:val="11"/>
          <w:color w:val="auto"/>
        </w:rPr>
      </w:pPr>
    </w:p>
    <w:p>
      <w:pPr>
        <w:ind w:left="40" w:right="300" w:hanging="1"/>
        <w:spacing w:after="0" w:line="333" w:lineRule="auto"/>
        <w:tabs>
          <w:tab w:leader="none" w:pos="193"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third quarter of 2025 includes an adjustment associated with an increase in our estimated deferred state income tax rate. The fourth quarter of 2025 includes an adjustment associated with a decrease in our estimated deferred state income tax rate. *Amounts are included in Additional adjustments on the Reconciliation of Cash Flow from Operating Activities to Non-GAAP Available Funds from Operations (AFFO).</w:t>
      </w: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320" w:top="884" w:right="319" w:bottom="1440" w:gutter="0" w:footer="0" w:header="0"/>
        </w:sectPr>
      </w:pPr>
    </w:p>
    <w:bookmarkStart w:id="19" w:name="page20"/>
    <w:bookmarkEnd w:id="19"/>
    <w:p>
      <w:pPr>
        <w:ind w:left="20" w:right="4280"/>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Reconciliation of "Net Income (Loss)" to “Modified EBITDA” and Non-GAAP “Adjusted EBITDA” </w:t>
      </w:r>
      <w:r>
        <w:rPr>
          <w:rFonts w:ascii="Times New Roman" w:cs="Times New Roman" w:eastAsia="Times New Roman" w:hAnsi="Times New Roman"/>
          <w:sz w:val="16"/>
          <w:szCs w:val="16"/>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0" w:type="dxa"/>
            <w:vAlign w:val="bottom"/>
          </w:tcPr>
          <w:p>
            <w:pPr>
              <w:spacing w:after="0"/>
              <w:rPr>
                <w:sz w:val="11"/>
                <w:szCs w:val="11"/>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40" w:type="dxa"/>
            <w:vAlign w:val="bottom"/>
          </w:tcPr>
          <w:p>
            <w:pPr>
              <w:spacing w:after="0"/>
              <w:rPr>
                <w:sz w:val="11"/>
                <w:szCs w:val="11"/>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6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20" w:type="dxa"/>
            <w:vAlign w:val="bottom"/>
          </w:tcPr>
          <w:p>
            <w:pPr>
              <w:spacing w:after="0"/>
              <w:rPr>
                <w:sz w:val="11"/>
                <w:szCs w:val="11"/>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60" w:type="dxa"/>
            <w:vAlign w:val="bottom"/>
          </w:tcPr>
          <w:p>
            <w:pPr>
              <w:spacing w:after="0"/>
              <w:rPr>
                <w:sz w:val="11"/>
                <w:szCs w:val="11"/>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w w:val="98"/>
              </w:rPr>
              <w:t>3rd Qtr</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i w:val="1"/>
                <w:iCs w:val="1"/>
                <w:color w:val="auto"/>
                <w:w w:val="98"/>
              </w:rPr>
              <w:t>Year-to-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4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2,555</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(earnings) losses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46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Accretion expense associated with asset retirement obligations for</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nonregulated operations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Modified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6,376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Transmission, Power &amp; Gulf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Northeast G&amp;P</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West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Gas &amp; NGL Marketing Services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Modified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1,932</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7,673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Transmission, Power &amp; Gulf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West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Gas &amp; NGL Marketing Services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Transmission, Power &amp; Gulf</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Northeast G&amp;P</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West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Gas &amp; NGL Marketing Services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2,033</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6,214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-4225290</wp:posOffset>
            </wp:positionV>
            <wp:extent cx="7140575" cy="4551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4551680"/>
                    </a:xfrm>
                    <a:prstGeom prst="rect">
                      <a:avLst/>
                    </a:prstGeom>
                    <a:noFill/>
                  </pic:spPr>
                </pic:pic>
              </a:graphicData>
            </a:graphic>
          </wp:anchor>
        </w:drawing>
      </w:r>
    </w:p>
    <w:p>
      <w:pPr>
        <w:spacing w:after="0" w:line="164" w:lineRule="exact"/>
        <w:rPr>
          <w:sz w:val="20"/>
          <w:szCs w:val="20"/>
          <w:color w:val="auto"/>
        </w:rPr>
      </w:pPr>
    </w:p>
    <w:p>
      <w:pPr>
        <w:ind w:left="280" w:right="640" w:hanging="241"/>
        <w:spacing w:after="0" w:line="229" w:lineRule="auto"/>
        <w:tabs>
          <w:tab w:leader="none" w:pos="21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are detailed in the "Reconciliation of Income (Loss) from Continuing Operations Attributable to The Williams Companies, Inc. to Non-GAAP Adjusted Income," which is also included in these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320" w:top="1055" w:right="31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Flow from Operating Activities to Non-GAAP Available Funds from Operations (AFFO)</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coverage ratios)</w:t>
            </w:r>
          </w:p>
        </w:tc>
        <w:tc>
          <w:tcPr>
            <w:tcW w:w="120" w:type="dxa"/>
            <w:vAlign w:val="bottom"/>
          </w:tcPr>
          <w:p>
            <w:pPr>
              <w:spacing w:after="0"/>
              <w:rPr>
                <w:sz w:val="11"/>
                <w:szCs w:val="11"/>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2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40" w:type="dxa"/>
            <w:vAlign w:val="bottom"/>
          </w:tcPr>
          <w:p>
            <w:pPr>
              <w:spacing w:after="0"/>
              <w:rPr>
                <w:sz w:val="11"/>
                <w:szCs w:val="11"/>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4th Qtr</w:t>
            </w:r>
          </w:p>
        </w:tc>
        <w:tc>
          <w:tcPr>
            <w:tcW w:w="16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Year</w:t>
            </w:r>
          </w:p>
        </w:tc>
        <w:tc>
          <w:tcPr>
            <w:tcW w:w="120" w:type="dxa"/>
            <w:vAlign w:val="bottom"/>
          </w:tcPr>
          <w:p>
            <w:pPr>
              <w:spacing w:after="0"/>
              <w:rPr>
                <w:sz w:val="11"/>
                <w:szCs w:val="11"/>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1st Qtr</w:t>
            </w:r>
          </w:p>
        </w:tc>
        <w:tc>
          <w:tcPr>
            <w:tcW w:w="120" w:type="dxa"/>
            <w:vAlign w:val="bottom"/>
          </w:tcPr>
          <w:p>
            <w:pPr>
              <w:spacing w:after="0"/>
              <w:rPr>
                <w:sz w:val="11"/>
                <w:szCs w:val="11"/>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i w:val="1"/>
                <w:iCs w:val="1"/>
                <w:color w:val="auto"/>
              </w:rPr>
              <w:t>2nd Qtr</w:t>
            </w:r>
          </w:p>
        </w:tc>
        <w:tc>
          <w:tcPr>
            <w:tcW w:w="140" w:type="dxa"/>
            <w:vAlign w:val="bottom"/>
          </w:tcPr>
          <w:p>
            <w:pPr>
              <w:spacing w:after="0"/>
              <w:rPr>
                <w:sz w:val="11"/>
                <w:szCs w:val="11"/>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3rd Qtr</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i w:val="1"/>
                <w:iCs w:val="1"/>
                <w:color w:val="auto"/>
                <w:w w:val="98"/>
              </w:rPr>
              <w:t>Year-to-</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(used)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4,484</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Exclude: Cash (provided) used by changes in:</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 including write-downs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deferred charges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460" w:type="dxa"/>
            <w:vAlign w:val="bottom"/>
          </w:tcPr>
          <w:p>
            <w:pPr>
              <w:ind w:left="160"/>
              <w:spacing w:after="0" w:line="139" w:lineRule="exact"/>
              <w:rPr>
                <w:sz w:val="20"/>
                <w:szCs w:val="20"/>
                <w:color w:val="auto"/>
              </w:rPr>
            </w:pPr>
            <w:r>
              <w:rPr>
                <w:rFonts w:ascii="Times New Roman" w:cs="Times New Roman" w:eastAsia="Times New Roman" w:hAnsi="Times New Roman"/>
                <w:sz w:val="14"/>
                <w:szCs w:val="14"/>
                <w:color w:val="auto"/>
              </w:rPr>
              <w:t>Changes in current and noncurrent commodity derivative assets and</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including changes in noncurrent assets and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Preferred dividends paid</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and distributions paid to noncontrolling interests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Contributions from noncontrolling interests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Additional Adjustments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 funds from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dividends paid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Coverage ratio:</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 funds from operations divided by Common dividends paid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-2579370</wp:posOffset>
            </wp:positionV>
            <wp:extent cx="7140575" cy="3257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3257550"/>
                    </a:xfrm>
                    <a:prstGeom prst="rect">
                      <a:avLst/>
                    </a:prstGeom>
                    <a:noFill/>
                  </pic:spPr>
                </pic:pic>
              </a:graphicData>
            </a:graphic>
          </wp:anchor>
        </w:drawing>
      </w:r>
    </w:p>
    <w:p>
      <w:pPr>
        <w:spacing w:after="0" w:line="187" w:lineRule="exact"/>
        <w:rPr>
          <w:sz w:val="20"/>
          <w:szCs w:val="20"/>
          <w:color w:val="auto"/>
        </w:rPr>
      </w:pPr>
    </w:p>
    <w:p>
      <w:pPr>
        <w:ind w:left="240" w:hanging="201"/>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second quarter of 2026, contributions from noncontrolling interests are excluded from AFFO.</w:t>
      </w:r>
    </w:p>
    <w:p>
      <w:pPr>
        <w:spacing w:after="0" w:line="41" w:lineRule="exact"/>
        <w:rPr>
          <w:rFonts w:ascii="Times New Roman" w:cs="Times New Roman" w:eastAsia="Times New Roman" w:hAnsi="Times New Roman"/>
          <w:sz w:val="14"/>
          <w:szCs w:val="14"/>
          <w:color w:val="auto"/>
        </w:rPr>
      </w:pPr>
    </w:p>
    <w:p>
      <w:pPr>
        <w:ind w:left="120" w:right="260" w:hanging="81"/>
        <w:spacing w:after="0" w:line="155" w:lineRule="exact"/>
        <w:tabs>
          <w:tab w:leader="none" w:pos="24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detail on Reconciliation of Income (Loss) from Continuing Operations Attributable to The Williams Companies, Inc. to Non-GAAP Adjusted Income. The first quarter of 2025 also includes $20 million related to an expected distribution from an equity-method investee not received until early April. This amount is excluded from the second quarter of 2025. The fourth quarter of 2025 also includes $15 million related to an expected distribution from an equity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method investee not received until early January 2026, and this amount is excluded from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320" w:top="1055" w:right="319" w:bottom="1440" w:gutter="0" w:footer="0" w:header="0"/>
        </w:sectPr>
      </w:pPr>
    </w:p>
    <w:bookmarkStart w:id="21" w:name="page22"/>
    <w:bookmarkEnd w:id="21"/>
    <w:p>
      <w:pPr>
        <w:ind w:left="20" w:right="40"/>
        <w:spacing w:after="0" w:line="248" w:lineRule="auto"/>
        <w:rPr>
          <w:sz w:val="20"/>
          <w:szCs w:val="20"/>
          <w:color w:val="auto"/>
        </w:rPr>
      </w:pPr>
      <w:r>
        <w:rPr>
          <w:rFonts w:ascii="Times New Roman" w:cs="Times New Roman" w:eastAsia="Times New Roman" w:hAnsi="Times New Roman"/>
          <w:sz w:val="16"/>
          <w:szCs w:val="16"/>
          <w:b w:val="1"/>
          <w:bCs w:val="1"/>
          <w:color w:val="auto"/>
        </w:rPr>
        <w:t>Reconciliation of Net Income (Loss) from Continuing Operations to Modified EBITDA, Non-GAAP Adjusted EBITDA and Cash Flow from Operating Activities to Available Funds from Operations (AFFO)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8"/>
                <w:szCs w:val="18"/>
                <w:color w:val="auto"/>
              </w:rPr>
              <w:t>Guidance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 except per-share amounts and coverage ratio)</w:t>
            </w:r>
          </w:p>
        </w:tc>
        <w:tc>
          <w:tcPr>
            <w:tcW w:w="140" w:type="dxa"/>
            <w:vAlign w:val="bottom"/>
          </w:tcPr>
          <w:p>
            <w:pPr>
              <w:spacing w:after="0"/>
              <w:rPr>
                <w:sz w:val="20"/>
                <w:szCs w:val="20"/>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w w:val="98"/>
              </w:rPr>
              <w:t>Midpoint</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bottom w:val="single" w:sz="8" w:color="CCEEFF"/>
            </w:tcBorders>
          </w:tcPr>
          <w:p>
            <w:pPr>
              <w:spacing w:after="0"/>
              <w:rPr>
                <w:sz w:val="22"/>
                <w:szCs w:val="22"/>
                <w:color w:val="auto"/>
              </w:rPr>
            </w:pPr>
          </w:p>
        </w:tc>
        <w:tc>
          <w:tcPr>
            <w:tcW w:w="940" w:type="dxa"/>
            <w:vAlign w:val="bottom"/>
            <w:tcBorders>
              <w:top w:val="single" w:sz="8" w:color="auto"/>
              <w:bottom w:val="single" w:sz="8" w:color="CCEEFF"/>
            </w:tcBorders>
          </w:tcPr>
          <w:p>
            <w:pPr>
              <w:spacing w:after="0"/>
              <w:rPr>
                <w:sz w:val="22"/>
                <w:szCs w:val="22"/>
                <w:color w:val="auto"/>
              </w:rPr>
            </w:pPr>
          </w:p>
        </w:tc>
        <w:tc>
          <w:tcPr>
            <w:tcW w:w="2020" w:type="dxa"/>
            <w:vAlign w:val="bottom"/>
            <w:tcBorders>
              <w:top w:val="single" w:sz="8" w:color="auto"/>
              <w:bottom w:val="single" w:sz="8" w:color="CCEEFF"/>
            </w:tcBorders>
          </w:tcPr>
          <w:p>
            <w:pPr>
              <w:spacing w:after="0"/>
              <w:rPr>
                <w:sz w:val="22"/>
                <w:szCs w:val="22"/>
                <w:color w:val="auto"/>
              </w:rPr>
            </w:pPr>
          </w:p>
        </w:tc>
        <w:tc>
          <w:tcPr>
            <w:tcW w:w="6800" w:type="dxa"/>
            <w:vAlign w:val="bottom"/>
            <w:tcBorders>
              <w:top w:val="single" w:sz="8" w:color="auto"/>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Equity (earnings) losses</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Proportional Modified EBITDA of equity-method investments</w:t>
            </w: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Depreciation, depletion, and amortization expenses and accretion for asset retirement obligations associated with nonregulated operations</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Modified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8,595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EBITDA Adjustments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8,400</w:t>
            </w: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6800" w:type="dxa"/>
            <w:vAlign w:val="bottom"/>
            <w:shd w:val="clear" w:color="auto" w:fill="CCEEFF"/>
          </w:tcPr>
          <w:p>
            <w:pPr>
              <w:spacing w:after="0"/>
              <w:rPr>
                <w:sz w:val="23"/>
                <w:szCs w:val="23"/>
                <w:color w:val="auto"/>
              </w:rPr>
            </w:pPr>
          </w:p>
        </w:tc>
        <w:tc>
          <w:tcPr>
            <w:tcW w:w="380" w:type="dxa"/>
            <w:vAlign w:val="bottom"/>
            <w:tcBorders>
              <w:right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tcBorders>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Net 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dividends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 attributable to The Williams Companies, Inc. available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6800" w:type="dxa"/>
            <w:vAlign w:val="bottom"/>
            <w:shd w:val="clear" w:color="auto" w:fill="CCEEFF"/>
          </w:tcPr>
          <w:p>
            <w:pPr>
              <w:spacing w:after="0"/>
              <w:rPr>
                <w:sz w:val="22"/>
                <w:szCs w:val="22"/>
                <w:color w:val="auto"/>
              </w:rPr>
            </w:pPr>
          </w:p>
        </w:tc>
        <w:tc>
          <w:tcPr>
            <w:tcW w:w="380" w:type="dxa"/>
            <w:vAlign w:val="bottom"/>
            <w:tcBorders>
              <w:right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140" w:type="dxa"/>
            <w:vAlign w:val="bottom"/>
            <w:tcBorders>
              <w:right w:val="single" w:sz="8" w:color="auto"/>
            </w:tcBorders>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Adjustments included in Modified EBITDA</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Adjustments below Modified EBITDA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of adjustments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Pr>
          <w:p>
            <w:pPr>
              <w:spacing w:after="0"/>
              <w:rPr>
                <w:sz w:val="17"/>
                <w:szCs w:val="17"/>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tax effect for above items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Adjusted income from continuing operations available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income from continuing operations - diluted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0140" w:type="dxa"/>
            <w:vAlign w:val="bottom"/>
            <w:tcBorders>
              <w:bottom w:val="single" w:sz="8" w:color="CCEEFF"/>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Weighted-average shares - diluted (millions)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140" w:type="dxa"/>
            <w:vAlign w:val="bottom"/>
            <w:tcBorders>
              <w:right w:val="single" w:sz="8" w:color="auto"/>
            </w:tcBorders>
            <w:gridSpan w:val="4"/>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Available Funds from Operations (AFFO):</w:t>
            </w:r>
          </w:p>
        </w:tc>
        <w:tc>
          <w:tcPr>
            <w:tcW w:w="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140" w:type="dxa"/>
            <w:vAlign w:val="bottom"/>
            <w:tcBorders>
              <w:right w:val="single" w:sz="8" w:color="auto"/>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Net cash provided by operating activities (net of changes in working capital, changes in current and noncurrent derivative assets and liabilities,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other, including changes in noncurrent assets and liabilities)</w:t>
            </w:r>
          </w:p>
        </w:tc>
        <w:tc>
          <w:tcPr>
            <w:tcW w:w="14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Preferred dividends paid</w:t>
            </w:r>
          </w:p>
        </w:tc>
        <w:tc>
          <w:tcPr>
            <w:tcW w:w="14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and distributions paid to noncontrolling interests</w:t>
            </w:r>
          </w:p>
        </w:tc>
        <w:tc>
          <w:tcPr>
            <w:tcW w:w="140" w:type="dxa"/>
            <w:vAlign w:val="bottom"/>
            <w:shd w:val="clear" w:color="auto" w:fill="CCEEFF"/>
          </w:tcPr>
          <w:p>
            <w:pPr>
              <w:spacing w:after="0"/>
              <w:rPr>
                <w:sz w:val="19"/>
                <w:szCs w:val="19"/>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0140" w:type="dxa"/>
            <w:vAlign w:val="bottom"/>
            <w:tcBorders>
              <w:bottom w:val="single" w:sz="8" w:color="CCEEFF"/>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16"/>
                <w:szCs w:val="16"/>
                <w:color w:val="auto"/>
              </w:rPr>
              <w:t>Additional adjustments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Available funds from operations (AFFO)</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AFFO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0140" w:type="dxa"/>
            <w:vAlign w:val="bottom"/>
            <w:tcBorders>
              <w:right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dividends paid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Coverage Ratio (AFFO/Common dividends paid)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2.47x</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Includes items of income or loss that we characterize as unrepresentative of our ongoing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1055"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reports, filings, and other public announcements of The Williams Companies, Inc. (Williams) may contain or incorporate by reference statements that do not directly or exclusively relate to historical facts. Such statements are “forward-looking statements” within the meaning of Section 27A of the Securities Act of 1933, as amended (Securities Act), and Section 21E of the Securities Exchange Act of 1934, as amended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All statements, other than statements of historical facts, included in this report that address activities, events, or developments that we expect, believe, or anticipate will exist or may occur in the future, are forward-looking statements. Forward-looking statements can be identified by various forms of words such as </w:t>
      </w:r>
      <w:r>
        <w:rPr>
          <w:rFonts w:ascii="Arial" w:cs="Arial" w:eastAsia="Arial" w:hAnsi="Arial"/>
          <w:sz w:val="18"/>
          <w:szCs w:val="18"/>
          <w:i w:val="1"/>
          <w:iCs w:val="1"/>
          <w:color w:val="auto"/>
        </w:rPr>
        <w:t>“anticipates,” “believes,” “seeks,” “could,” “may,” “should,” “continues,” “estimates,” “expects,”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“forecasts,” “intends,” “might,” “goals,” “objectives,” “targets,” “planned,” “potential,” “projects,” “scheduled,” “will,” “assumes,” “guidance,” “outlook,” “in-service date,” </w:t>
      </w:r>
      <w:r>
        <w:rPr>
          <w:rFonts w:ascii="Arial" w:cs="Arial" w:eastAsia="Arial" w:hAnsi="Arial"/>
          <w:sz w:val="18"/>
          <w:szCs w:val="18"/>
          <w:color w:val="auto"/>
        </w:rPr>
        <w:t>or other similar expressions. These forward-looking statements are based on management’s beliefs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on information currently available to management and include, among others, statements regarding:</w:t>
      </w:r>
    </w:p>
    <w:p>
      <w:pPr>
        <w:spacing w:after="0" w:line="3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Levels of dividends to Williams' stockholders;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credit ratings of Williams and its affiliates;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and nature of future capital expenditures;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and growth of business and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in-service dates for capital projects;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condition and liquidity;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from operations or results of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case filings;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of certain business components;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natural gas liquids, and crude oil prices, supply, and demand;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for services.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Forward-looking statements are based on numerous assumptions, uncertainties, and risks that could cause future events or results to be materially different from those stated or implied in this report. Many of the factors that will determine these results are beyond our ability to control or predict. Specific factors that could cause actual results to differ from results contemplated by the forward-looking statements include, among others, the following:</w:t>
      </w:r>
    </w:p>
    <w:p>
      <w:pPr>
        <w:spacing w:after="0" w:line="10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supplies, market demand, and volatility of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rate of adoption of alternative energy sources;</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12" w:right="339" w:bottom="1440" w:gutter="0" w:footer="0" w:header="0"/>
        </w:sectPr>
      </w:pPr>
    </w:p>
    <w:bookmarkStart w:id="23" w:name="page24"/>
    <w:bookmarkEnd w:id="23"/>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the credit risk of customers and counterparties;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acquire new businesses and assets and successfully integrate those operations and assets into existing businesses as well as successfully expand our facilities, and consummate asset sales on acceptable terms;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successfully identify, evaluate, and timely execute on our capital projects and investment opportunities;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and financial resources of our competitors and the effects of competition;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cash distributions from and capital requirements of our investments and joint ventures in which we participate;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effectively execute our financing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scrutiny and changing expectations from stakeholders with respect to environmental, social, and governance practices;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physical and financial risks associated with climate 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impacts of operational and developmental hazards and unforeseen interruptions;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resulting from outbreaks or other public health crises;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weather and natural phenomena, including climate conditions and physical damage to our facilities;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Acts of terrorism, cybersecurity incidents, and related disruptions;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funding obligations for defined benefit pension plans and other postretirement benefit plans;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maintenance and construction costs, as well as our ability to obtain sufficient construction-related inputs, including skilled labor;</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 interest rates, tariffs on foreign-made materials and goods (including steel and steel pipes) necessary to conduct our business, and general economic conditions (including future disruptions and volatility in the global credit markets and the impact of these events on customers and suppliers);</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financing, including restrictions stemming from debt agreements, future changes in credit ratings as determined by nationally recognized credit rating agencies, and the availability and cost of capital;</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members of the Organization of Petroleum Exporting Countries and other oil exporting nations to agree to and maintain oil price and production controls and the impact on domestic production;</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current geopolitical situation;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governmental administration and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are able to pay current and expected levels of dividends;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risks described in our filings with the Securities and Exchange Commission (SEC).</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Given the uncertainties and risk factors that could cause our actual results to differ materially from those contained in any forward-looking statement, we caution investors not to unduly rely on our forward-looking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5" w:right="339" w:bottom="1440" w:gutter="0" w:footer="0" w:header="0"/>
        </w:sectPr>
      </w:pPr>
    </w:p>
    <w:bookmarkStart w:id="24" w:name="page25"/>
    <w:bookmarkEnd w:id="24"/>
    <w:p>
      <w:pPr>
        <w:jc w:val="both"/>
        <w:ind w:right="20"/>
        <w:spacing w:after="0" w:line="287" w:lineRule="auto"/>
        <w:rPr>
          <w:sz w:val="20"/>
          <w:szCs w:val="20"/>
          <w:color w:val="auto"/>
        </w:rPr>
      </w:pPr>
      <w:r>
        <w:rPr>
          <w:rFonts w:ascii="Arial" w:cs="Arial" w:eastAsia="Arial" w:hAnsi="Arial"/>
          <w:sz w:val="18"/>
          <w:szCs w:val="18"/>
          <w:color w:val="auto"/>
        </w:rPr>
        <w:t>statements. We disclaim any obligations to, and do not intend to, update the above list or announce publicly the result of any revisions to any of the forward-looking statements to reflect future events or developments.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causing our actual results to differ, the factors listed above and referred to below may cause our intentions to change from those statements of intention set forth in this report. Such changes in our intentions may also cause our results to differ. We may change our intentions, at any time and without notice, based upon changes in such factors, our assumptions, or otherwise.</w:t>
      </w:r>
    </w:p>
    <w:p>
      <w:pPr>
        <w:spacing w:after="0" w:line="9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Because forward-looking statements involve risks and uncertainties, we caution that there are important factors, in addition to those listed above, that may cause actual results to differ materially from those contained in the forward-looking statements. For a detailed discussion of those factors, see (a) Part I, Item IA. Risk Factors in our Annual Report on Form 10-K for the year ended December 31, 2025, as filed with the SEC on February 24, 2026, and (b) Part II, Item IA. Risk Factors in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2026-11-02T15:13:39Z</dcterms:created>
  <dcterms:modified xsi:type="dcterms:W3CDTF">2026-11-02T15:13:39Z</dcterms:modified>
</cp:coreProperties>
</file>