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10651d424b2.htm"/>
      <w:bookmarkStart w:id="1" w:name="ksd110651d424b2"/>
      <w:bookmarkEnd w:id="0"/>
      <w:bookmarkEnd w:id="1"/>
      <w:r>
        <w:rPr>
          <w:rFonts w:ascii="Times New Roman" w:hAnsi="Times New Roman"/>
          <w:b/>
          <w:sz w:val="20"/>
        </w:rPr>
        <w:t>Filed Pursuant to Rule 424(b)(2)</w:t>
        <w:br/>
        <w:t xml:space="preserve">Registration No. 333-277232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February 21, 2024) </w:t>
      </w:r>
    </w:p>
    <w:p>
      <w:pPr>
        <w:pStyle w:val="TextBody"/>
        <w:bidi w:val="0"/>
        <w:spacing w:before="240" w:after="0"/>
        <w:jc w:val="center"/>
        <w:rPr>
          <w:rFonts w:ascii="Times New Roman" w:hAnsi="Times New Roman"/>
          <w:b/>
          <w:sz w:val="36"/>
        </w:rPr>
      </w:pPr>
      <w:r>
        <w:rPr>
          <w:rFonts w:ascii="Times New Roman" w:hAnsi="Times New Roman"/>
          <w:b/>
          <w:sz w:val="36"/>
        </w:rPr>
        <w:t xml:space="preserve">$2,750,000,000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1388745" cy="7283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88745" cy="7283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$500,000,000 5.000% Senior Notes due 2029 </w:t>
      </w:r>
    </w:p>
    <w:p>
      <w:pPr>
        <w:pStyle w:val="TextBody"/>
        <w:bidi w:val="0"/>
        <w:spacing w:before="0" w:after="0"/>
        <w:jc w:val="center"/>
        <w:rPr>
          <w:rFonts w:ascii="Times New Roman" w:hAnsi="Times New Roman"/>
          <w:b/>
          <w:sz w:val="28"/>
        </w:rPr>
      </w:pPr>
      <w:r>
        <w:rPr>
          <w:rFonts w:ascii="Times New Roman" w:hAnsi="Times New Roman"/>
          <w:b/>
          <w:sz w:val="28"/>
        </w:rPr>
        <w:t xml:space="preserve">$1,000,000,000 5.600% Senior Notes due 2033 </w:t>
      </w:r>
    </w:p>
    <w:p>
      <w:pPr>
        <w:pStyle w:val="TextBody"/>
        <w:bidi w:val="0"/>
        <w:spacing w:before="0" w:after="0"/>
        <w:jc w:val="center"/>
        <w:rPr>
          <w:rFonts w:ascii="Times New Roman" w:hAnsi="Times New Roman"/>
          <w:b/>
          <w:sz w:val="28"/>
        </w:rPr>
      </w:pPr>
      <w:r>
        <w:rPr>
          <w:rFonts w:ascii="Times New Roman" w:hAnsi="Times New Roman"/>
          <w:b/>
          <w:sz w:val="28"/>
        </w:rPr>
        <w:t xml:space="preserve">$750,000,000 5.800% Senior Notes due 2036 </w:t>
      </w:r>
    </w:p>
    <w:p>
      <w:pPr>
        <w:pStyle w:val="TextBody"/>
        <w:bidi w:val="0"/>
        <w:spacing w:before="0" w:after="0"/>
        <w:jc w:val="center"/>
        <w:rPr>
          <w:rFonts w:ascii="Times New Roman" w:hAnsi="Times New Roman"/>
          <w:b/>
          <w:sz w:val="28"/>
        </w:rPr>
      </w:pPr>
      <w:r>
        <w:rPr>
          <w:rFonts w:ascii="Times New Roman" w:hAnsi="Times New Roman"/>
          <w:b/>
          <w:sz w:val="28"/>
        </w:rPr>
        <w:t xml:space="preserve">$500,000,000 6.400% Senior Notes due 2056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6"/>
        </w:rPr>
      </w:pPr>
      <w:r>
        <w:rPr>
          <w:rFonts w:ascii="Times New Roman" w:hAnsi="Times New Roman"/>
          <w:sz w:val="16"/>
        </w:rPr>
        <w:t xml:space="preserve">We are offering $500,000,000 aggregate principal amount of our 5.000% senior notes due 2029 (the “2029 notes”), $1,000,000,000 aggregate principal amount of our 5.600% senior notes due 2033 (the “2033 notes”), $750,000,000 aggregate principal amount of our 5.800% senior notes due 2036 (the “2036 notes”) and $500,000,000 aggregate principal amount of our 6.400% senior notes due 2056 (the “2056 notes” and, together with the 2029 notes, the 2033 notes and the 2036 notes, the “notes”). The 2029 notes will pay interest semi-annually in cash in arrears on April 15 and October 15 of each year, beginning on April 15, 2027. The 2033 notes will pay interest semi-annually in cash in arrears on March 15 and September 15 of each year, beginning on March 15, 2027. The 2036 notes will pay interest semi-annually in cash in arrears on March 15 and September 15 of each year, beginning on March 15, 2027. The 2056 notes will pay interest semi-annually in cash in arrears on March 15 and September 15 of each year, beginning on March 15, 2027. At any time prior to September 15, 2029 in the case of the 2029 notes, July 15, 2033, in the case of the 2033 notes, June 15, 2036, in the case of the 2036 notes, and March 15, 2056, in the case of the 2056 notes, we may redeem some or all of the notes of the applicable series at the applicable “make-whole” price, plus accrued and unpaid interest, if any, to, but not including, the redemption date. At any time on or after September 15, 2029, in the case of the 2029 notes, July 15, 2033, in the case of the 2033 notes, June 15, 2036, in the case of the 2036 notes, and March 15, 2056, in the case of the 2056 notes, we may redeem some or all of the notes of the applicable series at a redemption price equal to 100% of the principal amount of the notes to be redeemed, plus accrued and unpaid interest, if any, to, but not including, the applicable redemption date. See “Description of the Notes — Optional Redemption.” </w:t>
      </w:r>
    </w:p>
    <w:p>
      <w:pPr>
        <w:pStyle w:val="TextBody"/>
        <w:bidi w:val="0"/>
        <w:spacing w:before="120" w:after="0"/>
        <w:jc w:val="left"/>
        <w:rPr>
          <w:rFonts w:ascii="Times New Roman" w:hAnsi="Times New Roman"/>
          <w:sz w:val="16"/>
        </w:rPr>
      </w:pPr>
      <w:r>
        <w:rPr>
          <w:rFonts w:ascii="Times New Roman" w:hAnsi="Times New Roman"/>
          <w:sz w:val="16"/>
        </w:rPr>
        <w:t xml:space="preserve">The notes will be our senior unsecured obligations and will rank equally in right of payment with all of our existing and future senior unsecured indebtedness. The notes will be effectively subordinated to all of our future secured indebtedness and will be structurally subordinated to all existing and future indebtedness and other obligations of our subsidiaries, including trade payables. The notes will rank senior to all of our future subordinated indebtedness.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pPr>
      <w:r>
        <w:rPr>
          <w:rFonts w:ascii="Times New Roman" w:hAnsi="Times New Roman"/>
          <w:b/>
          <w:sz w:val="20"/>
        </w:rPr>
        <w:t>Investing in our notes involves risks. Please read “</w:t>
      </w:r>
      <w:hyperlink w:anchor="supptoc110651_4">
        <w:r>
          <w:rPr>
            <w:rStyle w:val="InternetLink"/>
            <w:rFonts w:ascii="Times New Roman" w:hAnsi="Times New Roman"/>
            <w:b/>
            <w:sz w:val="20"/>
          </w:rPr>
          <w:t>Risk Factors</w:t>
        </w:r>
      </w:hyperlink>
      <w:r>
        <w:rPr>
          <w:rFonts w:ascii="Times New Roman" w:hAnsi="Times New Roman"/>
          <w:b/>
          <w:sz w:val="20"/>
        </w:rPr>
        <w:t xml:space="preserve">” beginning on page S-5 of this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b/>
          <w:sz w:val="16"/>
        </w:rPr>
      </w:pPr>
      <w:r>
        <w:rPr>
          <w:rFonts w:ascii="Times New Roman" w:hAnsi="Times New Roman"/>
          <w:b/>
          <w:sz w:val="16"/>
        </w:rPr>
        <w:t xml:space="preserve">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 </w:t>
      </w:r>
    </w:p>
    <w:p>
      <w:pPr>
        <w:pStyle w:val="TextBody"/>
        <w:bidi w:val="0"/>
        <w:spacing w:before="0" w:after="0"/>
        <w:jc w:val="left"/>
        <w:rPr/>
      </w:pPr>
      <w:r>
        <w:rPr/>
        <w:t> </w:t>
      </w:r>
    </w:p>
    <w:tbl>
      <w:tblPr>
        <w:tblW w:w="12250" w:type="dxa"/>
        <w:jc w:val="center"/>
        <w:tblInd w:w="0" w:type="dxa"/>
        <w:tblLayout w:type="fixed"/>
        <w:tblCellMar>
          <w:top w:w="0" w:type="dxa"/>
          <w:left w:w="0" w:type="dxa"/>
          <w:bottom w:w="0" w:type="dxa"/>
          <w:right w:w="0" w:type="dxa"/>
        </w:tblCellMar>
      </w:tblPr>
      <w:tblGrid>
        <w:gridCol w:w="950"/>
        <w:gridCol w:w="60"/>
        <w:gridCol w:w="60"/>
        <w:gridCol w:w="875"/>
        <w:gridCol w:w="350"/>
        <w:gridCol w:w="60"/>
        <w:gridCol w:w="140"/>
        <w:gridCol w:w="1220"/>
        <w:gridCol w:w="60"/>
        <w:gridCol w:w="60"/>
        <w:gridCol w:w="60"/>
        <w:gridCol w:w="875"/>
        <w:gridCol w:w="350"/>
        <w:gridCol w:w="60"/>
        <w:gridCol w:w="140"/>
        <w:gridCol w:w="1220"/>
        <w:gridCol w:w="60"/>
        <w:gridCol w:w="60"/>
        <w:gridCol w:w="60"/>
        <w:gridCol w:w="875"/>
        <w:gridCol w:w="350"/>
        <w:gridCol w:w="60"/>
        <w:gridCol w:w="140"/>
        <w:gridCol w:w="1220"/>
        <w:gridCol w:w="60"/>
        <w:gridCol w:w="60"/>
        <w:gridCol w:w="60"/>
        <w:gridCol w:w="875"/>
        <w:gridCol w:w="350"/>
        <w:gridCol w:w="60"/>
        <w:gridCol w:w="140"/>
        <w:gridCol w:w="1220"/>
        <w:gridCol w:w="60"/>
      </w:tblGrid>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2029 notes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2033 notes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2036 notes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2056 notes</w:t>
            </w:r>
          </w:p>
        </w:tc>
        <w:tc>
          <w:tcPr>
            <w:tcW w:w="60" w:type="dxa"/>
            <w:tcBorders/>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Per note 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Total 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Per note 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Total 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Per note 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Total 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Per note 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Total </w:t>
            </w:r>
          </w:p>
        </w:tc>
        <w:tc>
          <w:tcPr>
            <w:tcW w:w="60" w:type="dxa"/>
            <w:tcBorders/>
            <w:vAlign w:val="bottom"/>
          </w:tcPr>
          <w:p>
            <w:pPr>
              <w:pStyle w:val="TableContents"/>
              <w:bidi w:val="0"/>
              <w:spacing w:before="0" w:after="283"/>
              <w:jc w:val="left"/>
              <w:rPr/>
            </w:pPr>
            <w:r>
              <w:rPr/>
              <w:t> </w:t>
            </w:r>
          </w:p>
        </w:tc>
      </w:tr>
      <w:tr>
        <w:trPr/>
        <w:tc>
          <w:tcPr>
            <w:tcW w:w="9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Public offering price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99.931%</w:t>
            </w:r>
          </w:p>
        </w:tc>
        <w:tc>
          <w:tcPr>
            <w:tcW w:w="350" w:type="dxa"/>
            <w:tcBorders/>
            <w:shd w:fill="CCEEFF" w:val="clear"/>
            <w:vAlign w:val="bottom"/>
          </w:tcPr>
          <w:p>
            <w:pPr>
              <w:pStyle w:val="TableContents"/>
              <w:bidi w:val="0"/>
              <w:spacing w:before="0" w:after="283"/>
              <w:jc w:val="left"/>
              <w:rPr/>
            </w:pPr>
            <w:r>
              <w:rPr/>
              <w:t>(1)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499,655,000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99.999%</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999,990,000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99.819%</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748,642,500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99.800%</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499,000,000</w:t>
            </w:r>
          </w:p>
        </w:tc>
        <w:tc>
          <w:tcPr>
            <w:tcW w:w="60" w:type="dxa"/>
            <w:tcBorders/>
            <w:shd w:fill="CCEEFF" w:val="clear"/>
            <w:vAlign w:val="bottom"/>
          </w:tcPr>
          <w:p>
            <w:pPr>
              <w:pStyle w:val="TableContents"/>
              <w:bidi w:val="0"/>
              <w:spacing w:before="0" w:after="283"/>
              <w:jc w:val="left"/>
              <w:rPr/>
            </w:pPr>
            <w:r>
              <w:rPr/>
              <w:t> </w:t>
            </w:r>
          </w:p>
        </w:tc>
      </w:tr>
      <w:tr>
        <w:trPr/>
        <w:tc>
          <w:tcPr>
            <w:tcW w:w="950" w:type="dxa"/>
            <w:tcBorders/>
          </w:tcPr>
          <w:p>
            <w:pPr>
              <w:pStyle w:val="TableContents"/>
              <w:bidi w:val="0"/>
              <w:spacing w:before="0" w:after="0"/>
              <w:jc w:val="left"/>
              <w:rPr>
                <w:rFonts w:ascii="Times New Roman" w:hAnsi="Times New Roman"/>
                <w:sz w:val="16"/>
              </w:rPr>
            </w:pPr>
            <w:r>
              <w:rPr>
                <w:rFonts w:ascii="Times New Roman" w:hAnsi="Times New Roman"/>
                <w:sz w:val="16"/>
              </w:rPr>
              <w:t>Underwriting discounts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0.350%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1,750,000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0.625%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6,250,000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0.650%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4,875,000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0.875%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4,375,000</w:t>
            </w:r>
          </w:p>
        </w:tc>
        <w:tc>
          <w:tcPr>
            <w:tcW w:w="60" w:type="dxa"/>
            <w:tcBorders/>
            <w:vAlign w:val="bottom"/>
          </w:tcPr>
          <w:p>
            <w:pPr>
              <w:pStyle w:val="TableContents"/>
              <w:bidi w:val="0"/>
              <w:spacing w:before="0" w:after="283"/>
              <w:jc w:val="left"/>
              <w:rPr/>
            </w:pPr>
            <w:r>
              <w:rPr/>
              <w:t> </w:t>
            </w:r>
          </w:p>
        </w:tc>
      </w:tr>
      <w:tr>
        <w:trPr/>
        <w:tc>
          <w:tcPr>
            <w:tcW w:w="9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Proceeds to The Williams Companies, Inc. (before expenses)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99.581%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497,905,000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99.374%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993,740,000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99.169%</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743,767,500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98.925%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494,625,000</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Plus accrued interest from September 10, 2026, if settlement occurs after that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Plus accrued interest from September 10, 2026, if settlement occurs after that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Plus accrued interest from September 10, 2026, if settlement occurs after that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Plus accrued interest from September 10, 2026, if settlement occurs after that date. </w:t>
            </w:r>
          </w:p>
        </w:tc>
      </w:tr>
    </w:tbl>
    <w:p>
      <w:pPr>
        <w:pStyle w:val="TextBody"/>
        <w:bidi w:val="0"/>
        <w:spacing w:before="120" w:after="0"/>
        <w:jc w:val="left"/>
        <w:rPr>
          <w:rFonts w:ascii="Times New Roman" w:hAnsi="Times New Roman"/>
          <w:sz w:val="16"/>
        </w:rPr>
      </w:pPr>
      <w:r>
        <w:rPr>
          <w:rFonts w:ascii="Times New Roman" w:hAnsi="Times New Roman"/>
          <w:sz w:val="16"/>
        </w:rPr>
        <w:t xml:space="preserve">The underwriters expect to deliver the notes on or about September 10, 2026, through the book-entry facilities of The Depository Trust Company and its direct and indirect participants, including Euroclear Banking S.A./N.V., as operator of the Euroclear System, and Clearstream Banking, S.A.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20"/>
        </w:rPr>
      </w:pPr>
      <w:r>
        <w:rPr>
          <w:rFonts w:ascii="Times New Roman" w:hAnsi="Times New Roman"/>
          <w:b/>
          <w:i/>
          <w:sz w:val="20"/>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64"/>
        <w:gridCol w:w="60"/>
        <w:gridCol w:w="2342"/>
        <w:gridCol w:w="104"/>
        <w:gridCol w:w="2665"/>
        <w:gridCol w:w="120"/>
        <w:gridCol w:w="2250"/>
      </w:tblGrid>
      <w:tr>
        <w:trPr/>
        <w:tc>
          <w:tcPr>
            <w:tcW w:w="26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r>
      <w:tr>
        <w:trPr/>
        <w:tc>
          <w:tcPr>
            <w:tcW w:w="2664" w:type="dxa"/>
            <w:tcBorders/>
          </w:tcPr>
          <w:p>
            <w:pPr>
              <w:pStyle w:val="TableContents"/>
              <w:bidi w:val="0"/>
              <w:spacing w:before="0" w:after="283"/>
              <w:jc w:val="left"/>
              <w:rPr>
                <w:b/>
              </w:rPr>
            </w:pPr>
            <w:r>
              <w:rPr>
                <w:b/>
              </w:rPr>
              <w:t>Citigroup</w:t>
            </w:r>
          </w:p>
        </w:tc>
        <w:tc>
          <w:tcPr>
            <w:tcW w:w="60" w:type="dxa"/>
            <w:tcBorders/>
            <w:vAlign w:val="bottom"/>
          </w:tcPr>
          <w:p>
            <w:pPr>
              <w:pStyle w:val="TableContents"/>
              <w:bidi w:val="0"/>
              <w:spacing w:before="0" w:after="283"/>
              <w:jc w:val="left"/>
              <w:rPr/>
            </w:pPr>
            <w:r>
              <w:rPr/>
              <w:t> </w:t>
            </w:r>
          </w:p>
        </w:tc>
        <w:tc>
          <w:tcPr>
            <w:tcW w:w="2342" w:type="dxa"/>
            <w:tcBorders/>
          </w:tcPr>
          <w:p>
            <w:pPr>
              <w:pStyle w:val="TableContents"/>
              <w:bidi w:val="0"/>
              <w:spacing w:before="0" w:after="283"/>
              <w:jc w:val="left"/>
              <w:rPr>
                <w:b/>
              </w:rPr>
            </w:pPr>
            <w:r>
              <w:rPr>
                <w:b/>
              </w:rPr>
              <w:t>Mizuho</w:t>
            </w:r>
          </w:p>
        </w:tc>
        <w:tc>
          <w:tcPr>
            <w:tcW w:w="104" w:type="dxa"/>
            <w:tcBorders/>
            <w:vAlign w:val="bottom"/>
          </w:tcPr>
          <w:p>
            <w:pPr>
              <w:pStyle w:val="TableContents"/>
              <w:bidi w:val="0"/>
              <w:spacing w:before="0" w:after="283"/>
              <w:jc w:val="left"/>
              <w:rPr/>
            </w:pPr>
            <w:r>
              <w:rPr/>
              <w:t> </w:t>
            </w:r>
          </w:p>
        </w:tc>
        <w:tc>
          <w:tcPr>
            <w:tcW w:w="2665" w:type="dxa"/>
            <w:tcBorders/>
          </w:tcPr>
          <w:p>
            <w:pPr>
              <w:pStyle w:val="TableContents"/>
              <w:bidi w:val="0"/>
              <w:spacing w:before="0" w:after="283"/>
              <w:jc w:val="left"/>
              <w:rPr>
                <w:b/>
              </w:rPr>
            </w:pPr>
            <w:r>
              <w:rPr>
                <w:b/>
              </w:rPr>
              <w:t>Morgan Stanley</w:t>
            </w:r>
          </w:p>
        </w:tc>
        <w:tc>
          <w:tcPr>
            <w:tcW w:w="120" w:type="dxa"/>
            <w:tcBorders/>
            <w:vAlign w:val="bottom"/>
          </w:tcPr>
          <w:p>
            <w:pPr>
              <w:pStyle w:val="TableContents"/>
              <w:bidi w:val="0"/>
              <w:spacing w:before="0" w:after="283"/>
              <w:jc w:val="left"/>
              <w:rPr/>
            </w:pPr>
            <w:r>
              <w:rPr/>
              <w:t>  </w:t>
            </w:r>
          </w:p>
        </w:tc>
        <w:tc>
          <w:tcPr>
            <w:tcW w:w="2250" w:type="dxa"/>
            <w:tcBorders/>
          </w:tcPr>
          <w:p>
            <w:pPr>
              <w:pStyle w:val="TableContents"/>
              <w:bidi w:val="0"/>
              <w:spacing w:before="0" w:after="283"/>
              <w:jc w:val="right"/>
              <w:rPr>
                <w:b/>
              </w:rPr>
            </w:pPr>
            <w:r>
              <w:rPr>
                <w:b/>
              </w:rPr>
              <w:t>SMBC Nikko</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84"/>
        <w:gridCol w:w="561"/>
        <w:gridCol w:w="1201"/>
        <w:gridCol w:w="93"/>
        <w:gridCol w:w="4249"/>
        <w:gridCol w:w="93"/>
        <w:gridCol w:w="3224"/>
      </w:tblGrid>
      <w:tr>
        <w:trPr/>
        <w:tc>
          <w:tcPr>
            <w:tcW w:w="784" w:type="dxa"/>
            <w:tcBorders/>
            <w:vAlign w:val="center"/>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4249"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3224"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Pr>
          <w:p>
            <w:pPr>
              <w:pStyle w:val="TableContents"/>
              <w:bidi w:val="0"/>
              <w:spacing w:before="0" w:after="283"/>
              <w:jc w:val="left"/>
              <w:rPr>
                <w:b/>
              </w:rPr>
            </w:pPr>
            <w:r>
              <w:rPr>
                <w:b/>
              </w:rPr>
              <w:t>BofA Securities</w:t>
            </w:r>
          </w:p>
        </w:tc>
        <w:tc>
          <w:tcPr>
            <w:tcW w:w="93" w:type="dxa"/>
            <w:tcBorders/>
            <w:vAlign w:val="bottom"/>
          </w:tcPr>
          <w:p>
            <w:pPr>
              <w:pStyle w:val="TableContents"/>
              <w:bidi w:val="0"/>
              <w:spacing w:before="0" w:after="283"/>
              <w:jc w:val="left"/>
              <w:rPr/>
            </w:pPr>
            <w:r>
              <w:rPr/>
              <w:t> </w:t>
            </w:r>
          </w:p>
        </w:tc>
        <w:tc>
          <w:tcPr>
            <w:tcW w:w="4249" w:type="dxa"/>
            <w:tcBorders/>
          </w:tcPr>
          <w:p>
            <w:pPr>
              <w:pStyle w:val="TableContents"/>
              <w:bidi w:val="0"/>
              <w:spacing w:before="0" w:after="283"/>
              <w:jc w:val="center"/>
              <w:rPr>
                <w:b/>
              </w:rPr>
            </w:pPr>
            <w:r>
              <w:rPr>
                <w:b/>
              </w:rPr>
              <w:t>PNC Capital Markets LLC</w:t>
            </w:r>
          </w:p>
        </w:tc>
        <w:tc>
          <w:tcPr>
            <w:tcW w:w="93" w:type="dxa"/>
            <w:tcBorders/>
            <w:vAlign w:val="bottom"/>
          </w:tcPr>
          <w:p>
            <w:pPr>
              <w:pStyle w:val="TableContents"/>
              <w:bidi w:val="0"/>
              <w:spacing w:before="0" w:after="283"/>
              <w:jc w:val="left"/>
              <w:rPr/>
            </w:pPr>
            <w:r>
              <w:rPr/>
              <w:t> </w:t>
            </w:r>
          </w:p>
        </w:tc>
        <w:tc>
          <w:tcPr>
            <w:tcW w:w="3224" w:type="dxa"/>
            <w:tcBorders/>
          </w:tcPr>
          <w:p>
            <w:pPr>
              <w:pStyle w:val="TableContents"/>
              <w:bidi w:val="0"/>
              <w:spacing w:before="0" w:after="283"/>
              <w:jc w:val="right"/>
              <w:rPr>
                <w:b/>
              </w:rPr>
            </w:pPr>
            <w:r>
              <w:rPr>
                <w:b/>
              </w:rPr>
              <w:t>RBC Capital Markets</w:t>
            </w:r>
          </w:p>
        </w:tc>
      </w:tr>
      <w:tr>
        <w:trPr>
          <w:trHeight w:val="15" w:hRule="atLeast"/>
        </w:trPr>
        <w:tc>
          <w:tcPr>
            <w:tcW w:w="2546" w:type="dxa"/>
            <w:gridSpan w:val="3"/>
            <w:tcBorders/>
            <w:vAlign w:val="center"/>
          </w:tcPr>
          <w:p>
            <w:pPr>
              <w:pStyle w:val="TableContents"/>
              <w:bidi w:val="0"/>
              <w:spacing w:before="0" w:after="283"/>
              <w:jc w:val="left"/>
              <w:rPr>
                <w:sz w:val="4"/>
                <w:szCs w:val="4"/>
              </w:rPr>
            </w:pPr>
            <w:r>
              <w:rPr>
                <w:sz w:val="4"/>
                <w:szCs w:val="4"/>
              </w:rPr>
            </w:r>
          </w:p>
        </w:tc>
        <w:tc>
          <w:tcPr>
            <w:tcW w:w="4342" w:type="dxa"/>
            <w:gridSpan w:val="2"/>
            <w:tcBorders/>
            <w:vAlign w:val="center"/>
          </w:tcPr>
          <w:p>
            <w:pPr>
              <w:pStyle w:val="TableContents"/>
              <w:bidi w:val="0"/>
              <w:spacing w:before="0" w:after="283"/>
              <w:jc w:val="left"/>
              <w:rPr>
                <w:sz w:val="4"/>
                <w:szCs w:val="4"/>
              </w:rPr>
            </w:pPr>
            <w:r>
              <w:rPr>
                <w:sz w:val="4"/>
                <w:szCs w:val="4"/>
              </w:rPr>
            </w:r>
          </w:p>
        </w:tc>
        <w:tc>
          <w:tcPr>
            <w:tcW w:w="3317" w:type="dxa"/>
            <w:gridSpan w:val="2"/>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cPr>
          <w:p>
            <w:pPr>
              <w:pStyle w:val="TableContents"/>
              <w:bidi w:val="0"/>
              <w:spacing w:before="0" w:after="283"/>
              <w:jc w:val="left"/>
              <w:rPr>
                <w:b/>
              </w:rPr>
            </w:pPr>
            <w:r>
              <w:rPr>
                <w:b/>
              </w:rPr>
              <w:t>Truist Securities</w:t>
            </w:r>
          </w:p>
        </w:tc>
        <w:tc>
          <w:tcPr>
            <w:tcW w:w="93" w:type="dxa"/>
            <w:tcBorders/>
            <w:vAlign w:val="bottom"/>
          </w:tcPr>
          <w:p>
            <w:pPr>
              <w:pStyle w:val="TableContents"/>
              <w:bidi w:val="0"/>
              <w:spacing w:before="0" w:after="283"/>
              <w:jc w:val="left"/>
              <w:rPr/>
            </w:pPr>
            <w:r>
              <w:rPr/>
              <w:t> </w:t>
            </w:r>
          </w:p>
        </w:tc>
        <w:tc>
          <w:tcPr>
            <w:tcW w:w="4249" w:type="dxa"/>
            <w:tcBorders/>
          </w:tcPr>
          <w:p>
            <w:pPr>
              <w:pStyle w:val="TableContents"/>
              <w:bidi w:val="0"/>
              <w:spacing w:before="0" w:after="283"/>
              <w:jc w:val="center"/>
              <w:rPr>
                <w:b/>
              </w:rPr>
            </w:pPr>
            <w:r>
              <w:rPr>
                <w:b/>
              </w:rPr>
              <w:t>US Bancorp</w:t>
            </w:r>
          </w:p>
        </w:tc>
        <w:tc>
          <w:tcPr>
            <w:tcW w:w="93" w:type="dxa"/>
            <w:tcBorders/>
            <w:vAlign w:val="bottom"/>
          </w:tcPr>
          <w:p>
            <w:pPr>
              <w:pStyle w:val="TableContents"/>
              <w:bidi w:val="0"/>
              <w:spacing w:before="0" w:after="283"/>
              <w:jc w:val="left"/>
              <w:rPr/>
            </w:pPr>
            <w:r>
              <w:rPr/>
              <w:t> </w:t>
            </w:r>
          </w:p>
        </w:tc>
        <w:tc>
          <w:tcPr>
            <w:tcW w:w="3224" w:type="dxa"/>
            <w:tcBorders/>
          </w:tcPr>
          <w:p>
            <w:pPr>
              <w:pStyle w:val="TableContents"/>
              <w:bidi w:val="0"/>
              <w:spacing w:before="0" w:after="283"/>
              <w:jc w:val="right"/>
              <w:rPr>
                <w:b/>
              </w:rPr>
            </w:pPr>
            <w:r>
              <w:rPr>
                <w:b/>
              </w:rPr>
              <w:t>Wells Fargo Securities</w:t>
            </w:r>
          </w:p>
        </w:tc>
      </w:tr>
    </w:tbl>
    <w:p>
      <w:pPr>
        <w:pStyle w:val="TextBody"/>
        <w:bidi w:val="0"/>
        <w:spacing w:before="120" w:after="0"/>
        <w:jc w:val="center"/>
        <w:rPr>
          <w:rFonts w:ascii="Times New Roman" w:hAnsi="Times New Roman"/>
          <w:b/>
          <w:i/>
          <w:sz w:val="20"/>
        </w:rPr>
      </w:pPr>
      <w:r>
        <w:rPr>
          <w:rFonts w:ascii="Times New Roman" w:hAnsi="Times New Roman"/>
          <w:b/>
          <w:i/>
          <w:sz w:val="20"/>
        </w:rPr>
        <w:t xml:space="preserve">Co-Managers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102"/>
        <w:gridCol w:w="2143"/>
        <w:gridCol w:w="102"/>
        <w:gridCol w:w="3981"/>
        <w:gridCol w:w="101"/>
        <w:gridCol w:w="2450"/>
      </w:tblGrid>
      <w:tr>
        <w:trPr/>
        <w:tc>
          <w:tcPr>
            <w:tcW w:w="132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98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1326" w:type="dxa"/>
            <w:tcBorders/>
          </w:tcPr>
          <w:p>
            <w:pPr>
              <w:pStyle w:val="TableContents"/>
              <w:bidi w:val="0"/>
              <w:spacing w:before="0" w:after="283"/>
              <w:jc w:val="left"/>
              <w:rPr>
                <w:b/>
              </w:rPr>
            </w:pPr>
            <w:r>
              <w:rPr>
                <w:b/>
              </w:rPr>
              <w:t>Barclays</w:t>
            </w:r>
          </w:p>
        </w:tc>
        <w:tc>
          <w:tcPr>
            <w:tcW w:w="102" w:type="dxa"/>
            <w:tcBorders/>
            <w:vAlign w:val="bottom"/>
          </w:tcPr>
          <w:p>
            <w:pPr>
              <w:pStyle w:val="TableContents"/>
              <w:bidi w:val="0"/>
              <w:spacing w:before="0" w:after="283"/>
              <w:jc w:val="left"/>
              <w:rPr/>
            </w:pPr>
            <w:r>
              <w:rPr/>
              <w:t> </w:t>
            </w:r>
          </w:p>
        </w:tc>
        <w:tc>
          <w:tcPr>
            <w:tcW w:w="2143" w:type="dxa"/>
            <w:tcBorders/>
          </w:tcPr>
          <w:p>
            <w:pPr>
              <w:pStyle w:val="TableContents"/>
              <w:bidi w:val="0"/>
              <w:spacing w:before="0" w:after="283"/>
              <w:jc w:val="center"/>
              <w:rPr>
                <w:b/>
              </w:rPr>
            </w:pPr>
            <w:r>
              <w:rPr>
                <w:b/>
              </w:rPr>
              <w:t>BBVA</w:t>
            </w:r>
          </w:p>
        </w:tc>
        <w:tc>
          <w:tcPr>
            <w:tcW w:w="102"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b/>
              </w:rPr>
            </w:pPr>
            <w:r>
              <w:rPr>
                <w:b/>
              </w:rPr>
              <w:t>BOK Financial Securities, Inc.</w:t>
            </w:r>
          </w:p>
        </w:tc>
        <w:tc>
          <w:tcPr>
            <w:tcW w:w="101"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right"/>
              <w:rPr>
                <w:b/>
              </w:rPr>
            </w:pPr>
            <w:r>
              <w:rPr>
                <w:b/>
              </w:rPr>
              <w:t>CIBC Capital Markets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3"/>
        <w:gridCol w:w="100"/>
        <w:gridCol w:w="5002"/>
      </w:tblGrid>
      <w:tr>
        <w:trPr/>
        <w:tc>
          <w:tcPr>
            <w:tcW w:w="5103"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5002" w:type="dxa"/>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center"/>
              <w:rPr>
                <w:b/>
              </w:rPr>
            </w:pPr>
            <w:r>
              <w:rPr>
                <w:b/>
              </w:rPr>
              <w:t>Deutsche Bank Securities</w:t>
            </w:r>
          </w:p>
        </w:tc>
        <w:tc>
          <w:tcPr>
            <w:tcW w:w="100" w:type="dxa"/>
            <w:tcBorders/>
            <w:vAlign w:val="bottom"/>
          </w:tcPr>
          <w:p>
            <w:pPr>
              <w:pStyle w:val="TableContents"/>
              <w:bidi w:val="0"/>
              <w:spacing w:before="0" w:after="283"/>
              <w:jc w:val="left"/>
              <w:rPr/>
            </w:pPr>
            <w:r>
              <w:rPr/>
              <w:t> </w:t>
            </w:r>
          </w:p>
        </w:tc>
        <w:tc>
          <w:tcPr>
            <w:tcW w:w="5002" w:type="dxa"/>
            <w:tcBorders/>
          </w:tcPr>
          <w:p>
            <w:pPr>
              <w:pStyle w:val="TableContents"/>
              <w:bidi w:val="0"/>
              <w:spacing w:before="0" w:after="283"/>
              <w:jc w:val="center"/>
              <w:rPr>
                <w:b/>
              </w:rPr>
            </w:pPr>
            <w:r>
              <w:rPr>
                <w:b/>
              </w:rPr>
              <w:t>J.P. Morgan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47"/>
        <w:gridCol w:w="101"/>
        <w:gridCol w:w="2552"/>
        <w:gridCol w:w="101"/>
        <w:gridCol w:w="2552"/>
        <w:gridCol w:w="101"/>
        <w:gridCol w:w="2451"/>
      </w:tblGrid>
      <w:tr>
        <w:trPr/>
        <w:tc>
          <w:tcPr>
            <w:tcW w:w="234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283"/>
              <w:jc w:val="center"/>
              <w:rPr>
                <w:b/>
              </w:rPr>
            </w:pPr>
            <w:r>
              <w:rPr>
                <w:b/>
              </w:rPr>
              <w:t>MUFG</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center"/>
              <w:rPr>
                <w:b/>
              </w:rPr>
            </w:pPr>
            <w:r>
              <w:rPr>
                <w:b/>
              </w:rPr>
              <w:t>Scotiabank</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center"/>
              <w:rPr>
                <w:b/>
              </w:rPr>
            </w:pPr>
            <w:r>
              <w:rPr>
                <w:b/>
              </w:rPr>
              <w:t>TD Securities</w:t>
            </w:r>
          </w:p>
        </w:tc>
        <w:tc>
          <w:tcPr>
            <w:tcW w:w="101" w:type="dxa"/>
            <w:tcBorders/>
            <w:vAlign w:val="bottom"/>
          </w:tcPr>
          <w:p>
            <w:pPr>
              <w:pStyle w:val="TableContents"/>
              <w:bidi w:val="0"/>
              <w:spacing w:before="0" w:after="283"/>
              <w:jc w:val="left"/>
              <w:rPr/>
            </w:pPr>
            <w:r>
              <w:rPr/>
              <w:t> </w:t>
            </w:r>
          </w:p>
        </w:tc>
        <w:tc>
          <w:tcPr>
            <w:tcW w:w="2451" w:type="dxa"/>
            <w:tcBorders/>
          </w:tcPr>
          <w:p>
            <w:pPr>
              <w:pStyle w:val="TableContents"/>
              <w:bidi w:val="0"/>
              <w:spacing w:before="0" w:after="283"/>
              <w:jc w:val="center"/>
              <w:rPr>
                <w:b/>
              </w:rPr>
            </w:pPr>
            <w:r>
              <w:rPr>
                <w:b/>
              </w:rPr>
              <w:t>Tuohy Brothers</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7"/>
        </w:rPr>
      </w:pPr>
      <w:r>
        <w:rPr>
          <w:rFonts w:ascii="Times New Roman" w:hAnsi="Times New Roman"/>
          <w:b/>
          <w:sz w:val="17"/>
        </w:rPr>
        <w:t xml:space="preserve">Prospectus Supplement dated September 8, 2026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specific terms of this offering of the notes. The second part is the accompanying base prospectus, which gives more general information, some of which may not apply to this offering of the notes. Generally, when we refer only to the “prospectus,” we are referring to both parts combined. If the information about the offering of the notes varies between this prospectus supplement and the accompanying base prospectus, you should rely on the information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Any statement made in this prospectus or in a document incorporated or deemed to be incorporated by reference into this prospectus will be deemed to be modified or superseded for purposes of this prospectus to the extent that a statement contained in this prospectus or in any other subsequently filed document that is also incorporated by reference into this prospectus modifies or supersedes that statement. Any statement so modified or superseded will not be deemed, except as so modified or superseded, to constitute a part of this prospectus. Please read “Where You Can Find More Information” on page S-45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underwriters have authorized anyone to provide you with additional or different information or to make representations other than those contained or incorporated by reference in this prospectus or in any free writing prospectus prepared by or on behalf of us. Neither we nor the underwriters take any responsibility for, and can provide no assurance as to the reliability of, any other information that others may give you. We are offering to sell the notes, and seeking offers to buy the notes, only in jurisdictions where offers and sales are permitted. You should not assume that the information contained in this prospectus supplement, the accompanying base prospectus or any free writing prospectus is accurate as of any date other than the dates shown in these documents or that any information we have incorporated by reference herein is accurate as of any date other than the date of the document incorporated by reference. Our business, financial condition, results of operations and prospects may have changed since such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0651_1">
              <w:r>
                <w:rPr>
                  <w:rStyle w:val="InternetLink"/>
                  <w:rFonts w:ascii="Times New Roman" w:hAnsi="Times New Roman"/>
                  <w:sz w:val="20"/>
                </w:rPr>
                <w:t>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0651_2">
              <w:r>
                <w:rPr>
                  <w:rStyle w:val="InternetLink"/>
                  <w:rFonts w:ascii="Times New Roman" w:hAnsi="Times New Roman"/>
                  <w:sz w:val="20"/>
                </w:rPr>
                <w:t>CERTAIN DEFINITIONS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S-vi</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0651_3">
              <w:r>
                <w:rPr>
                  <w:rStyle w:val="InternetLink"/>
                  <w:rFonts w:ascii="Times New Roman" w:hAnsi="Times New Roman"/>
                  <w:sz w:val="20"/>
                </w:rPr>
                <w:t>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0651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0651_5">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0651_6">
              <w:r>
                <w:rPr>
                  <w:rStyle w:val="InternetLink"/>
                  <w:rFonts w:ascii="Times New Roman" w:hAnsi="Times New Roman"/>
                  <w:sz w:val="20"/>
                </w:rPr>
                <w:t>CAPITALIZATION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0651_7">
              <w:r>
                <w:rPr>
                  <w:rStyle w:val="InternetLink"/>
                  <w:rFonts w:ascii="Times New Roman" w:hAnsi="Times New Roman"/>
                  <w:sz w:val="20"/>
                </w:rPr>
                <w:t>DESCRIPTION OF THE NOTES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0651_8">
              <w:r>
                <w:rPr>
                  <w:rStyle w:val="InternetLink"/>
                  <w:rFonts w:ascii="Times New Roman" w:hAnsi="Times New Roman"/>
                  <w:sz w:val="20"/>
                </w:rPr>
                <w:t>DESCRIPTION OF OTHER INDEBTEDNESS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S-26</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0651_9">
              <w:r>
                <w:rPr>
                  <w:rStyle w:val="InternetLink"/>
                  <w:rFonts w:ascii="Times New Roman" w:hAnsi="Times New Roman"/>
                  <w:sz w:val="20"/>
                </w:rPr>
                <w:t>CERTAIN MATERIAL U.S. FEDERAL INCOME TAX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S-30</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0651_10">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0651_11">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S-44</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0651_12">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S-44</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0651_13">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oc110651_14">
              <w:r>
                <w:rPr>
                  <w:rStyle w:val="InternetLink"/>
                  <w:rFonts w:ascii="Times New Roman" w:hAnsi="Times New Roman"/>
                  <w:sz w:val="20"/>
                </w:rPr>
                <w:t>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S-46</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10651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10651_2">
              <w:r>
                <w:rPr>
                  <w:rStyle w:val="InternetLink"/>
                  <w:rFonts w:ascii="Times New Roman" w:hAnsi="Times New Roman"/>
                  <w:sz w:val="20"/>
                </w:rPr>
                <w:t>ABOUT THE WILLIAMS COMPANIES, INC.</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10651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10651_4">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10651_5">
              <w:r>
                <w:rPr>
                  <w:rStyle w:val="InternetLink"/>
                  <w:rFonts w:ascii="Times New Roman" w:hAnsi="Times New Roman"/>
                  <w:sz w:val="20"/>
                </w:rPr>
                <w:t>INCORPORATION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10651_6">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10651_7">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10651_8">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10651_9">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10651_10">
              <w:r>
                <w:rPr>
                  <w:rStyle w:val="InternetLink"/>
                  <w:rFonts w:ascii="Times New Roman" w:hAnsi="Times New Roman"/>
                  <w:sz w:val="20"/>
                </w:rPr>
                <w:t>DESCRIPTION OF PURCHASE CONTRACTS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10651_11">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10651_12">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10651_13">
              <w:r>
                <w:rPr>
                  <w:rStyle w:val="InternetLink"/>
                  <w:rFonts w:ascii="Times New Roman" w:hAnsi="Times New Roman"/>
                  <w:sz w:val="20"/>
                </w:rPr>
                <w:t>SELLING SECURITYHOLDERS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10651_14">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oc110651_15">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 w:name="supptoc110651_1"/>
      <w:bookmarkEnd w:id="3"/>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Certain matters discussed in this prospectus supplement and the documents incorporated herein by reference, excluding historical facts, are “forward-looking statements” within the meaning of Section 27A of the Securities Act of 1933, as amended (the “Securities Act”), and Section 21E of the Securities Exchange Act of 1934, as amended (the “Exchange Act”). These forward-looking statements relate to anticipated financial performance, management’s plans and objectives for future operations, business prospects, outcomes of regulatory proceedings, market conditions, and other matters. We make these forward-looking statements in reliance on the safe harbor protections provided under the Private Securities Litigation Reform Act of 1995. </w:t>
      </w:r>
    </w:p>
    <w:p>
      <w:pPr>
        <w:pStyle w:val="TextBody"/>
        <w:bidi w:val="0"/>
        <w:spacing w:before="240" w:after="0"/>
        <w:jc w:val="left"/>
        <w:rPr>
          <w:rFonts w:ascii="Times New Roman" w:hAnsi="Times New Roman"/>
          <w:sz w:val="20"/>
        </w:rPr>
      </w:pPr>
      <w:r>
        <w:rPr>
          <w:rFonts w:ascii="Times New Roman" w:hAnsi="Times New Roman"/>
          <w:sz w:val="20"/>
        </w:rPr>
        <w:t xml:space="preserve">All statements, other than statements of historical facts, included in this prospectus supplement that address activities, events, or developments that we expect, believe, or anticipate will exist or may occur in the future, are forward-looking statements. Forward-looking statements can be identified by various forms of words such as “anticipates,” “believes,” “seeks,” “could,” “may,” “should,” “continues,” “estimates,” “expects,” “forecasts,” “intends,” “might,” “goals,” “objectives,” “targets,” “planned,” “potential,” “projects,” “scheduled,” “will,” “assumes,” “guidance,” “outlook,” “in-service date,” or other similar expressions. These forward-looking statements are based on management’s beliefs and assumptions and on information currently available to management and include, among others, statements regarding: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levels of dividends to Williams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credit ratings of Williams and its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and nature of future 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expansion and growth of our business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expected in-service dates for capital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condition and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flow from operations or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 case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seasonality of certain business components;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natural gas, natural gas liquids, and crude oil prices, supply, and demand;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demand for our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based on numerous assumptions, uncertainties, and risks that could cause future events or results to be materially different from those stated or implied in this prospectus supplement or in the documents incorporated herein by reference. You should carefully consider the risk factors discussed below in addition to the other information in this prospectus supplement and in the documents incorporated herein by reference. If any of the following risks were actually to occur, our business, results of operations and financial condition could be materially adversely affected. In that case, we might not be able to pay interest on, and the principal of, the notes, and holders of the notes could lose all or part of their investment. Many of the factors that will determine these results are beyond our ability to control or predict. Specific factors that could cause actual results to differ from results contemplated by the forward-looking statements include, among others,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of supplies, market demand, and volatility of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 and rate of adoption of alternative energy 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existing and future laws and regulations, the regulatory environment, environmental matters, and litigation, as well as our ability and the ability of other energy companies with whom we conduct or seek to conduct business, to obtain necessary permits and approvals, and our ability to achieve favorable rate proceeding outcomes;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exposure to the credit risk of our customers and counterparties;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acquire new businesses and assets and successfully integrate those operations and assets into existing businesses as well as successfully expand our facilities and consummate asset sales on acceptable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identify, evaluate, and timely execute our capital projects and investment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strength and financial resources of our competitors and the effects of competition;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cash distributions from and capital requirements of our investments and joint ventures in which we participate;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effectively execute our financing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scrutiny and changing expectations from stakeholders with respect to our environmental, social, and governance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physical and financial risks associated with climate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impacts of operational and developmental hazards and unforeseen interruptions;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resulting from outbreaks or other public health crises;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weather and natural phenomena, including climate conditions and physical damage to our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acts of terrorism, cybersecurity incidents, and related disruptions;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costs and funding obligations for defined benefit pension plans and other postretirement benefit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maintenance and construction costs, as well as our ability to obtain sufficient construction-related inputs, including skilled labor;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inflation, interest rates, tariffs on foreign made materials and goods (including steel and steel pipes) necessary to conduct business, and general economic conditions (including future disruptions and volatility in the global credit markets and the impact of these events on customers and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financing, including restrictions stemming from debt agreements, future changes in credit ratings as determined by nationally recognized credit rating agencies, and the availability and cost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members of the Organization of Petroleum Exporting Countries (OPEC) and other oil exporting nations to agree to and maintain oil price and production controls and the impact on domestic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current geopolitical situation;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U.S. governmental administration and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are able to pay current and expected levels of dividends;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risks described in our filings with the Securities and Exchange Commission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Given the uncertainties and risk factors that could cause our actual results to differ materially from those contained in any forward-looking statement, we caution investors not to unduly rely on our forward-looking statements. We disclaim any obligations to and do not intend to update the above list or announce publicly the result of any revisions to any of the forward-looking statements to reflect future events or developments.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to causing our actual results to differ, the factors listed above and referred to below may cause our intentions to change from those statements of intention set forth in or incorporated into this prospectus supplement. Such changes in our intentions may also cause our results to differ. We may change our intentions, at any time and without notice, based upon changes in such factors, our assumptions, or otherwise. </w:t>
      </w:r>
    </w:p>
    <w:p>
      <w:pPr>
        <w:pStyle w:val="TextBody"/>
        <w:bidi w:val="0"/>
        <w:spacing w:before="240" w:after="0"/>
        <w:jc w:val="left"/>
        <w:rPr>
          <w:rFonts w:ascii="Times New Roman" w:hAnsi="Times New Roman"/>
          <w:sz w:val="20"/>
        </w:rPr>
      </w:pPr>
      <w:r>
        <w:rPr>
          <w:rFonts w:ascii="Times New Roman" w:hAnsi="Times New Roman"/>
          <w:sz w:val="20"/>
        </w:rPr>
        <w:t xml:space="preserve">Because forward-looking statements involve risks and uncertainties, we caution that there are important factors, in addition to those listed above, that may cause actual results to differ materially from those contained in the forward-looking statements. These factors include the risks set forth under the caption “Risk Factors” in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 w:name="supptoc110651_2"/>
      <w:bookmarkEnd w:id="4"/>
      <w:r>
        <w:rPr>
          <w:rFonts w:ascii="Times New Roman" w:hAnsi="Times New Roman"/>
          <w:b/>
          <w:sz w:val="20"/>
        </w:rPr>
        <w:t xml:space="preserve">CERTAIN DEFINITIONS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prospectus supplement, unless the context otherwise requires or indicates: </w:t>
      </w:r>
    </w:p>
    <w:p>
      <w:pPr>
        <w:pStyle w:val="TextBody"/>
        <w:bidi w:val="0"/>
        <w:spacing w:before="240" w:after="0"/>
        <w:jc w:val="left"/>
        <w:rPr/>
      </w:pPr>
      <w:r>
        <w:rPr/>
        <w:t>“</w:t>
      </w:r>
      <w:r>
        <w:rPr>
          <w:rFonts w:ascii="Times New Roman" w:hAnsi="Times New Roman"/>
          <w:i/>
          <w:sz w:val="20"/>
        </w:rPr>
        <w:t>MountainWest</w:t>
      </w:r>
      <w:r>
        <w:rPr>
          <w:rFonts w:ascii="Times New Roman" w:hAnsi="Times New Roman"/>
          <w:sz w:val="20"/>
        </w:rPr>
        <w:t xml:space="preserve">” refers to MountainWest Pipelines Holding Company. </w:t>
      </w:r>
    </w:p>
    <w:p>
      <w:pPr>
        <w:pStyle w:val="TextBody"/>
        <w:bidi w:val="0"/>
        <w:spacing w:before="240" w:after="0"/>
        <w:jc w:val="left"/>
        <w:rPr/>
      </w:pPr>
      <w:r>
        <w:rPr/>
        <w:t>“</w:t>
      </w:r>
      <w:r>
        <w:rPr>
          <w:rFonts w:ascii="Times New Roman" w:hAnsi="Times New Roman"/>
          <w:i/>
          <w:sz w:val="20"/>
        </w:rPr>
        <w:t>Northwest Pipeline</w:t>
      </w:r>
      <w:r>
        <w:rPr>
          <w:rFonts w:ascii="Times New Roman" w:hAnsi="Times New Roman"/>
          <w:sz w:val="20"/>
        </w:rPr>
        <w:t xml:space="preserve">” refers to Northwest Pipeline LLC. </w:t>
      </w:r>
    </w:p>
    <w:p>
      <w:pPr>
        <w:pStyle w:val="TextBody"/>
        <w:bidi w:val="0"/>
        <w:spacing w:before="240" w:after="0"/>
        <w:jc w:val="left"/>
        <w:rPr/>
      </w:pPr>
      <w:r>
        <w:rPr/>
        <w:t>“</w:t>
      </w:r>
      <w:r>
        <w:rPr>
          <w:rFonts w:ascii="Times New Roman" w:hAnsi="Times New Roman"/>
          <w:i/>
          <w:sz w:val="20"/>
        </w:rPr>
        <w:t>Transco</w:t>
      </w:r>
      <w:r>
        <w:rPr>
          <w:rFonts w:ascii="Times New Roman" w:hAnsi="Times New Roman"/>
          <w:sz w:val="20"/>
        </w:rPr>
        <w:t xml:space="preserve">” refers to Transcontinental Gas Pipe Line Company, LLC. </w:t>
      </w:r>
    </w:p>
    <w:p>
      <w:pPr>
        <w:pStyle w:val="TextBody"/>
        <w:bidi w:val="0"/>
        <w:spacing w:before="240" w:after="0"/>
        <w:jc w:val="left"/>
        <w:rPr/>
      </w:pPr>
      <w:r>
        <w:rPr/>
        <w:t>“</w:t>
      </w:r>
      <w:r>
        <w:rPr>
          <w:rFonts w:ascii="Times New Roman" w:hAnsi="Times New Roman"/>
          <w:i/>
          <w:sz w:val="20"/>
        </w:rPr>
        <w:t>Williams</w:t>
      </w:r>
      <w:r>
        <w:rPr>
          <w:rFonts w:ascii="Times New Roman" w:hAnsi="Times New Roman"/>
          <w:sz w:val="20"/>
        </w:rPr>
        <w:t>,” “</w:t>
      </w:r>
      <w:r>
        <w:rPr>
          <w:rFonts w:ascii="Times New Roman" w:hAnsi="Times New Roman"/>
          <w:i/>
          <w:sz w:val="20"/>
        </w:rPr>
        <w:t>we</w:t>
      </w:r>
      <w:r>
        <w:rPr>
          <w:rFonts w:ascii="Times New Roman" w:hAnsi="Times New Roman"/>
          <w:sz w:val="20"/>
        </w:rPr>
        <w:t>,” “</w:t>
      </w:r>
      <w:r>
        <w:rPr>
          <w:rFonts w:ascii="Times New Roman" w:hAnsi="Times New Roman"/>
          <w:i/>
          <w:sz w:val="20"/>
        </w:rPr>
        <w:t>our</w:t>
      </w:r>
      <w:r>
        <w:rPr>
          <w:rFonts w:ascii="Times New Roman" w:hAnsi="Times New Roman"/>
          <w:sz w:val="20"/>
        </w:rPr>
        <w:t>,” “</w:t>
      </w:r>
      <w:r>
        <w:rPr>
          <w:rFonts w:ascii="Times New Roman" w:hAnsi="Times New Roman"/>
          <w:i/>
          <w:sz w:val="20"/>
        </w:rPr>
        <w:t>us</w:t>
      </w:r>
      <w:r>
        <w:rPr>
          <w:rFonts w:ascii="Times New Roman" w:hAnsi="Times New Roman"/>
          <w:sz w:val="20"/>
        </w:rPr>
        <w:t xml:space="preserve">” and like terms refer to The Williams Companies, Inc. and its subsidiaries. In addition, our industry uses many terms and acronyms that may not be familiar to you. To assist you in reading this prospectus supplement, we have provided below definitions of some of these terms. </w:t>
      </w:r>
    </w:p>
    <w:p>
      <w:pPr>
        <w:pStyle w:val="TextBody"/>
        <w:bidi w:val="0"/>
        <w:spacing w:before="240" w:after="0"/>
        <w:jc w:val="left"/>
        <w:rPr>
          <w:rFonts w:ascii="Times New Roman" w:hAnsi="Times New Roman"/>
          <w:sz w:val="20"/>
        </w:rPr>
      </w:pPr>
      <w:r>
        <w:rPr>
          <w:rFonts w:ascii="Times New Roman" w:hAnsi="Times New Roman"/>
          <w:i/>
          <w:sz w:val="20"/>
        </w:rPr>
        <w:t>Fractionation:</w:t>
      </w:r>
      <w:r>
        <w:rPr>
          <w:rFonts w:ascii="Times New Roman" w:hAnsi="Times New Roman"/>
          <w:sz w:val="20"/>
        </w:rPr>
        <w:t xml:space="preserve"> The process by which a mixed stream of natural gas liquids is separated into its constituent products, such as ethane, propane, and butane. </w:t>
      </w:r>
    </w:p>
    <w:p>
      <w:pPr>
        <w:pStyle w:val="TextBody"/>
        <w:bidi w:val="0"/>
        <w:spacing w:before="240" w:after="0"/>
        <w:jc w:val="left"/>
        <w:rPr>
          <w:rFonts w:ascii="Times New Roman" w:hAnsi="Times New Roman"/>
          <w:sz w:val="20"/>
        </w:rPr>
      </w:pPr>
      <w:r>
        <w:rPr>
          <w:rFonts w:ascii="Times New Roman" w:hAnsi="Times New Roman"/>
          <w:i/>
          <w:sz w:val="20"/>
        </w:rPr>
        <w:t xml:space="preserve">NGLs: </w:t>
      </w:r>
      <w:r>
        <w:rPr>
          <w:rFonts w:ascii="Times New Roman" w:hAnsi="Times New Roman"/>
          <w:sz w:val="20"/>
        </w:rPr>
        <w:t xml:space="preserve">Natural gas liquids; natural gas liquids result from natural gas processing and crude oil refining and are used as petrochemical feedstocks, heating fuels, and gasoline additives, among other applications.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S-vi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5" w:name="supptoc110651_3"/>
      <w:bookmarkEnd w:id="5"/>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contained elsewhere or incorporated by reference in this prospectus supplement and the accompanying base prospectus. It does not contain all of the information that you should consider before making an investment decision. You should read the entire prospectus supplement, the accompanying base prospectus and the documents incorporated by reference for a more complete understanding of this offering of the notes. Please read “Risk Factors” beginning on page S-5 of this prospectus supplement for information regarding risks you should consider before investing in the notes.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Williams Companies,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energy company committed to being the leader in providing infrastructure that safely delivers natural gas products to reliably fuel the clean energy economy. As of December 31, 2025, we had operations in 11 supply areas that provide natural gas gathering and processing, transmission and storage services; NGL fractionation, transportation, and storage services; and marketing services to approximately 800 customers. As of December 31, 2025, we owned an interest in and operated over 32,000 miles of pipelines in 24 states and in the Gulf of America, 35 natural gas processing facilities, 9 NGL fractionation facilities, approximately 23 million barrels of NGL storage capacity, and 423 Bcf of natural gas storage capacity, and deliver natural gas that is used every day for clean-power generation, heating, and industrial use.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Principal Executive Offices and Internet Address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One Williams Center, Tulsa, Oklahoma 74172-0172, and our telephone number is (918) 573-2000. Our website is located at http://www.williams.com. We make our periodic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supplement or the accompanying base prospectus and does not constitute a part of this prospectus supplement or the accompanying base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Momentum Midstream Acquisition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September 3, 2026, we closed our previously announced acquisition of Momentum Midstream for total consideration of $5.5 billion, comprising approximately $3.5 billion of cash and debt consideration and approximately $2 billion of Williams common stock (the “Momentum Acquisition”).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Power Innovation Joint Venture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July 2026, we sold a 49 percent noncontrolling interest in five power innovation projects, Socrates, Apollo, Aquila, Socrates the Younger, and Neo, to an investor in exchange for $5.34 billion of committed capital (the “Power Innovation Joint Venture”), as described in our Quarterly Report on Form 10-Q for the period ended June 30, 2026, which is incorporated by reference in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408"/>
        <w:gridCol w:w="120"/>
        <w:gridCol w:w="6677"/>
      </w:tblGrid>
      <w:tr>
        <w:trPr/>
        <w:tc>
          <w:tcPr>
            <w:tcW w:w="34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677" w:type="dxa"/>
            <w:tcBorders/>
            <w:vAlign w:val="center"/>
          </w:tcPr>
          <w:p>
            <w:pPr>
              <w:pStyle w:val="TableContents"/>
              <w:bidi w:val="0"/>
              <w:spacing w:before="0" w:after="283"/>
              <w:jc w:val="left"/>
              <w:rPr>
                <w:sz w:val="4"/>
                <w:szCs w:val="4"/>
              </w:rPr>
            </w:pPr>
            <w:r>
              <w:rPr>
                <w:sz w:val="4"/>
                <w:szCs w:val="4"/>
              </w:rPr>
            </w:r>
          </w:p>
        </w:tc>
      </w:tr>
      <w:tr>
        <w:trPr/>
        <w:tc>
          <w:tcPr>
            <w:tcW w:w="3408" w:type="dxa"/>
            <w:tcBorders/>
          </w:tcPr>
          <w:p>
            <w:pPr>
              <w:pStyle w:val="TableContents"/>
              <w:bidi w:val="0"/>
              <w:spacing w:before="0" w:after="0"/>
              <w:jc w:val="left"/>
              <w:rPr>
                <w:rFonts w:ascii="Times New Roman" w:hAnsi="Times New Roman"/>
                <w:sz w:val="20"/>
              </w:rPr>
            </w:pPr>
            <w:r>
              <w:rPr>
                <w:rFonts w:ascii="Times New Roman" w:hAnsi="Times New Roman"/>
                <w:sz w:val="20"/>
              </w:rPr>
              <w:t>Issuer</w:t>
            </w:r>
          </w:p>
        </w:tc>
        <w:tc>
          <w:tcPr>
            <w:tcW w:w="120" w:type="dxa"/>
            <w:tcBorders/>
            <w:vAlign w:val="bottom"/>
          </w:tcPr>
          <w:p>
            <w:pPr>
              <w:pStyle w:val="TableContents"/>
              <w:bidi w:val="0"/>
              <w:spacing w:before="0" w:after="283"/>
              <w:jc w:val="left"/>
              <w:rPr/>
            </w:pPr>
            <w:r>
              <w:rPr/>
              <w:t>  </w:t>
            </w:r>
          </w:p>
        </w:tc>
        <w:tc>
          <w:tcPr>
            <w:tcW w:w="6677" w:type="dxa"/>
            <w:tcBorders/>
            <w:vAlign w:val="bottom"/>
          </w:tcPr>
          <w:p>
            <w:pPr>
              <w:pStyle w:val="TableContents"/>
              <w:bidi w:val="0"/>
              <w:spacing w:before="0" w:after="283"/>
              <w:jc w:val="left"/>
              <w:rPr/>
            </w:pPr>
            <w:r>
              <w:rPr/>
              <w:t>The Williams Companies, Inc.</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531"/>
        <w:gridCol w:w="123"/>
        <w:gridCol w:w="6551"/>
      </w:tblGrid>
      <w:tr>
        <w:trPr/>
        <w:tc>
          <w:tcPr>
            <w:tcW w:w="353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551" w:type="dxa"/>
            <w:tcBorders/>
            <w:vAlign w:val="center"/>
          </w:tcPr>
          <w:p>
            <w:pPr>
              <w:pStyle w:val="TableContents"/>
              <w:bidi w:val="0"/>
              <w:spacing w:before="0" w:after="283"/>
              <w:jc w:val="left"/>
              <w:rPr>
                <w:sz w:val="4"/>
                <w:szCs w:val="4"/>
              </w:rPr>
            </w:pPr>
            <w:r>
              <w:rPr>
                <w:sz w:val="4"/>
                <w:szCs w:val="4"/>
              </w:rPr>
            </w:r>
          </w:p>
        </w:tc>
      </w:tr>
      <w:tr>
        <w:trPr/>
        <w:tc>
          <w:tcPr>
            <w:tcW w:w="3531" w:type="dxa"/>
            <w:tcBorders/>
          </w:tcPr>
          <w:p>
            <w:pPr>
              <w:pStyle w:val="TableContents"/>
              <w:bidi w:val="0"/>
              <w:spacing w:before="0" w:after="0"/>
              <w:jc w:val="left"/>
              <w:rPr>
                <w:rFonts w:ascii="Times New Roman" w:hAnsi="Times New Roman"/>
                <w:sz w:val="20"/>
              </w:rPr>
            </w:pPr>
            <w:r>
              <w:rPr>
                <w:rFonts w:ascii="Times New Roman" w:hAnsi="Times New Roman"/>
                <w:sz w:val="20"/>
              </w:rPr>
              <w:t>Notes Offered</w:t>
            </w:r>
          </w:p>
        </w:tc>
        <w:tc>
          <w:tcPr>
            <w:tcW w:w="123" w:type="dxa"/>
            <w:tcBorders/>
            <w:vAlign w:val="bottom"/>
          </w:tcPr>
          <w:p>
            <w:pPr>
              <w:pStyle w:val="TableContents"/>
              <w:bidi w:val="0"/>
              <w:spacing w:before="0" w:after="283"/>
              <w:jc w:val="left"/>
              <w:rPr/>
            </w:pPr>
            <w:r>
              <w:rPr/>
              <w:t>  </w:t>
            </w:r>
          </w:p>
        </w:tc>
        <w:tc>
          <w:tcPr>
            <w:tcW w:w="6551" w:type="dxa"/>
            <w:tcBorders/>
            <w:vAlign w:val="bottom"/>
          </w:tcPr>
          <w:p>
            <w:pPr>
              <w:pStyle w:val="TableContents"/>
              <w:bidi w:val="0"/>
              <w:spacing w:before="0" w:after="283"/>
              <w:jc w:val="left"/>
              <w:rPr/>
            </w:pPr>
            <w:r>
              <w:rPr/>
              <w:t>$2,750,000,000 aggregate principal amount of our senior notes consisting of:</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1"/>
        <w:gridCol w:w="204"/>
        <w:gridCol w:w="102"/>
        <w:gridCol w:w="5818"/>
      </w:tblGrid>
      <w:tr>
        <w:trPr/>
        <w:tc>
          <w:tcPr>
            <w:tcW w:w="408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$500,000,000 aggregate principal amount of 5.000% senior notes due 2029.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$1,000,000,000 aggregate principal amount of 5.600% senior notes due 2033.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1"/>
        <w:gridCol w:w="204"/>
        <w:gridCol w:w="102"/>
        <w:gridCol w:w="5818"/>
      </w:tblGrid>
      <w:tr>
        <w:trPr/>
        <w:tc>
          <w:tcPr>
            <w:tcW w:w="408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$750,000,000 aggregate principal amount of 5.800% senior notes due 2036.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1"/>
        <w:gridCol w:w="204"/>
        <w:gridCol w:w="102"/>
        <w:gridCol w:w="5818"/>
      </w:tblGrid>
      <w:tr>
        <w:trPr/>
        <w:tc>
          <w:tcPr>
            <w:tcW w:w="408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$500,000,000 aggregate principal amount of 6.400% senior notes due 2056.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571"/>
        <w:gridCol w:w="204"/>
        <w:gridCol w:w="6430"/>
      </w:tblGrid>
      <w:tr>
        <w:trPr/>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430" w:type="dxa"/>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Maturity</w:t>
            </w:r>
          </w:p>
        </w:tc>
        <w:tc>
          <w:tcPr>
            <w:tcW w:w="204" w:type="dxa"/>
            <w:tcBorders/>
            <w:vAlign w:val="bottom"/>
          </w:tcPr>
          <w:p>
            <w:pPr>
              <w:pStyle w:val="TableContents"/>
              <w:bidi w:val="0"/>
              <w:spacing w:before="0" w:after="283"/>
              <w:jc w:val="left"/>
              <w:rPr/>
            </w:pPr>
            <w:r>
              <w:rPr/>
              <w:t>  </w:t>
            </w:r>
          </w:p>
        </w:tc>
        <w:tc>
          <w:tcPr>
            <w:tcW w:w="6430" w:type="dxa"/>
            <w:tcBorders/>
            <w:vAlign w:val="bottom"/>
          </w:tcPr>
          <w:p>
            <w:pPr>
              <w:pStyle w:val="TableContents"/>
              <w:bidi w:val="0"/>
              <w:spacing w:before="0" w:after="283"/>
              <w:jc w:val="left"/>
              <w:rPr/>
            </w:pPr>
            <w:r>
              <w:rPr/>
              <w:t>The 2029 notes will mature on October 15, 2029.</w:t>
            </w:r>
          </w:p>
        </w:tc>
      </w:tr>
      <w:tr>
        <w:trPr>
          <w:trHeight w:val="240" w:hRule="atLeast"/>
        </w:trPr>
        <w:tc>
          <w:tcPr>
            <w:tcW w:w="3571" w:type="dxa"/>
            <w:tcBorders/>
            <w:vAlign w:val="center"/>
          </w:tcPr>
          <w:p>
            <w:pPr>
              <w:pStyle w:val="TableContents"/>
              <w:bidi w:val="0"/>
              <w:spacing w:before="0" w:after="283"/>
              <w:jc w:val="left"/>
              <w:rPr>
                <w:sz w:val="4"/>
                <w:szCs w:val="4"/>
              </w:rPr>
            </w:pPr>
            <w:r>
              <w:rPr>
                <w:sz w:val="4"/>
                <w:szCs w:val="4"/>
              </w:rPr>
            </w:r>
          </w:p>
        </w:tc>
        <w:tc>
          <w:tcPr>
            <w:tcW w:w="663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430" w:type="dxa"/>
            <w:tcBorders/>
            <w:vAlign w:val="bottom"/>
          </w:tcPr>
          <w:p>
            <w:pPr>
              <w:pStyle w:val="TableContents"/>
              <w:bidi w:val="0"/>
              <w:spacing w:before="0" w:after="283"/>
              <w:jc w:val="left"/>
              <w:rPr/>
            </w:pPr>
            <w:r>
              <w:rPr/>
              <w:t>The 2033 notes will mature on September 15, 2033.</w:t>
            </w:r>
          </w:p>
        </w:tc>
      </w:tr>
      <w:tr>
        <w:trPr>
          <w:trHeight w:val="240" w:hRule="atLeast"/>
        </w:trPr>
        <w:tc>
          <w:tcPr>
            <w:tcW w:w="3571" w:type="dxa"/>
            <w:tcBorders/>
            <w:vAlign w:val="center"/>
          </w:tcPr>
          <w:p>
            <w:pPr>
              <w:pStyle w:val="TableContents"/>
              <w:bidi w:val="0"/>
              <w:spacing w:before="0" w:after="283"/>
              <w:jc w:val="left"/>
              <w:rPr>
                <w:sz w:val="4"/>
                <w:szCs w:val="4"/>
              </w:rPr>
            </w:pPr>
            <w:r>
              <w:rPr>
                <w:sz w:val="4"/>
                <w:szCs w:val="4"/>
              </w:rPr>
            </w:r>
          </w:p>
        </w:tc>
        <w:tc>
          <w:tcPr>
            <w:tcW w:w="663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430" w:type="dxa"/>
            <w:tcBorders/>
            <w:vAlign w:val="bottom"/>
          </w:tcPr>
          <w:p>
            <w:pPr>
              <w:pStyle w:val="TableContents"/>
              <w:bidi w:val="0"/>
              <w:spacing w:before="0" w:after="283"/>
              <w:jc w:val="left"/>
              <w:rPr/>
            </w:pPr>
            <w:r>
              <w:rPr/>
              <w:t>The 2036 notes will mature on September 15, 2036.</w:t>
            </w:r>
          </w:p>
        </w:tc>
      </w:tr>
      <w:tr>
        <w:trPr>
          <w:trHeight w:val="240" w:hRule="atLeast"/>
        </w:trPr>
        <w:tc>
          <w:tcPr>
            <w:tcW w:w="3571" w:type="dxa"/>
            <w:tcBorders/>
            <w:vAlign w:val="center"/>
          </w:tcPr>
          <w:p>
            <w:pPr>
              <w:pStyle w:val="TableContents"/>
              <w:bidi w:val="0"/>
              <w:spacing w:before="0" w:after="283"/>
              <w:jc w:val="left"/>
              <w:rPr>
                <w:sz w:val="4"/>
                <w:szCs w:val="4"/>
              </w:rPr>
            </w:pPr>
            <w:r>
              <w:rPr>
                <w:sz w:val="4"/>
                <w:szCs w:val="4"/>
              </w:rPr>
            </w:r>
          </w:p>
        </w:tc>
        <w:tc>
          <w:tcPr>
            <w:tcW w:w="663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430" w:type="dxa"/>
            <w:tcBorders/>
            <w:vAlign w:val="bottom"/>
          </w:tcPr>
          <w:p>
            <w:pPr>
              <w:pStyle w:val="TableContents"/>
              <w:bidi w:val="0"/>
              <w:spacing w:before="0" w:after="283"/>
              <w:jc w:val="left"/>
              <w:rPr/>
            </w:pPr>
            <w:r>
              <w:rPr/>
              <w:t>The 2056 notes will mature on September 15, 2056.</w:t>
            </w:r>
          </w:p>
        </w:tc>
      </w:tr>
      <w:tr>
        <w:trPr>
          <w:trHeight w:val="240" w:hRule="atLeast"/>
        </w:trPr>
        <w:tc>
          <w:tcPr>
            <w:tcW w:w="3571" w:type="dxa"/>
            <w:tcBorders/>
            <w:vAlign w:val="center"/>
          </w:tcPr>
          <w:p>
            <w:pPr>
              <w:pStyle w:val="TableContents"/>
              <w:bidi w:val="0"/>
              <w:spacing w:before="0" w:after="283"/>
              <w:jc w:val="left"/>
              <w:rPr>
                <w:sz w:val="4"/>
                <w:szCs w:val="4"/>
              </w:rPr>
            </w:pPr>
            <w:r>
              <w:rPr>
                <w:sz w:val="4"/>
                <w:szCs w:val="4"/>
              </w:rPr>
            </w:r>
          </w:p>
        </w:tc>
        <w:tc>
          <w:tcPr>
            <w:tcW w:w="663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w:t>
            </w:r>
          </w:p>
        </w:tc>
        <w:tc>
          <w:tcPr>
            <w:tcW w:w="204" w:type="dxa"/>
            <w:tcBorders/>
            <w:vAlign w:val="bottom"/>
          </w:tcPr>
          <w:p>
            <w:pPr>
              <w:pStyle w:val="TableContents"/>
              <w:bidi w:val="0"/>
              <w:spacing w:before="0" w:after="283"/>
              <w:jc w:val="left"/>
              <w:rPr/>
            </w:pPr>
            <w:r>
              <w:rPr/>
              <w:t>  </w:t>
            </w:r>
          </w:p>
        </w:tc>
        <w:tc>
          <w:tcPr>
            <w:tcW w:w="6430" w:type="dxa"/>
            <w:tcBorders/>
            <w:vAlign w:val="bottom"/>
          </w:tcPr>
          <w:p>
            <w:pPr>
              <w:pStyle w:val="TableContents"/>
              <w:bidi w:val="0"/>
              <w:spacing w:before="0" w:after="283"/>
              <w:jc w:val="left"/>
              <w:rPr/>
            </w:pPr>
            <w:r>
              <w:rPr/>
              <w:t>The interest rate on the 2029 notes shall be 5.000%.</w:t>
            </w:r>
          </w:p>
        </w:tc>
      </w:tr>
      <w:tr>
        <w:trPr>
          <w:trHeight w:val="240" w:hRule="atLeast"/>
        </w:trPr>
        <w:tc>
          <w:tcPr>
            <w:tcW w:w="3571" w:type="dxa"/>
            <w:tcBorders/>
            <w:vAlign w:val="center"/>
          </w:tcPr>
          <w:p>
            <w:pPr>
              <w:pStyle w:val="TableContents"/>
              <w:bidi w:val="0"/>
              <w:spacing w:before="0" w:after="283"/>
              <w:jc w:val="left"/>
              <w:rPr>
                <w:sz w:val="4"/>
                <w:szCs w:val="4"/>
              </w:rPr>
            </w:pPr>
            <w:r>
              <w:rPr>
                <w:sz w:val="4"/>
                <w:szCs w:val="4"/>
              </w:rPr>
            </w:r>
          </w:p>
        </w:tc>
        <w:tc>
          <w:tcPr>
            <w:tcW w:w="663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430" w:type="dxa"/>
            <w:tcBorders/>
            <w:vAlign w:val="bottom"/>
          </w:tcPr>
          <w:p>
            <w:pPr>
              <w:pStyle w:val="TableContents"/>
              <w:bidi w:val="0"/>
              <w:spacing w:before="0" w:after="283"/>
              <w:jc w:val="left"/>
              <w:rPr/>
            </w:pPr>
            <w:r>
              <w:rPr/>
              <w:t>The interest rate on the 2033 notes shall be 5.600%.</w:t>
            </w:r>
          </w:p>
        </w:tc>
      </w:tr>
      <w:tr>
        <w:trPr>
          <w:trHeight w:val="240" w:hRule="atLeast"/>
        </w:trPr>
        <w:tc>
          <w:tcPr>
            <w:tcW w:w="3571" w:type="dxa"/>
            <w:tcBorders/>
            <w:vAlign w:val="center"/>
          </w:tcPr>
          <w:p>
            <w:pPr>
              <w:pStyle w:val="TableContents"/>
              <w:bidi w:val="0"/>
              <w:spacing w:before="0" w:after="283"/>
              <w:jc w:val="left"/>
              <w:rPr>
                <w:sz w:val="4"/>
                <w:szCs w:val="4"/>
              </w:rPr>
            </w:pPr>
            <w:r>
              <w:rPr>
                <w:sz w:val="4"/>
                <w:szCs w:val="4"/>
              </w:rPr>
            </w:r>
          </w:p>
        </w:tc>
        <w:tc>
          <w:tcPr>
            <w:tcW w:w="663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430" w:type="dxa"/>
            <w:tcBorders/>
            <w:vAlign w:val="bottom"/>
          </w:tcPr>
          <w:p>
            <w:pPr>
              <w:pStyle w:val="TableContents"/>
              <w:bidi w:val="0"/>
              <w:spacing w:before="0" w:after="283"/>
              <w:jc w:val="left"/>
              <w:rPr/>
            </w:pPr>
            <w:r>
              <w:rPr/>
              <w:t>The interest rate on the 2036 notes shall be 5.800%.</w:t>
            </w:r>
          </w:p>
        </w:tc>
      </w:tr>
      <w:tr>
        <w:trPr>
          <w:trHeight w:val="240" w:hRule="atLeast"/>
        </w:trPr>
        <w:tc>
          <w:tcPr>
            <w:tcW w:w="3571" w:type="dxa"/>
            <w:tcBorders/>
            <w:vAlign w:val="center"/>
          </w:tcPr>
          <w:p>
            <w:pPr>
              <w:pStyle w:val="TableContents"/>
              <w:bidi w:val="0"/>
              <w:spacing w:before="0" w:after="283"/>
              <w:jc w:val="left"/>
              <w:rPr>
                <w:sz w:val="4"/>
                <w:szCs w:val="4"/>
              </w:rPr>
            </w:pPr>
            <w:r>
              <w:rPr>
                <w:sz w:val="4"/>
                <w:szCs w:val="4"/>
              </w:rPr>
            </w:r>
          </w:p>
        </w:tc>
        <w:tc>
          <w:tcPr>
            <w:tcW w:w="663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430" w:type="dxa"/>
            <w:tcBorders/>
            <w:vAlign w:val="bottom"/>
          </w:tcPr>
          <w:p>
            <w:pPr>
              <w:pStyle w:val="TableContents"/>
              <w:bidi w:val="0"/>
              <w:spacing w:before="0" w:after="283"/>
              <w:jc w:val="left"/>
              <w:rPr/>
            </w:pPr>
            <w:r>
              <w:rPr/>
              <w:t>The interest rate on the 2056 notes shall be 6.400%.</w:t>
            </w:r>
          </w:p>
        </w:tc>
      </w:tr>
      <w:tr>
        <w:trPr>
          <w:trHeight w:val="240" w:hRule="atLeast"/>
        </w:trPr>
        <w:tc>
          <w:tcPr>
            <w:tcW w:w="3571" w:type="dxa"/>
            <w:tcBorders/>
            <w:vAlign w:val="center"/>
          </w:tcPr>
          <w:p>
            <w:pPr>
              <w:pStyle w:val="TableContents"/>
              <w:bidi w:val="0"/>
              <w:spacing w:before="0" w:after="283"/>
              <w:jc w:val="left"/>
              <w:rPr>
                <w:sz w:val="4"/>
                <w:szCs w:val="4"/>
              </w:rPr>
            </w:pPr>
            <w:r>
              <w:rPr>
                <w:sz w:val="4"/>
                <w:szCs w:val="4"/>
              </w:rPr>
            </w:r>
          </w:p>
        </w:tc>
        <w:tc>
          <w:tcPr>
            <w:tcW w:w="663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0"/>
              <w:jc w:val="left"/>
              <w:rPr>
                <w:rFonts w:ascii="Times New Roman" w:hAnsi="Times New Roman"/>
                <w:sz w:val="20"/>
              </w:rPr>
            </w:pPr>
            <w:r>
              <w:rPr>
                <w:rFonts w:ascii="Times New Roman" w:hAnsi="Times New Roman"/>
                <w:sz w:val="20"/>
              </w:rPr>
              <w:t>Interest Payment Dates</w:t>
            </w:r>
          </w:p>
        </w:tc>
        <w:tc>
          <w:tcPr>
            <w:tcW w:w="204" w:type="dxa"/>
            <w:tcBorders/>
            <w:vAlign w:val="bottom"/>
          </w:tcPr>
          <w:p>
            <w:pPr>
              <w:pStyle w:val="TableContents"/>
              <w:bidi w:val="0"/>
              <w:spacing w:before="0" w:after="283"/>
              <w:jc w:val="left"/>
              <w:rPr/>
            </w:pPr>
            <w:r>
              <w:rPr/>
              <w:t>  </w:t>
            </w:r>
          </w:p>
        </w:tc>
        <w:tc>
          <w:tcPr>
            <w:tcW w:w="6430" w:type="dxa"/>
            <w:tcBorders/>
            <w:vAlign w:val="bottom"/>
          </w:tcPr>
          <w:p>
            <w:pPr>
              <w:pStyle w:val="TableContents"/>
              <w:bidi w:val="0"/>
              <w:spacing w:before="0" w:after="283"/>
              <w:jc w:val="left"/>
              <w:rPr/>
            </w:pPr>
            <w:r>
              <w:rPr/>
              <w:t>Interest on the 2029 notes will be payable semi-annually in arrears on April 15 and October 15, beginning on April 15, 2027, and will be payable to holders of record at the close of business on the April 1 or October 1 immediately preceding the interest payment date (whether or not a business day).</w:t>
            </w:r>
          </w:p>
        </w:tc>
      </w:tr>
      <w:tr>
        <w:trPr>
          <w:trHeight w:val="240" w:hRule="atLeast"/>
        </w:trPr>
        <w:tc>
          <w:tcPr>
            <w:tcW w:w="3571" w:type="dxa"/>
            <w:tcBorders/>
            <w:vAlign w:val="center"/>
          </w:tcPr>
          <w:p>
            <w:pPr>
              <w:pStyle w:val="TableContents"/>
              <w:bidi w:val="0"/>
              <w:spacing w:before="0" w:after="283"/>
              <w:jc w:val="left"/>
              <w:rPr>
                <w:sz w:val="4"/>
                <w:szCs w:val="4"/>
              </w:rPr>
            </w:pPr>
            <w:r>
              <w:rPr>
                <w:sz w:val="4"/>
                <w:szCs w:val="4"/>
              </w:rPr>
            </w:r>
          </w:p>
        </w:tc>
        <w:tc>
          <w:tcPr>
            <w:tcW w:w="663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430" w:type="dxa"/>
            <w:tcBorders/>
            <w:vAlign w:val="bottom"/>
          </w:tcPr>
          <w:p>
            <w:pPr>
              <w:pStyle w:val="TableContents"/>
              <w:bidi w:val="0"/>
              <w:spacing w:before="0" w:after="283"/>
              <w:jc w:val="left"/>
              <w:rPr/>
            </w:pPr>
            <w:r>
              <w:rPr/>
              <w:t>Interest on the 2033 notes will be payable semi-annually in arrears on March 15 and September 15, beginning on March 15, 2027, and will be payable to holders of record at the close of business on the March 1 or September 1 immediately preceding the interest payment date (whether or not a business day).</w:t>
            </w:r>
          </w:p>
        </w:tc>
      </w:tr>
      <w:tr>
        <w:trPr>
          <w:trHeight w:val="240" w:hRule="atLeast"/>
        </w:trPr>
        <w:tc>
          <w:tcPr>
            <w:tcW w:w="3571" w:type="dxa"/>
            <w:tcBorders/>
            <w:vAlign w:val="center"/>
          </w:tcPr>
          <w:p>
            <w:pPr>
              <w:pStyle w:val="TableContents"/>
              <w:bidi w:val="0"/>
              <w:spacing w:before="0" w:after="283"/>
              <w:jc w:val="left"/>
              <w:rPr>
                <w:sz w:val="4"/>
                <w:szCs w:val="4"/>
              </w:rPr>
            </w:pPr>
            <w:r>
              <w:rPr>
                <w:sz w:val="4"/>
                <w:szCs w:val="4"/>
              </w:rPr>
            </w:r>
          </w:p>
        </w:tc>
        <w:tc>
          <w:tcPr>
            <w:tcW w:w="6634" w:type="dxa"/>
            <w:gridSpan w:val="2"/>
            <w:tcBorders/>
            <w:vAlign w:val="center"/>
          </w:tcPr>
          <w:p>
            <w:pPr>
              <w:pStyle w:val="TableContents"/>
              <w:bidi w:val="0"/>
              <w:spacing w:before="0" w:after="283"/>
              <w:jc w:val="left"/>
              <w:rPr>
                <w:sz w:val="4"/>
                <w:szCs w:val="4"/>
              </w:rPr>
            </w:pPr>
            <w:r>
              <w:rPr>
                <w:sz w:val="4"/>
                <w:szCs w:val="4"/>
              </w:rPr>
            </w:r>
          </w:p>
        </w:tc>
      </w:tr>
      <w:tr>
        <w:trPr/>
        <w:tc>
          <w:tcPr>
            <w:tcW w:w="357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430" w:type="dxa"/>
            <w:tcBorders/>
            <w:vAlign w:val="bottom"/>
          </w:tcPr>
          <w:p>
            <w:pPr>
              <w:pStyle w:val="TableContents"/>
              <w:bidi w:val="0"/>
              <w:spacing w:before="0" w:after="283"/>
              <w:jc w:val="left"/>
              <w:rPr/>
            </w:pPr>
            <w:r>
              <w:rPr/>
              <w:t>Interest on the 2036 notes will be payable semi-annually in arrears on March 15 and September 15, beginning on March 15, 2027, and will be payable to holders of record at the close of business on the March 1 or September 1 immediately preceding the interest payment date (whether or not a business day).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7"/>
        <w:gridCol w:w="203"/>
        <w:gridCol w:w="6635"/>
      </w:tblGrid>
      <w:tr>
        <w:trPr/>
        <w:tc>
          <w:tcPr>
            <w:tcW w:w="33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7"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635" w:type="dxa"/>
            <w:tcBorders/>
            <w:vAlign w:val="bottom"/>
          </w:tcPr>
          <w:p>
            <w:pPr>
              <w:pStyle w:val="TableContents"/>
              <w:bidi w:val="0"/>
              <w:spacing w:before="0" w:after="283"/>
              <w:jc w:val="left"/>
              <w:rPr/>
            </w:pPr>
            <w:r>
              <w:rPr/>
              <w:t>Interest on the 2056 notes will be payable semi-annually in arrears on March 15 and September 15, beginning on March 15, 2027, and will be payable to holders of record at the close of business on the March 1 or September 1 immediately preceding the interest payment date (whether or not a business day).</w:t>
            </w:r>
          </w:p>
        </w:tc>
      </w:tr>
      <w:tr>
        <w:trPr>
          <w:trHeight w:val="24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left"/>
              <w:rPr>
                <w:rFonts w:ascii="Times New Roman" w:hAnsi="Times New Roman"/>
                <w:sz w:val="20"/>
              </w:rPr>
            </w:pPr>
            <w:r>
              <w:rPr>
                <w:rFonts w:ascii="Times New Roman" w:hAnsi="Times New Roman"/>
                <w:sz w:val="20"/>
              </w:rPr>
              <w:t>Optional Redemption</w:t>
            </w:r>
          </w:p>
        </w:tc>
        <w:tc>
          <w:tcPr>
            <w:tcW w:w="203" w:type="dxa"/>
            <w:tcBorders/>
            <w:vAlign w:val="bottom"/>
          </w:tcPr>
          <w:p>
            <w:pPr>
              <w:pStyle w:val="TableContents"/>
              <w:bidi w:val="0"/>
              <w:spacing w:before="0" w:after="283"/>
              <w:jc w:val="left"/>
              <w:rPr/>
            </w:pPr>
            <w:r>
              <w:rPr/>
              <w:t>  </w:t>
            </w:r>
          </w:p>
        </w:tc>
        <w:tc>
          <w:tcPr>
            <w:tcW w:w="6635" w:type="dxa"/>
            <w:tcBorders/>
            <w:vAlign w:val="bottom"/>
          </w:tcPr>
          <w:p>
            <w:pPr>
              <w:pStyle w:val="TableContents"/>
              <w:bidi w:val="0"/>
              <w:spacing w:before="0" w:after="283"/>
              <w:jc w:val="left"/>
              <w:rPr/>
            </w:pPr>
            <w:r>
              <w:rPr/>
              <w:t>At any time prior to September 15, 2029 (one month prior to the maturity date of the 2029 notes), in the case of the 2029 notes, July 15, 2033 (two months prior to the maturity date of the 2033 notes), in the case of the 2033 notes, June 15, 2036 (three months prior to the maturity date of the 2036 notes), in the case of the 2036 notes, and March 15, 2056 (six months prior to the maturity date of the 2056 notes), in the case of the 2056 notes, we may redeem some or all of the notes of the applicable series at the applicable “make whole” redemption price described in “Description of the Notes — Optional Redemption,” plus accrued and unpaid interest, if any, to, but not including, the applicable redemption date.</w:t>
            </w:r>
          </w:p>
        </w:tc>
      </w:tr>
      <w:tr>
        <w:trPr>
          <w:trHeight w:val="24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635" w:type="dxa"/>
            <w:tcBorders/>
            <w:vAlign w:val="bottom"/>
          </w:tcPr>
          <w:p>
            <w:pPr>
              <w:pStyle w:val="TableContents"/>
              <w:bidi w:val="0"/>
              <w:spacing w:before="0" w:after="283"/>
              <w:jc w:val="left"/>
              <w:rPr/>
            </w:pPr>
            <w:r>
              <w:rPr/>
              <w:t>At any time on or after September 15, 2029, in the case of the 2029 notes, July 15, 2033, in the case of the 2033 notes, June 15, 2036, in the case of the 2036 notes, and March 15, 2056, in the case of the 2056 notes, we may redeem some or all of the notes of the applicable series at a redemption price equal to 100% of the principal amount of the notes to be redeemed, plus accrued and unpaid interest, if any, to, but not including, the redemption date.</w:t>
            </w:r>
          </w:p>
        </w:tc>
      </w:tr>
      <w:tr>
        <w:trPr>
          <w:trHeight w:val="24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left"/>
              <w:rPr>
                <w:rFonts w:ascii="Times New Roman" w:hAnsi="Times New Roman"/>
                <w:sz w:val="20"/>
              </w:rPr>
            </w:pPr>
            <w:r>
              <w:rPr>
                <w:rFonts w:ascii="Times New Roman" w:hAnsi="Times New Roman"/>
                <w:sz w:val="20"/>
              </w:rPr>
              <w:t>Ranking</w:t>
            </w:r>
          </w:p>
        </w:tc>
        <w:tc>
          <w:tcPr>
            <w:tcW w:w="203" w:type="dxa"/>
            <w:tcBorders/>
            <w:vAlign w:val="bottom"/>
          </w:tcPr>
          <w:p>
            <w:pPr>
              <w:pStyle w:val="TableContents"/>
              <w:bidi w:val="0"/>
              <w:spacing w:before="0" w:after="283"/>
              <w:jc w:val="left"/>
              <w:rPr/>
            </w:pPr>
            <w:r>
              <w:rPr/>
              <w:t>  </w:t>
            </w:r>
          </w:p>
        </w:tc>
        <w:tc>
          <w:tcPr>
            <w:tcW w:w="6635" w:type="dxa"/>
            <w:tcBorders/>
            <w:vAlign w:val="bottom"/>
          </w:tcPr>
          <w:p>
            <w:pPr>
              <w:pStyle w:val="TableContents"/>
              <w:bidi w:val="0"/>
              <w:spacing w:before="0" w:after="283"/>
              <w:jc w:val="left"/>
              <w:rPr/>
            </w:pPr>
            <w:r>
              <w:rPr/>
              <w:t>The notes will be our senior unsecured obligations and will rank equally in right of payment with all of our existing and future senior unsecured indebtedness. The notes will be effectively subordinated to all of our existing and future secured indebtedness and will be structurally subordinated to all existing and future indebtedness and other obligations of our subsidiaries, including trade payables. The notes will rank senior to all of our future subordinated indebtedness.</w:t>
            </w:r>
          </w:p>
        </w:tc>
      </w:tr>
      <w:tr>
        <w:trPr>
          <w:trHeight w:val="24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635" w:type="dxa"/>
            <w:tcBorders/>
            <w:vAlign w:val="bottom"/>
          </w:tcPr>
          <w:p>
            <w:pPr>
              <w:pStyle w:val="TableContents"/>
              <w:bidi w:val="0"/>
              <w:spacing w:before="0" w:after="283"/>
              <w:jc w:val="left"/>
              <w:rPr/>
            </w:pPr>
            <w:r>
              <w:rPr/>
              <w:t>As of June 30, 2026, we had outstanding indebtedness of approximately $30.8 billion, approximately $7.0 billion of which consisted of indebtedness of our subsidiaries. Borrowing capacity under our $3.75 billion credit facility (the “revolving credit facility”) as of September 4, 2026 was approximately $2.84 billion, borrowing capacity under our $1.0 billion 364-day credit facility (the “364-day credit facility”) as of September 4, 2026 was approximately $1 billion, and we had approximately $910 million of commercial paper outstanding under our $3.5 billion commercial paper program as of September 4, 2026.</w:t>
            </w:r>
          </w:p>
        </w:tc>
      </w:tr>
      <w:tr>
        <w:trPr>
          <w:trHeight w:val="24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left"/>
              <w:rPr>
                <w:rFonts w:ascii="Times New Roman" w:hAnsi="Times New Roman"/>
                <w:sz w:val="20"/>
              </w:rPr>
            </w:pPr>
            <w:r>
              <w:rPr>
                <w:rFonts w:ascii="Times New Roman" w:hAnsi="Times New Roman"/>
                <w:sz w:val="20"/>
              </w:rPr>
              <w:t>Certain Covenants</w:t>
            </w:r>
          </w:p>
        </w:tc>
        <w:tc>
          <w:tcPr>
            <w:tcW w:w="203" w:type="dxa"/>
            <w:tcBorders/>
            <w:vAlign w:val="bottom"/>
          </w:tcPr>
          <w:p>
            <w:pPr>
              <w:pStyle w:val="TableContents"/>
              <w:bidi w:val="0"/>
              <w:spacing w:before="0" w:after="283"/>
              <w:jc w:val="left"/>
              <w:rPr/>
            </w:pPr>
            <w:r>
              <w:rPr/>
              <w:t>  </w:t>
            </w:r>
          </w:p>
        </w:tc>
        <w:tc>
          <w:tcPr>
            <w:tcW w:w="6635" w:type="dxa"/>
            <w:tcBorders/>
            <w:vAlign w:val="bottom"/>
          </w:tcPr>
          <w:p>
            <w:pPr>
              <w:pStyle w:val="TableContents"/>
              <w:bidi w:val="0"/>
              <w:spacing w:before="0" w:after="283"/>
              <w:jc w:val="left"/>
              <w:rPr/>
            </w:pPr>
            <w:r>
              <w:rPr/>
              <w:t>We will issue the notes under a supplemental indenture to the base indenture dated as of December 18, 2012, between us and The Bank of New York Mellon Trust Company, N.A., as trustee. We refer to the supplemental indenture and the base indenture collectively as the “indenture.” The indenture will contain limitations on, among other things:</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1"/>
        <w:gridCol w:w="6125"/>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incurrence of liens on assets to secure debt;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100"/>
        <w:gridCol w:w="100"/>
        <w:gridCol w:w="6126"/>
      </w:tblGrid>
      <w:tr>
        <w:trPr/>
        <w:tc>
          <w:tcPr>
            <w:tcW w:w="3879"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612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mergers or consolidations and transfers of assets.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469"/>
        <w:gridCol w:w="204"/>
        <w:gridCol w:w="6532"/>
      </w:tblGrid>
      <w:tr>
        <w:trPr/>
        <w:tc>
          <w:tcPr>
            <w:tcW w:w="346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532" w:type="dxa"/>
            <w:tcBorders/>
            <w:vAlign w:val="center"/>
          </w:tcPr>
          <w:p>
            <w:pPr>
              <w:pStyle w:val="TableContents"/>
              <w:bidi w:val="0"/>
              <w:spacing w:before="0" w:after="283"/>
              <w:jc w:val="left"/>
              <w:rPr>
                <w:sz w:val="4"/>
                <w:szCs w:val="4"/>
              </w:rPr>
            </w:pPr>
            <w:r>
              <w:rPr>
                <w:sz w:val="4"/>
                <w:szCs w:val="4"/>
              </w:rPr>
            </w:r>
          </w:p>
        </w:tc>
      </w:tr>
      <w:tr>
        <w:trPr/>
        <w:tc>
          <w:tcPr>
            <w:tcW w:w="346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532" w:type="dxa"/>
            <w:tcBorders/>
            <w:vAlign w:val="bottom"/>
          </w:tcPr>
          <w:p>
            <w:pPr>
              <w:pStyle w:val="TableContents"/>
              <w:bidi w:val="0"/>
              <w:spacing w:before="0" w:after="283"/>
              <w:jc w:val="left"/>
              <w:rPr/>
            </w:pPr>
            <w:r>
              <w:rPr/>
              <w:t>These covenants are subject to exceptions. See “Description of the Notes — Certain Covenants.”</w:t>
            </w:r>
          </w:p>
        </w:tc>
      </w:tr>
      <w:tr>
        <w:trPr>
          <w:trHeight w:val="240" w:hRule="atLeast"/>
        </w:trPr>
        <w:tc>
          <w:tcPr>
            <w:tcW w:w="3469" w:type="dxa"/>
            <w:tcBorders/>
            <w:vAlign w:val="center"/>
          </w:tcPr>
          <w:p>
            <w:pPr>
              <w:pStyle w:val="TableContents"/>
              <w:bidi w:val="0"/>
              <w:spacing w:before="0" w:after="283"/>
              <w:jc w:val="left"/>
              <w:rPr>
                <w:sz w:val="4"/>
                <w:szCs w:val="4"/>
              </w:rPr>
            </w:pPr>
            <w:r>
              <w:rPr>
                <w:sz w:val="4"/>
                <w:szCs w:val="4"/>
              </w:rPr>
            </w:r>
          </w:p>
        </w:tc>
        <w:tc>
          <w:tcPr>
            <w:tcW w:w="6736" w:type="dxa"/>
            <w:gridSpan w:val="2"/>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0"/>
              <w:jc w:val="left"/>
              <w:rPr>
                <w:rFonts w:ascii="Times New Roman" w:hAnsi="Times New Roman"/>
                <w:sz w:val="20"/>
              </w:rPr>
            </w:pPr>
            <w:r>
              <w:rPr>
                <w:rFonts w:ascii="Times New Roman" w:hAnsi="Times New Roman"/>
                <w:sz w:val="20"/>
              </w:rPr>
              <w:t>Use of Proceeds</w:t>
            </w:r>
          </w:p>
        </w:tc>
        <w:tc>
          <w:tcPr>
            <w:tcW w:w="204" w:type="dxa"/>
            <w:tcBorders/>
            <w:vAlign w:val="bottom"/>
          </w:tcPr>
          <w:p>
            <w:pPr>
              <w:pStyle w:val="TableContents"/>
              <w:bidi w:val="0"/>
              <w:spacing w:before="0" w:after="283"/>
              <w:jc w:val="left"/>
              <w:rPr/>
            </w:pPr>
            <w:r>
              <w:rPr/>
              <w:t>  </w:t>
            </w:r>
          </w:p>
        </w:tc>
        <w:tc>
          <w:tcPr>
            <w:tcW w:w="6532" w:type="dxa"/>
            <w:tcBorders/>
            <w:vAlign w:val="bottom"/>
          </w:tcPr>
          <w:p>
            <w:pPr>
              <w:pStyle w:val="TableContents"/>
              <w:bidi w:val="0"/>
              <w:spacing w:before="0" w:after="283"/>
              <w:jc w:val="left"/>
              <w:rPr/>
            </w:pPr>
            <w:r>
              <w:rPr/>
              <w:t>The net proceeds from this offering of notes will be approximately $2.72 billion after deducting the estimated underwriting discounts and offering expenses payable by us. We intend to use the net proceeds of this offering to repay outstanding commercial paper and for other general corporate purposes, including funding capital expenditures. See “Use of Proceeds.”</w:t>
            </w:r>
          </w:p>
        </w:tc>
      </w:tr>
      <w:tr>
        <w:trPr>
          <w:trHeight w:val="240" w:hRule="atLeast"/>
        </w:trPr>
        <w:tc>
          <w:tcPr>
            <w:tcW w:w="3469" w:type="dxa"/>
            <w:tcBorders/>
            <w:vAlign w:val="center"/>
          </w:tcPr>
          <w:p>
            <w:pPr>
              <w:pStyle w:val="TableContents"/>
              <w:bidi w:val="0"/>
              <w:spacing w:before="0" w:after="283"/>
              <w:jc w:val="left"/>
              <w:rPr>
                <w:sz w:val="4"/>
                <w:szCs w:val="4"/>
              </w:rPr>
            </w:pPr>
            <w:r>
              <w:rPr>
                <w:sz w:val="4"/>
                <w:szCs w:val="4"/>
              </w:rPr>
            </w:r>
          </w:p>
        </w:tc>
        <w:tc>
          <w:tcPr>
            <w:tcW w:w="6736" w:type="dxa"/>
            <w:gridSpan w:val="2"/>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0"/>
              <w:jc w:val="left"/>
              <w:rPr>
                <w:rFonts w:ascii="Times New Roman" w:hAnsi="Times New Roman"/>
                <w:sz w:val="20"/>
              </w:rPr>
            </w:pPr>
            <w:r>
              <w:rPr>
                <w:rFonts w:ascii="Times New Roman" w:hAnsi="Times New Roman"/>
                <w:sz w:val="20"/>
              </w:rPr>
              <w:t>Form and Denomination</w:t>
            </w:r>
          </w:p>
        </w:tc>
        <w:tc>
          <w:tcPr>
            <w:tcW w:w="204" w:type="dxa"/>
            <w:tcBorders/>
            <w:vAlign w:val="bottom"/>
          </w:tcPr>
          <w:p>
            <w:pPr>
              <w:pStyle w:val="TableContents"/>
              <w:bidi w:val="0"/>
              <w:spacing w:before="0" w:after="283"/>
              <w:jc w:val="left"/>
              <w:rPr/>
            </w:pPr>
            <w:r>
              <w:rPr/>
              <w:t>  </w:t>
            </w:r>
          </w:p>
        </w:tc>
        <w:tc>
          <w:tcPr>
            <w:tcW w:w="6532" w:type="dxa"/>
            <w:tcBorders/>
            <w:vAlign w:val="bottom"/>
          </w:tcPr>
          <w:p>
            <w:pPr>
              <w:pStyle w:val="TableContents"/>
              <w:bidi w:val="0"/>
              <w:spacing w:before="0" w:after="283"/>
              <w:jc w:val="left"/>
              <w:rPr/>
            </w:pPr>
            <w:r>
              <w:rPr/>
              <w:t>The notes will be represented by one or more global notes. The global notes will be deposited with the trustee, as custodian for The Depository Trust Company (“DTC”).</w:t>
            </w:r>
          </w:p>
        </w:tc>
      </w:tr>
      <w:tr>
        <w:trPr>
          <w:trHeight w:val="240" w:hRule="atLeast"/>
        </w:trPr>
        <w:tc>
          <w:tcPr>
            <w:tcW w:w="3469" w:type="dxa"/>
            <w:tcBorders/>
            <w:vAlign w:val="center"/>
          </w:tcPr>
          <w:p>
            <w:pPr>
              <w:pStyle w:val="TableContents"/>
              <w:bidi w:val="0"/>
              <w:spacing w:before="0" w:after="283"/>
              <w:jc w:val="left"/>
              <w:rPr>
                <w:sz w:val="4"/>
                <w:szCs w:val="4"/>
              </w:rPr>
            </w:pPr>
            <w:r>
              <w:rPr>
                <w:sz w:val="4"/>
                <w:szCs w:val="4"/>
              </w:rPr>
            </w:r>
          </w:p>
        </w:tc>
        <w:tc>
          <w:tcPr>
            <w:tcW w:w="6736" w:type="dxa"/>
            <w:gridSpan w:val="2"/>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532" w:type="dxa"/>
            <w:tcBorders/>
          </w:tcPr>
          <w:p>
            <w:pPr>
              <w:pStyle w:val="TableContents"/>
              <w:bidi w:val="0"/>
              <w:spacing w:before="0" w:after="283"/>
              <w:jc w:val="left"/>
              <w:rPr/>
            </w:pPr>
            <w:r>
              <w:rPr/>
              <w:t>Ownership of beneficial interests in the global notes will be shown on, and transfers of such interests will be effected only through, records maintained in book-entry form by DTC and its direct and indirect participants, including Euroclear Banking S.A./N.V., as operator of the Euroclear System, and Clearstream Banking, S.A.</w:t>
            </w:r>
          </w:p>
        </w:tc>
      </w:tr>
      <w:tr>
        <w:trPr>
          <w:trHeight w:val="240" w:hRule="atLeast"/>
        </w:trPr>
        <w:tc>
          <w:tcPr>
            <w:tcW w:w="3469" w:type="dxa"/>
            <w:tcBorders/>
            <w:vAlign w:val="center"/>
          </w:tcPr>
          <w:p>
            <w:pPr>
              <w:pStyle w:val="TableContents"/>
              <w:bidi w:val="0"/>
              <w:spacing w:before="0" w:after="283"/>
              <w:jc w:val="left"/>
              <w:rPr>
                <w:sz w:val="4"/>
                <w:szCs w:val="4"/>
              </w:rPr>
            </w:pPr>
            <w:r>
              <w:rPr>
                <w:sz w:val="4"/>
                <w:szCs w:val="4"/>
              </w:rPr>
            </w:r>
          </w:p>
        </w:tc>
        <w:tc>
          <w:tcPr>
            <w:tcW w:w="6736" w:type="dxa"/>
            <w:gridSpan w:val="2"/>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532" w:type="dxa"/>
            <w:tcBorders/>
          </w:tcPr>
          <w:p>
            <w:pPr>
              <w:pStyle w:val="TableContents"/>
              <w:bidi w:val="0"/>
              <w:spacing w:before="0" w:after="283"/>
              <w:jc w:val="left"/>
              <w:rPr/>
            </w:pPr>
            <w:r>
              <w:rPr/>
              <w:t>The notes will be issued in minimum denominations of $2,000 and in integral multiples of $1,000 in excess thereof.</w:t>
            </w:r>
          </w:p>
        </w:tc>
      </w:tr>
      <w:tr>
        <w:trPr>
          <w:trHeight w:val="240" w:hRule="atLeast"/>
        </w:trPr>
        <w:tc>
          <w:tcPr>
            <w:tcW w:w="3469" w:type="dxa"/>
            <w:tcBorders/>
            <w:vAlign w:val="center"/>
          </w:tcPr>
          <w:p>
            <w:pPr>
              <w:pStyle w:val="TableContents"/>
              <w:bidi w:val="0"/>
              <w:spacing w:before="0" w:after="283"/>
              <w:jc w:val="left"/>
              <w:rPr>
                <w:sz w:val="4"/>
                <w:szCs w:val="4"/>
              </w:rPr>
            </w:pPr>
            <w:r>
              <w:rPr>
                <w:sz w:val="4"/>
                <w:szCs w:val="4"/>
              </w:rPr>
            </w:r>
          </w:p>
        </w:tc>
        <w:tc>
          <w:tcPr>
            <w:tcW w:w="6736" w:type="dxa"/>
            <w:gridSpan w:val="2"/>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0"/>
              <w:jc w:val="left"/>
              <w:rPr>
                <w:rFonts w:ascii="Times New Roman" w:hAnsi="Times New Roman"/>
                <w:sz w:val="20"/>
              </w:rPr>
            </w:pPr>
            <w:r>
              <w:rPr>
                <w:rFonts w:ascii="Times New Roman" w:hAnsi="Times New Roman"/>
                <w:sz w:val="20"/>
              </w:rPr>
              <w:t>Absence of Public Trading Market</w:t>
            </w:r>
          </w:p>
        </w:tc>
        <w:tc>
          <w:tcPr>
            <w:tcW w:w="204" w:type="dxa"/>
            <w:tcBorders/>
            <w:vAlign w:val="bottom"/>
          </w:tcPr>
          <w:p>
            <w:pPr>
              <w:pStyle w:val="TableContents"/>
              <w:bidi w:val="0"/>
              <w:spacing w:before="0" w:after="283"/>
              <w:jc w:val="left"/>
              <w:rPr/>
            </w:pPr>
            <w:r>
              <w:rPr/>
              <w:t>  </w:t>
            </w:r>
          </w:p>
        </w:tc>
        <w:tc>
          <w:tcPr>
            <w:tcW w:w="6532" w:type="dxa"/>
            <w:tcBorders/>
            <w:vAlign w:val="bottom"/>
          </w:tcPr>
          <w:p>
            <w:pPr>
              <w:pStyle w:val="TableContents"/>
              <w:bidi w:val="0"/>
              <w:spacing w:before="0" w:after="20"/>
              <w:jc w:val="left"/>
              <w:rPr>
                <w:rFonts w:ascii="Times New Roman" w:hAnsi="Times New Roman"/>
                <w:sz w:val="20"/>
              </w:rPr>
            </w:pPr>
            <w:r>
              <w:rPr>
                <w:rFonts w:ascii="Times New Roman" w:hAnsi="Times New Roman"/>
                <w:sz w:val="20"/>
              </w:rPr>
              <w:t>The notes will be a new issue of securities for which there is currently no market. We do not intend to apply for the notes to be listed on any securities exchange or to arrange for any quotation system to quote them. Accordingly, there can be no assurance that a liquid market for the notes will develop or be maintained. See “Risk Factors” in this prospectus supplement.</w:t>
            </w:r>
          </w:p>
        </w:tc>
      </w:tr>
      <w:tr>
        <w:trPr>
          <w:trHeight w:val="240" w:hRule="atLeast"/>
        </w:trPr>
        <w:tc>
          <w:tcPr>
            <w:tcW w:w="3469" w:type="dxa"/>
            <w:tcBorders/>
            <w:vAlign w:val="center"/>
          </w:tcPr>
          <w:p>
            <w:pPr>
              <w:pStyle w:val="TableContents"/>
              <w:bidi w:val="0"/>
              <w:spacing w:before="0" w:after="283"/>
              <w:jc w:val="left"/>
              <w:rPr>
                <w:sz w:val="4"/>
                <w:szCs w:val="4"/>
              </w:rPr>
            </w:pPr>
            <w:r>
              <w:rPr>
                <w:sz w:val="4"/>
                <w:szCs w:val="4"/>
              </w:rPr>
            </w:r>
          </w:p>
        </w:tc>
        <w:tc>
          <w:tcPr>
            <w:tcW w:w="6736" w:type="dxa"/>
            <w:gridSpan w:val="2"/>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w:t>
            </w:r>
          </w:p>
        </w:tc>
        <w:tc>
          <w:tcPr>
            <w:tcW w:w="204" w:type="dxa"/>
            <w:tcBorders/>
            <w:vAlign w:val="bottom"/>
          </w:tcPr>
          <w:p>
            <w:pPr>
              <w:pStyle w:val="TableContents"/>
              <w:bidi w:val="0"/>
              <w:spacing w:before="0" w:after="283"/>
              <w:jc w:val="left"/>
              <w:rPr/>
            </w:pPr>
            <w:r>
              <w:rPr/>
              <w:t>  </w:t>
            </w:r>
          </w:p>
        </w:tc>
        <w:tc>
          <w:tcPr>
            <w:tcW w:w="6532" w:type="dxa"/>
            <w:tcBorders/>
            <w:vAlign w:val="bottom"/>
          </w:tcPr>
          <w:p>
            <w:pPr>
              <w:pStyle w:val="TableContents"/>
              <w:bidi w:val="0"/>
              <w:spacing w:before="0" w:after="283"/>
              <w:jc w:val="left"/>
              <w:rPr/>
            </w:pPr>
            <w:r>
              <w:rPr/>
              <w:t>The notes and the indenture will be governed by the laws of the State of New York.</w:t>
            </w:r>
          </w:p>
        </w:tc>
      </w:tr>
      <w:tr>
        <w:trPr>
          <w:trHeight w:val="240" w:hRule="atLeast"/>
        </w:trPr>
        <w:tc>
          <w:tcPr>
            <w:tcW w:w="3469" w:type="dxa"/>
            <w:tcBorders/>
            <w:vAlign w:val="center"/>
          </w:tcPr>
          <w:p>
            <w:pPr>
              <w:pStyle w:val="TableContents"/>
              <w:bidi w:val="0"/>
              <w:spacing w:before="0" w:after="283"/>
              <w:jc w:val="left"/>
              <w:rPr>
                <w:sz w:val="4"/>
                <w:szCs w:val="4"/>
              </w:rPr>
            </w:pPr>
            <w:r>
              <w:rPr>
                <w:sz w:val="4"/>
                <w:szCs w:val="4"/>
              </w:rPr>
            </w:r>
          </w:p>
        </w:tc>
        <w:tc>
          <w:tcPr>
            <w:tcW w:w="6736" w:type="dxa"/>
            <w:gridSpan w:val="2"/>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0"/>
              <w:jc w:val="left"/>
              <w:rPr>
                <w:rFonts w:ascii="Times New Roman" w:hAnsi="Times New Roman"/>
                <w:sz w:val="20"/>
              </w:rPr>
            </w:pPr>
            <w:r>
              <w:rPr>
                <w:rFonts w:ascii="Times New Roman" w:hAnsi="Times New Roman"/>
                <w:sz w:val="20"/>
              </w:rPr>
              <w:t>Trustee</w:t>
            </w:r>
          </w:p>
        </w:tc>
        <w:tc>
          <w:tcPr>
            <w:tcW w:w="204" w:type="dxa"/>
            <w:tcBorders/>
            <w:vAlign w:val="bottom"/>
          </w:tcPr>
          <w:p>
            <w:pPr>
              <w:pStyle w:val="TableContents"/>
              <w:bidi w:val="0"/>
              <w:spacing w:before="0" w:after="283"/>
              <w:jc w:val="left"/>
              <w:rPr/>
            </w:pPr>
            <w:r>
              <w:rPr/>
              <w:t>  </w:t>
            </w:r>
          </w:p>
        </w:tc>
        <w:tc>
          <w:tcPr>
            <w:tcW w:w="6532" w:type="dxa"/>
            <w:tcBorders/>
            <w:vAlign w:val="bottom"/>
          </w:tcPr>
          <w:p>
            <w:pPr>
              <w:pStyle w:val="TableContents"/>
              <w:bidi w:val="0"/>
              <w:spacing w:before="0" w:after="283"/>
              <w:jc w:val="left"/>
              <w:rPr/>
            </w:pPr>
            <w:r>
              <w:rPr/>
              <w:t>The Bank of New York Mellon Trust Company, N.A.</w:t>
            </w:r>
          </w:p>
        </w:tc>
      </w:tr>
      <w:tr>
        <w:trPr>
          <w:trHeight w:val="240" w:hRule="atLeast"/>
        </w:trPr>
        <w:tc>
          <w:tcPr>
            <w:tcW w:w="3469" w:type="dxa"/>
            <w:tcBorders/>
            <w:vAlign w:val="center"/>
          </w:tcPr>
          <w:p>
            <w:pPr>
              <w:pStyle w:val="TableContents"/>
              <w:bidi w:val="0"/>
              <w:spacing w:before="0" w:after="283"/>
              <w:jc w:val="left"/>
              <w:rPr>
                <w:sz w:val="4"/>
                <w:szCs w:val="4"/>
              </w:rPr>
            </w:pPr>
            <w:r>
              <w:rPr>
                <w:sz w:val="4"/>
                <w:szCs w:val="4"/>
              </w:rPr>
            </w:r>
          </w:p>
        </w:tc>
        <w:tc>
          <w:tcPr>
            <w:tcW w:w="6736" w:type="dxa"/>
            <w:gridSpan w:val="2"/>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0"/>
              <w:jc w:val="left"/>
              <w:rPr>
                <w:rFonts w:ascii="Times New Roman" w:hAnsi="Times New Roman"/>
                <w:sz w:val="20"/>
              </w:rPr>
            </w:pPr>
            <w:r>
              <w:rPr>
                <w:rFonts w:ascii="Times New Roman" w:hAnsi="Times New Roman"/>
                <w:sz w:val="20"/>
              </w:rPr>
              <w:t>Risk Factors</w:t>
            </w:r>
          </w:p>
        </w:tc>
        <w:tc>
          <w:tcPr>
            <w:tcW w:w="204" w:type="dxa"/>
            <w:tcBorders/>
            <w:vAlign w:val="bottom"/>
          </w:tcPr>
          <w:p>
            <w:pPr>
              <w:pStyle w:val="TableContents"/>
              <w:bidi w:val="0"/>
              <w:spacing w:before="0" w:after="283"/>
              <w:jc w:val="left"/>
              <w:rPr/>
            </w:pPr>
            <w:r>
              <w:rPr/>
              <w:t>  </w:t>
            </w:r>
          </w:p>
        </w:tc>
        <w:tc>
          <w:tcPr>
            <w:tcW w:w="6532" w:type="dxa"/>
            <w:tcBorders/>
            <w:vAlign w:val="bottom"/>
          </w:tcPr>
          <w:p>
            <w:pPr>
              <w:pStyle w:val="TableContents"/>
              <w:bidi w:val="0"/>
              <w:spacing w:before="0" w:after="283"/>
              <w:jc w:val="left"/>
              <w:rPr/>
            </w:pPr>
            <w:r>
              <w:rPr/>
              <w:t>See “Risk Factors” beginning on page S-5 and the other information included in, or incorporated by reference into, this prospectus supplement and the accompanying base prospectus for a discussion of certain factors you should carefully consider before deciding to invest in the notes.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6" w:name="supptoc110651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our notes involves risks. Before you invest in the notes, you should carefully consider the following risk factors, together with all of the other information included in this prospectus supplement, the accompanying base prospectus and the documents incorporated herein by reference in evaluating an investment in the notes. In addition, you should carefully consider the other risks, uncertainties, and assumptions that are set forth under the caption “Risk Factors” in our Annual Report on Form 10-K for the year ended December 31, 2025, before investing in the notes. If any of the risks discussed below or in the foregoing documents were actually to occur, our business, prospects, financial condition, results of operations, cash flows, and, in some cases our reputation, could be materially adversely affected. In that case, we might not be able to pay interest on, or the principal of, the notes. In any such case, you may lose all or part of your original investment and not realize any return that you may have expected thereon. </w:t>
      </w:r>
    </w:p>
    <w:p>
      <w:pPr>
        <w:pStyle w:val="TextBody"/>
        <w:bidi w:val="0"/>
        <w:spacing w:before="240" w:after="0"/>
        <w:jc w:val="left"/>
        <w:rPr>
          <w:rFonts w:ascii="Times New Roman" w:hAnsi="Times New Roman"/>
          <w:i/>
          <w:sz w:val="20"/>
        </w:rPr>
      </w:pPr>
      <w:r>
        <w:rPr>
          <w:rFonts w:ascii="Times New Roman" w:hAnsi="Times New Roman"/>
          <w:i/>
          <w:sz w:val="20"/>
        </w:rPr>
        <w:t xml:space="preserve">In addition to the risks relating to us contained in the documents incorporated by reference in this prospectus supplement, the following are additional risks relating to an investment in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Restrictions in our debt agreements and the amount of our indebtedness may affect our future financial and operating flexibility.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we had outstanding indebtedness of approximately $30.8 billion, approximately $7.0 billion of which consisted of indebtedness of our subsidiaries. Borrowing capacity under our revolving credit facility was approximately $2.84 billion as of September 4, 2026, borrowing capacity under our 364-day credit facility as of September 4, 2026 was approximately $1 billion and we had approximately $910 million of commercial paper outstanding under our $3.5 billion commercial paper program as of September 4, 2026. </w:t>
      </w:r>
    </w:p>
    <w:p>
      <w:pPr>
        <w:pStyle w:val="TextBody"/>
        <w:bidi w:val="0"/>
        <w:spacing w:before="240" w:after="0"/>
        <w:jc w:val="left"/>
        <w:rPr>
          <w:rFonts w:ascii="Times New Roman" w:hAnsi="Times New Roman"/>
          <w:sz w:val="20"/>
        </w:rPr>
      </w:pPr>
      <w:r>
        <w:rPr>
          <w:rFonts w:ascii="Times New Roman" w:hAnsi="Times New Roman"/>
          <w:sz w:val="20"/>
        </w:rPr>
        <w:t xml:space="preserve">The agreements governing our indebtedness contain covenants that restrict our and our material subsidiaries’ ability to incur certain liens to support indebtedness and our ability to merge or consolidate or sell all or substantially all of our assets in certain circumstances. In addition, certain of our debt agreements contain various covenants that restrict or limit, among other things, our ability to make certain distributions during the continuation of an event of default, the ability of our subsidiaries to incur additional debt, and our, and our material subsidiaries’, ability to enter into certain affiliate transactions and certain restrictive agreements. Certain of our debt agreements also contain, and those we enter into in the future may contain, financial covenants, and other limitations with which we will need to comply. </w:t>
      </w:r>
    </w:p>
    <w:p>
      <w:pPr>
        <w:pStyle w:val="TextBody"/>
        <w:bidi w:val="0"/>
        <w:spacing w:before="240" w:after="0"/>
        <w:jc w:val="left"/>
        <w:rPr>
          <w:rFonts w:ascii="Times New Roman" w:hAnsi="Times New Roman"/>
          <w:sz w:val="20"/>
        </w:rPr>
      </w:pPr>
      <w:r>
        <w:rPr>
          <w:rFonts w:ascii="Times New Roman" w:hAnsi="Times New Roman"/>
          <w:sz w:val="20"/>
        </w:rPr>
        <w:t xml:space="preserve">Our debt service obligations and the covenants described above could have important consequences. For example, they could: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it more difficult for us to satisfy our obligations with respect to the notes and our other indebtedness, which could in turn result in an event of default on such other indebtedness or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our ability to obtain additional financing in the future for working capital, capital expenditures, acquisitions, general corporate purposes, or other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diminish our ability to withstand a continued or future downturn in our business or the economy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us to dedicate a substantial portion of our cash flow from operations to debt service payments, thereby reducing the availability of cash for working capital, capital expenditures, acquisitions, the payments of dividends, general corporate purposes, or other purposes;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flexibility in planning for, or reacting to, changes in our business and the industry in which we operate, including limiting our ability to expand or pursue our business activities and preventing us from engaging in certain transactions that might otherwise be considered beneficial to 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ability to comply with our debt covenants, to repay, extend, or refinance our existing debt obligations, to make payments of interest on, and the principal of, the notes, and to obtain future credit will depend primarily on our operating performance. Our ability to refinance existing debt obligations or obtain future credit will also depend upon the current conditions in the credit markets and the availability of credit generally. If we are unable to comply with these covenants, meet our debt service obligations, or obtain future credit on favorable terms, or at all, we could be forced to restructure or refinance our indebtedness, seek additional equity capital or sell assets. We may be unable to obtain financing or sell assets on satisfactory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Our failure to comply with the covenants in the documents governing our indebtedness could result in events of default, which could render such indebtedness due and payable. We may not have sufficient liquidity to repay our indebtedness in such circumstances. In addition, cross-default or cross-acceleration provisions in our debt agreements could cause a default or acceleration to have a wider impact on our liquidity than might otherwise arise from a default or acceleration of a single debt instrument. For more information regarding our debt agreements, please read “Description of Other Indebtedness.” </w:t>
      </w:r>
    </w:p>
    <w:p>
      <w:pPr>
        <w:pStyle w:val="TextBody"/>
        <w:bidi w:val="0"/>
        <w:spacing w:before="240" w:after="0"/>
        <w:jc w:val="left"/>
        <w:rPr>
          <w:rFonts w:ascii="Times New Roman" w:hAnsi="Times New Roman"/>
          <w:sz w:val="20"/>
        </w:rPr>
      </w:pPr>
      <w:r>
        <w:rPr>
          <w:rFonts w:ascii="Times New Roman" w:hAnsi="Times New Roman"/>
          <w:sz w:val="20"/>
        </w:rPr>
        <w:t xml:space="preserve">We are not prohibited under the indenture that will govern the notes or the indentures that govern our existing senior unsecured notes from incurring additional indebtedness in addition to the notes. Our incurrence of significant additional indebtedness would exacerbate the negative consequences mentioned above, and could adversely affect our ability to pay the interest on, and principal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a holding company structure in which our subsidiaries conduct our operations and own our operating assets, which may affect our ability to make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We have a holding company structure, and our subsidiaries conduct all of our operations and own all of our operating assets. We have no significant assets other than the ownership interests in these subsidiaries. As a result, our ability to make required payments on the notes depends on the performance of our subsidiaries and their ability to distribute funds to us. The ability of our subsidiaries to make distributions to us may be restricted by, among other things, applicable state partnership and limited liability company laws and other laws and regulations. If we are unable to obtain the funds necessary to pay the principal amount at maturity of the notes, we may be required to adopt one or more alternatives, such as a refinancing of the notes. We cannot assure you that we would be able to refinance the notes. As part of our cash management program with our subsidiaries, we enter into certain intercompany debt agreements with Transco, Northwest Pipeline and MountainWest. The amounts that we owe under these debt agreements could rank </w:t>
      </w:r>
      <w:r>
        <w:rPr>
          <w:rFonts w:ascii="Times New Roman" w:hAnsi="Times New Roman"/>
          <w:i/>
          <w:sz w:val="20"/>
        </w:rPr>
        <w:t>pari passu</w:t>
      </w:r>
      <w:r>
        <w:rPr>
          <w:rFonts w:ascii="Times New Roman" w:hAnsi="Times New Roman"/>
          <w:sz w:val="20"/>
        </w:rPr>
        <w:t xml:space="preserve"> with the notes and our existing senior indebtedness. As of June 30, 2026, the amount of our intercompany obligations to Northwest Pipeline, Transco and MountainWest totaled approximately $212 million, $900 million and $141 million,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subsidiaries are not prohibited from incurring indebtedness by their organizational documents, which may affect our ability to pay interest on, and the principal of, the notes. </w:t>
      </w:r>
    </w:p>
    <w:p>
      <w:pPr>
        <w:pStyle w:val="TextBody"/>
        <w:bidi w:val="0"/>
        <w:spacing w:before="120" w:after="0"/>
        <w:jc w:val="left"/>
        <w:rPr>
          <w:rFonts w:ascii="Times New Roman" w:hAnsi="Times New Roman"/>
          <w:sz w:val="20"/>
        </w:rPr>
      </w:pPr>
      <w:r>
        <w:rPr>
          <w:rFonts w:ascii="Times New Roman" w:hAnsi="Times New Roman"/>
          <w:sz w:val="20"/>
        </w:rPr>
        <w:t xml:space="preserve">Our subsidiaries are not prohibited by the terms of their respective organizational documents from incurring indebtedness. If they were to incur significant amounts of indebtedness, such occurrence may inhibit their ability to make distributions to us. An inability by our subsidiaries to make distributions to us would materially and adversely affect our ability to pay interest on, and the principal of, the notes because we expect distributions we receive from our subsidiaries to represent a significant portion of the cash we use to pay interest on, and the principal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will be structurally subordinated to liabilities and indebtedness of our subsidiaries and effectively subordinated to any of our secured indebtedness to the extent of the assets securing such indebtedness. </w:t>
      </w:r>
    </w:p>
    <w:p>
      <w:pPr>
        <w:pStyle w:val="TextBody"/>
        <w:bidi w:val="0"/>
        <w:spacing w:before="120" w:after="0"/>
        <w:jc w:val="left"/>
        <w:rPr>
          <w:rFonts w:ascii="Times New Roman" w:hAnsi="Times New Roman"/>
          <w:sz w:val="20"/>
        </w:rPr>
      </w:pPr>
      <w:r>
        <w:rPr>
          <w:rFonts w:ascii="Times New Roman" w:hAnsi="Times New Roman"/>
          <w:sz w:val="20"/>
        </w:rPr>
        <w:t xml:space="preserve">We currently have no secured indebtedness outstanding, but holders of any secured indebtedness that we may incur in the future would have claims with respect to our assets constituting collateral for such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are effectively prior to any claims you may have under the notes. In the event of a default on such secured indebtedness or our bankruptcy, liquidation or reorganization, those assets would be available to satisfy obligations with respect to the indebtedness secured thereby before any payment could be made on the notes. </w:t>
      </w:r>
    </w:p>
    <w:p>
      <w:pPr>
        <w:pStyle w:val="TextBody"/>
        <w:bidi w:val="0"/>
        <w:spacing w:before="240" w:after="0"/>
        <w:jc w:val="left"/>
        <w:rPr>
          <w:rFonts w:ascii="Times New Roman" w:hAnsi="Times New Roman"/>
          <w:sz w:val="20"/>
        </w:rPr>
      </w:pPr>
      <w:r>
        <w:rPr>
          <w:rFonts w:ascii="Times New Roman" w:hAnsi="Times New Roman"/>
          <w:sz w:val="20"/>
        </w:rPr>
        <w:t xml:space="preserve">Accordingly, any such secured indebtedness would effectively be senior to the notes to the extent of the value of the collateral securing the indebtedness. While the indenture governing the notes places some limitations on our ability to create liens, there are significant exceptions to these limitations that will allow us to secure some kinds of indebtedness without equally and ratably securing the notes. To the extent the value of the collateral is not sufficient to satisfy the secured indebtedness, the holders of that indebtedness would be entitled to share with the holders of the notes and the holders of other claims against us with respect to our other assets. Holders of the notes will participate ratably with all holders of our unsecured indebtedness that is deemed to be of the same class as the notes, and potentially with all of our other general creditors, based upon the respective amounts owed to each holder or creditor, in our remaining assets. In any of the foregoing events, we cannot assure you that there will be sufficient assets to pay amounts due on the notes. As a result, holders of notes may receive less, ratably, than holders of secured indebtedness.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notes are not guaranteed by our subsidiaries and our subsidiaries are generally not prohibited under the indenture from incurring additional indebtedness (in particular, Transco, Northwest Pipeline and MountainWest collectively had approximately $7.0 billion of indebtedness outstanding as of June 30, 2026; see “Description of Other Indebtedness” for a current description of our subsidiaries’ indebtedness). As a result, holders of the notes will be structurally subordinated to claims of third party creditors, including holders of indebtedness, of these subsidiaries. Claims of those other creditors, including trade creditors, secured creditors, governmental authorities, and holders of indebtedness or guarantees issued by the subsidiaries, will generally have priority as to the assets of the subsidiaries over claims by the holders of the notes. As a result, rights of payment of holders of our indebtedness, including the holders of the notes, will be structurally subordinated to all those claims of creditors of our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may not develop for our notes. </w:t>
      </w:r>
    </w:p>
    <w:p>
      <w:pPr>
        <w:pStyle w:val="TextBody"/>
        <w:bidi w:val="0"/>
        <w:spacing w:before="120" w:after="0"/>
        <w:jc w:val="left"/>
        <w:rPr>
          <w:rFonts w:ascii="Times New Roman" w:hAnsi="Times New Roman"/>
          <w:sz w:val="20"/>
        </w:rPr>
      </w:pPr>
      <w:r>
        <w:rPr>
          <w:rFonts w:ascii="Times New Roman" w:hAnsi="Times New Roman"/>
          <w:sz w:val="20"/>
        </w:rPr>
        <w:t xml:space="preserve">Prior to this offering, there was no established trading market for the notes. We do not intend to apply for the notes to be listed on any securities exchange or to arrange for any quotation system to quote. We have been informed by the underwriters that they intend to make a market in the notes after this offering is completed. However, none of the underwriters is obligated to make a market in the notes and, even if the underwriters commence market making, they may cease their market-making at any time. In addition, the liquidity of the trading market in the notes and the market price quoted for the notes may be adversely affected by changes in the overall market for debt securities and by changes in our financial performance or prospects or in the financial performance or prospects of companies in our industry. As a result, an active trading market may not develop or be maintained for our notes. If an active trading market does not develop or is not maintained, the market price and liquidity of our notes may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supptoc110651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this offering of notes will be approximately $2.72 billion, after deducting estimated underwriting discounts and offering expenses payable by us. We intend to use the net proceeds of this offering to repay outstanding commercial paper and for other general corporate purposes, including funding capital expenditures. As of September 4, 2026, we had approximately $910 million of commercial paper outstanding with a weighted average annual interest rate of 3.8802% and a weighted average maturity of 6.14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supptoc110651_6"/>
      <w:bookmarkEnd w:id="8"/>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historical cash and cash equivalents and capitalization as of June 30, 2026, as adjusted to reflect: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of the notes offered by us in this offering, after deducting estimated underwriting discounts and offering expenses payable by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application of the net proceeds of this offering as described under “Use of Proceeds” in this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below does not contain any adjustments related to the Momentum Acquisition or the Power Innovation Joint Venture, each of which occurred after June 30, 2026. This table is derived from and should be read together with our historical consolidated financial statements and the accompanying notes included in our Quarterly Report on Form 10-Q for the period ended June 30, 2026, which is incorporated by reference in this prospectus supplement. You should also read this table in conjunction with “Management’s Discussion and Analysis of Financial Condition and Results of Operations” in our Quarterly Report on Form 10-Q for the period ended June 30, 2026, which is incorporated by reference into this prospectus supplement.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017"/>
        <w:gridCol w:w="481"/>
        <w:gridCol w:w="169"/>
        <w:gridCol w:w="826"/>
        <w:gridCol w:w="60"/>
        <w:gridCol w:w="481"/>
        <w:gridCol w:w="218"/>
        <w:gridCol w:w="1072"/>
        <w:gridCol w:w="64"/>
      </w:tblGrid>
      <w:tr>
        <w:trPr/>
        <w:tc>
          <w:tcPr>
            <w:tcW w:w="6017" w:type="dxa"/>
            <w:tcBorders/>
            <w:vAlign w:val="center"/>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017"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28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w:t>
              <w:br/>
              <w:t>2026</w:t>
            </w:r>
          </w:p>
        </w:tc>
        <w:tc>
          <w:tcPr>
            <w:tcW w:w="64" w:type="dxa"/>
            <w:tcBorders/>
            <w:vAlign w:val="bottom"/>
          </w:tcPr>
          <w:p>
            <w:pPr>
              <w:pStyle w:val="TableContents"/>
              <w:bidi w:val="0"/>
              <w:spacing w:before="0" w:after="283"/>
              <w:jc w:val="left"/>
              <w:rPr/>
            </w:pPr>
            <w:r>
              <w:rPr/>
              <w:t> </w:t>
            </w:r>
          </w:p>
        </w:tc>
      </w:tr>
      <w:tr>
        <w:trPr/>
        <w:tc>
          <w:tcPr>
            <w:tcW w:w="6017"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6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12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64" w:type="dxa"/>
            <w:tcBorders/>
            <w:vAlign w:val="bottom"/>
          </w:tcPr>
          <w:p>
            <w:pPr>
              <w:pStyle w:val="TableContents"/>
              <w:bidi w:val="0"/>
              <w:spacing w:before="0" w:after="283"/>
              <w:jc w:val="left"/>
              <w:rPr/>
            </w:pPr>
            <w:r>
              <w:rPr/>
              <w:t> </w:t>
            </w:r>
          </w:p>
        </w:tc>
      </w:tr>
      <w:tr>
        <w:trPr/>
        <w:tc>
          <w:tcPr>
            <w:tcW w:w="6017"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2826" w:type="dxa"/>
            <w:gridSpan w:val="6"/>
            <w:tcBorders/>
            <w:vAlign w:val="bottom"/>
          </w:tcPr>
          <w:p>
            <w:pPr>
              <w:pStyle w:val="TableContents"/>
              <w:bidi w:val="0"/>
              <w:spacing w:before="0" w:after="283"/>
              <w:jc w:val="center"/>
              <w:rPr>
                <w:b/>
              </w:rPr>
            </w:pPr>
            <w:r>
              <w:rPr>
                <w:b/>
              </w:rPr>
              <w:t>($ in millions)</w:t>
            </w:r>
          </w:p>
        </w:tc>
        <w:tc>
          <w:tcPr>
            <w:tcW w:w="64" w:type="dxa"/>
            <w:tcBorders/>
            <w:vAlign w:val="bottom"/>
          </w:tcPr>
          <w:p>
            <w:pPr>
              <w:pStyle w:val="TableContents"/>
              <w:bidi w:val="0"/>
              <w:spacing w:before="0" w:after="283"/>
              <w:jc w:val="left"/>
              <w:rPr/>
            </w:pPr>
            <w:r>
              <w:rPr/>
              <w:t> </w:t>
            </w:r>
          </w:p>
        </w:tc>
      </w:tr>
      <w:tr>
        <w:trPr/>
        <w:tc>
          <w:tcPr>
            <w:tcW w:w="60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8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203</w:t>
            </w:r>
          </w:p>
        </w:tc>
        <w:tc>
          <w:tcPr>
            <w:tcW w:w="60"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072" w:type="dxa"/>
            <w:tcBorders/>
            <w:shd w:fill="CCEEFF" w:val="clear"/>
            <w:vAlign w:val="bottom"/>
          </w:tcPr>
          <w:p>
            <w:pPr>
              <w:pStyle w:val="TableContents"/>
              <w:bidi w:val="0"/>
              <w:spacing w:before="0" w:after="283"/>
              <w:jc w:val="right"/>
              <w:rPr/>
            </w:pPr>
            <w:r>
              <w:rPr/>
              <w:t>2,451</w:t>
            </w:r>
          </w:p>
        </w:tc>
        <w:tc>
          <w:tcPr>
            <w:tcW w:w="64" w:type="dxa"/>
            <w:tcBorders/>
            <w:shd w:fill="CCEEFF" w:val="clear"/>
            <w:vAlign w:val="bottom"/>
          </w:tcPr>
          <w:p>
            <w:pPr>
              <w:pStyle w:val="TableContents"/>
              <w:bidi w:val="0"/>
              <w:spacing w:before="0" w:after="283"/>
              <w:jc w:val="left"/>
              <w:rPr/>
            </w:pPr>
            <w:r>
              <w:rPr/>
              <w:t> </w:t>
            </w:r>
          </w:p>
        </w:tc>
      </w:tr>
      <w:tr>
        <w:trPr/>
        <w:tc>
          <w:tcPr>
            <w:tcW w:w="6017" w:type="dxa"/>
            <w:tcBorders/>
            <w:vAlign w:val="bottom"/>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07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017" w:type="dxa"/>
            <w:tcBorders/>
          </w:tcPr>
          <w:p>
            <w:pPr>
              <w:pStyle w:val="TableContents"/>
              <w:bidi w:val="0"/>
              <w:spacing w:before="0" w:after="0"/>
              <w:jc w:val="left"/>
              <w:rPr>
                <w:rFonts w:ascii="Times New Roman" w:hAnsi="Times New Roman"/>
                <w:sz w:val="20"/>
              </w:rPr>
            </w:pPr>
            <w:r>
              <w:rPr>
                <w:rFonts w:ascii="Times New Roman" w:hAnsi="Times New Roman"/>
                <w:sz w:val="20"/>
              </w:rPr>
              <w:t>Short-term debt:</w:t>
            </w:r>
          </w:p>
        </w:tc>
        <w:tc>
          <w:tcPr>
            <w:tcW w:w="48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107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0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and other financing obligations due within one year (a)</w:t>
            </w:r>
          </w:p>
        </w:tc>
        <w:tc>
          <w:tcPr>
            <w:tcW w:w="48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2,197</w:t>
            </w:r>
          </w:p>
        </w:tc>
        <w:tc>
          <w:tcPr>
            <w:tcW w:w="60"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072" w:type="dxa"/>
            <w:tcBorders/>
            <w:shd w:fill="CCEEFF" w:val="clear"/>
            <w:vAlign w:val="bottom"/>
          </w:tcPr>
          <w:p>
            <w:pPr>
              <w:pStyle w:val="TableContents"/>
              <w:bidi w:val="0"/>
              <w:spacing w:before="0" w:after="283"/>
              <w:jc w:val="right"/>
              <w:rPr/>
            </w:pPr>
            <w:r>
              <w:rPr/>
              <w:t>2,197</w:t>
            </w:r>
          </w:p>
        </w:tc>
        <w:tc>
          <w:tcPr>
            <w:tcW w:w="64" w:type="dxa"/>
            <w:tcBorders/>
            <w:shd w:fill="CCEEFF" w:val="clear"/>
            <w:vAlign w:val="bottom"/>
          </w:tcPr>
          <w:p>
            <w:pPr>
              <w:pStyle w:val="TableContents"/>
              <w:bidi w:val="0"/>
              <w:spacing w:before="0" w:after="283"/>
              <w:jc w:val="left"/>
              <w:rPr/>
            </w:pPr>
            <w:r>
              <w:rPr/>
              <w:t> </w:t>
            </w:r>
          </w:p>
        </w:tc>
      </w:tr>
      <w:tr>
        <w:trPr/>
        <w:tc>
          <w:tcPr>
            <w:tcW w:w="6017" w:type="dxa"/>
            <w:tcBorders/>
          </w:tcPr>
          <w:p>
            <w:pPr>
              <w:pStyle w:val="TableContents"/>
              <w:bidi w:val="0"/>
              <w:spacing w:before="0" w:after="0"/>
              <w:jc w:val="left"/>
              <w:rPr>
                <w:rFonts w:ascii="Times New Roman" w:hAnsi="Times New Roman"/>
                <w:sz w:val="20"/>
              </w:rPr>
            </w:pPr>
            <w:r>
              <w:rPr>
                <w:rFonts w:ascii="Times New Roman" w:hAnsi="Times New Roman"/>
                <w:sz w:val="20"/>
              </w:rPr>
              <w:t>Commercial paper notes (b)</w:t>
            </w:r>
          </w:p>
        </w:tc>
        <w:tc>
          <w:tcPr>
            <w:tcW w:w="48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475</w:t>
            </w:r>
          </w:p>
        </w:tc>
        <w:tc>
          <w:tcPr>
            <w:tcW w:w="6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6017" w:type="dxa"/>
            <w:tcBorders/>
            <w:vAlign w:val="bottom"/>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0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short-term debt</w:t>
            </w:r>
          </w:p>
        </w:tc>
        <w:tc>
          <w:tcPr>
            <w:tcW w:w="48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2,672</w:t>
            </w:r>
          </w:p>
        </w:tc>
        <w:tc>
          <w:tcPr>
            <w:tcW w:w="60"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2,197</w:t>
            </w:r>
          </w:p>
        </w:tc>
        <w:tc>
          <w:tcPr>
            <w:tcW w:w="64" w:type="dxa"/>
            <w:tcBorders/>
            <w:shd w:fill="CCEEFF" w:val="clear"/>
            <w:vAlign w:val="bottom"/>
          </w:tcPr>
          <w:p>
            <w:pPr>
              <w:pStyle w:val="TableContents"/>
              <w:bidi w:val="0"/>
              <w:spacing w:before="0" w:after="283"/>
              <w:jc w:val="left"/>
              <w:rPr/>
            </w:pPr>
            <w:r>
              <w:rPr/>
              <w:t> </w:t>
            </w:r>
          </w:p>
        </w:tc>
      </w:tr>
      <w:tr>
        <w:trPr/>
        <w:tc>
          <w:tcPr>
            <w:tcW w:w="6017"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(less unamortized debt discount and issuance costs):</w:t>
            </w:r>
          </w:p>
        </w:tc>
        <w:tc>
          <w:tcPr>
            <w:tcW w:w="48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107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0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Our revolving credit facility (c)</w:t>
            </w:r>
          </w:p>
        </w:tc>
        <w:tc>
          <w:tcPr>
            <w:tcW w:w="48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6017" w:type="dxa"/>
            <w:tcBorders/>
          </w:tcPr>
          <w:p>
            <w:pPr>
              <w:pStyle w:val="TableContents"/>
              <w:bidi w:val="0"/>
              <w:spacing w:before="0" w:after="0"/>
              <w:jc w:val="left"/>
              <w:rPr>
                <w:rFonts w:ascii="Times New Roman" w:hAnsi="Times New Roman"/>
                <w:sz w:val="20"/>
              </w:rPr>
            </w:pPr>
            <w:r>
              <w:rPr>
                <w:rFonts w:ascii="Times New Roman" w:hAnsi="Times New Roman"/>
                <w:sz w:val="20"/>
              </w:rPr>
              <w:t>Our 364-day credit facility (d)</w:t>
            </w:r>
          </w:p>
        </w:tc>
        <w:tc>
          <w:tcPr>
            <w:tcW w:w="48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60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5.000% Senior Notes due 2029 offered hereby</w:t>
            </w:r>
          </w:p>
        </w:tc>
        <w:tc>
          <w:tcPr>
            <w:tcW w:w="48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497</w:t>
            </w:r>
          </w:p>
        </w:tc>
        <w:tc>
          <w:tcPr>
            <w:tcW w:w="64" w:type="dxa"/>
            <w:tcBorders/>
            <w:shd w:fill="CCEEFF" w:val="clear"/>
            <w:vAlign w:val="bottom"/>
          </w:tcPr>
          <w:p>
            <w:pPr>
              <w:pStyle w:val="TableContents"/>
              <w:bidi w:val="0"/>
              <w:spacing w:before="0" w:after="283"/>
              <w:jc w:val="left"/>
              <w:rPr/>
            </w:pPr>
            <w:r>
              <w:rPr/>
              <w:t> </w:t>
            </w:r>
          </w:p>
        </w:tc>
      </w:tr>
      <w:tr>
        <w:trPr/>
        <w:tc>
          <w:tcPr>
            <w:tcW w:w="6017" w:type="dxa"/>
            <w:tcBorders/>
          </w:tcPr>
          <w:p>
            <w:pPr>
              <w:pStyle w:val="TableContents"/>
              <w:bidi w:val="0"/>
              <w:spacing w:before="0" w:after="0"/>
              <w:jc w:val="left"/>
              <w:rPr>
                <w:rFonts w:ascii="Times New Roman" w:hAnsi="Times New Roman"/>
                <w:sz w:val="20"/>
              </w:rPr>
            </w:pPr>
            <w:r>
              <w:rPr>
                <w:rFonts w:ascii="Times New Roman" w:hAnsi="Times New Roman"/>
                <w:sz w:val="20"/>
              </w:rPr>
              <w:t>5.600% Senior Notes due 2033 offered hereby</w:t>
            </w:r>
          </w:p>
        </w:tc>
        <w:tc>
          <w:tcPr>
            <w:tcW w:w="48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991</w:t>
            </w:r>
          </w:p>
        </w:tc>
        <w:tc>
          <w:tcPr>
            <w:tcW w:w="64" w:type="dxa"/>
            <w:tcBorders/>
            <w:vAlign w:val="bottom"/>
          </w:tcPr>
          <w:p>
            <w:pPr>
              <w:pStyle w:val="TableContents"/>
              <w:bidi w:val="0"/>
              <w:spacing w:before="0" w:after="283"/>
              <w:jc w:val="left"/>
              <w:rPr/>
            </w:pPr>
            <w:r>
              <w:rPr/>
              <w:t> </w:t>
            </w:r>
          </w:p>
        </w:tc>
      </w:tr>
      <w:tr>
        <w:trPr/>
        <w:tc>
          <w:tcPr>
            <w:tcW w:w="60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5.800% Senior Notes due 2036 offered hereby</w:t>
            </w:r>
          </w:p>
        </w:tc>
        <w:tc>
          <w:tcPr>
            <w:tcW w:w="48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742</w:t>
            </w:r>
          </w:p>
        </w:tc>
        <w:tc>
          <w:tcPr>
            <w:tcW w:w="64" w:type="dxa"/>
            <w:tcBorders/>
            <w:shd w:fill="CCEEFF" w:val="clear"/>
            <w:vAlign w:val="bottom"/>
          </w:tcPr>
          <w:p>
            <w:pPr>
              <w:pStyle w:val="TableContents"/>
              <w:bidi w:val="0"/>
              <w:spacing w:before="0" w:after="283"/>
              <w:jc w:val="left"/>
              <w:rPr/>
            </w:pPr>
            <w:r>
              <w:rPr/>
              <w:t> </w:t>
            </w:r>
          </w:p>
        </w:tc>
      </w:tr>
      <w:tr>
        <w:trPr/>
        <w:tc>
          <w:tcPr>
            <w:tcW w:w="6017" w:type="dxa"/>
            <w:tcBorders/>
          </w:tcPr>
          <w:p>
            <w:pPr>
              <w:pStyle w:val="TableContents"/>
              <w:bidi w:val="0"/>
              <w:spacing w:before="0" w:after="0"/>
              <w:jc w:val="left"/>
              <w:rPr>
                <w:rFonts w:ascii="Times New Roman" w:hAnsi="Times New Roman"/>
                <w:sz w:val="20"/>
              </w:rPr>
            </w:pPr>
            <w:r>
              <w:rPr>
                <w:rFonts w:ascii="Times New Roman" w:hAnsi="Times New Roman"/>
                <w:sz w:val="20"/>
              </w:rPr>
              <w:t>6.400% Senior Notes due 2056 offered hereby</w:t>
            </w:r>
          </w:p>
        </w:tc>
        <w:tc>
          <w:tcPr>
            <w:tcW w:w="48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493</w:t>
            </w:r>
          </w:p>
        </w:tc>
        <w:tc>
          <w:tcPr>
            <w:tcW w:w="64" w:type="dxa"/>
            <w:tcBorders/>
            <w:vAlign w:val="bottom"/>
          </w:tcPr>
          <w:p>
            <w:pPr>
              <w:pStyle w:val="TableContents"/>
              <w:bidi w:val="0"/>
              <w:spacing w:before="0" w:after="283"/>
              <w:jc w:val="left"/>
              <w:rPr/>
            </w:pPr>
            <w:r>
              <w:rPr/>
              <w:t> </w:t>
            </w:r>
          </w:p>
        </w:tc>
      </w:tr>
      <w:tr>
        <w:trPr/>
        <w:tc>
          <w:tcPr>
            <w:tcW w:w="60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Our notes and debentures with various interest rates ranging from 2.600% to 8.750% and maturities from 2028 to 2056</w:t>
            </w:r>
          </w:p>
        </w:tc>
        <w:tc>
          <w:tcPr>
            <w:tcW w:w="48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21,849</w:t>
            </w:r>
          </w:p>
        </w:tc>
        <w:tc>
          <w:tcPr>
            <w:tcW w:w="60"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21,849</w:t>
            </w:r>
          </w:p>
        </w:tc>
        <w:tc>
          <w:tcPr>
            <w:tcW w:w="64" w:type="dxa"/>
            <w:tcBorders/>
            <w:shd w:fill="CCEEFF" w:val="clear"/>
            <w:vAlign w:val="bottom"/>
          </w:tcPr>
          <w:p>
            <w:pPr>
              <w:pStyle w:val="TableContents"/>
              <w:bidi w:val="0"/>
              <w:spacing w:before="0" w:after="283"/>
              <w:jc w:val="left"/>
              <w:rPr/>
            </w:pPr>
            <w:r>
              <w:rPr/>
              <w:t> </w:t>
            </w:r>
          </w:p>
        </w:tc>
      </w:tr>
      <w:tr>
        <w:trPr/>
        <w:tc>
          <w:tcPr>
            <w:tcW w:w="6017" w:type="dxa"/>
            <w:tcBorders/>
          </w:tcPr>
          <w:p>
            <w:pPr>
              <w:pStyle w:val="TableContents"/>
              <w:bidi w:val="0"/>
              <w:spacing w:before="0" w:after="0"/>
              <w:jc w:val="left"/>
              <w:rPr>
                <w:rFonts w:ascii="Times New Roman" w:hAnsi="Times New Roman"/>
                <w:sz w:val="20"/>
              </w:rPr>
            </w:pPr>
            <w:r>
              <w:rPr>
                <w:rFonts w:ascii="Times New Roman" w:hAnsi="Times New Roman"/>
                <w:sz w:val="20"/>
              </w:rPr>
              <w:t>Transco notes and debentures with various interest rates ranging from 3.250% to 5.750% and maturities from 2028 to 2056 and other financing obligations (a)</w:t>
            </w:r>
          </w:p>
        </w:tc>
        <w:tc>
          <w:tcPr>
            <w:tcW w:w="48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5,643</w:t>
            </w:r>
          </w:p>
        </w:tc>
        <w:tc>
          <w:tcPr>
            <w:tcW w:w="6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5,643</w:t>
            </w:r>
          </w:p>
        </w:tc>
        <w:tc>
          <w:tcPr>
            <w:tcW w:w="64" w:type="dxa"/>
            <w:tcBorders/>
            <w:vAlign w:val="bottom"/>
          </w:tcPr>
          <w:p>
            <w:pPr>
              <w:pStyle w:val="TableContents"/>
              <w:bidi w:val="0"/>
              <w:spacing w:before="0" w:after="283"/>
              <w:jc w:val="left"/>
              <w:rPr/>
            </w:pPr>
            <w:r>
              <w:rPr/>
              <w:t> </w:t>
            </w:r>
          </w:p>
        </w:tc>
      </w:tr>
      <w:tr>
        <w:trPr/>
        <w:tc>
          <w:tcPr>
            <w:tcW w:w="60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Northwest Pipeline Credit Agreement</w:t>
            </w:r>
          </w:p>
        </w:tc>
        <w:tc>
          <w:tcPr>
            <w:tcW w:w="48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250</w:t>
            </w:r>
          </w:p>
        </w:tc>
        <w:tc>
          <w:tcPr>
            <w:tcW w:w="60"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250</w:t>
            </w:r>
          </w:p>
        </w:tc>
        <w:tc>
          <w:tcPr>
            <w:tcW w:w="64" w:type="dxa"/>
            <w:tcBorders/>
            <w:shd w:fill="CCEEFF" w:val="clear"/>
            <w:vAlign w:val="bottom"/>
          </w:tcPr>
          <w:p>
            <w:pPr>
              <w:pStyle w:val="TableContents"/>
              <w:bidi w:val="0"/>
              <w:spacing w:before="0" w:after="283"/>
              <w:jc w:val="left"/>
              <w:rPr/>
            </w:pPr>
            <w:r>
              <w:rPr/>
              <w:t> </w:t>
            </w:r>
          </w:p>
        </w:tc>
      </w:tr>
      <w:tr>
        <w:trPr/>
        <w:tc>
          <w:tcPr>
            <w:tcW w:w="601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MountainWest notes and debentures with various interest rates ranging from 3.530% to 4.875% and maturities from </w:t>
              <w:br/>
              <w:t>2028 to 2041</w:t>
            </w:r>
          </w:p>
        </w:tc>
        <w:tc>
          <w:tcPr>
            <w:tcW w:w="48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379</w:t>
            </w:r>
          </w:p>
        </w:tc>
        <w:tc>
          <w:tcPr>
            <w:tcW w:w="60"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379</w:t>
            </w:r>
          </w:p>
        </w:tc>
        <w:tc>
          <w:tcPr>
            <w:tcW w:w="64" w:type="dxa"/>
            <w:tcBorders/>
            <w:vAlign w:val="bottom"/>
          </w:tcPr>
          <w:p>
            <w:pPr>
              <w:pStyle w:val="TableContents"/>
              <w:bidi w:val="0"/>
              <w:spacing w:before="0" w:after="283"/>
              <w:jc w:val="left"/>
              <w:rPr/>
            </w:pPr>
            <w:r>
              <w:rPr/>
              <w:t> </w:t>
            </w:r>
          </w:p>
        </w:tc>
      </w:tr>
      <w:tr>
        <w:trPr/>
        <w:tc>
          <w:tcPr>
            <w:tcW w:w="6017" w:type="dxa"/>
            <w:tcBorders/>
            <w:vAlign w:val="bottom"/>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1"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0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long-term debt (e)</w:t>
            </w:r>
          </w:p>
        </w:tc>
        <w:tc>
          <w:tcPr>
            <w:tcW w:w="48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28,121</w:t>
            </w:r>
          </w:p>
        </w:tc>
        <w:tc>
          <w:tcPr>
            <w:tcW w:w="60"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30,844</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tbl>
      <w:tblPr>
        <w:tblW w:w="4600" w:type="pct"/>
        <w:jc w:val="center"/>
        <w:tblInd w:w="0" w:type="dxa"/>
        <w:tblLayout w:type="fixed"/>
        <w:tblCellMar>
          <w:top w:w="0" w:type="dxa"/>
          <w:left w:w="0" w:type="dxa"/>
          <w:bottom w:w="0" w:type="dxa"/>
          <w:right w:w="0" w:type="dxa"/>
        </w:tblCellMar>
      </w:tblPr>
      <w:tblGrid>
        <w:gridCol w:w="5956"/>
        <w:gridCol w:w="416"/>
        <w:gridCol w:w="155"/>
        <w:gridCol w:w="847"/>
        <w:gridCol w:w="155"/>
        <w:gridCol w:w="416"/>
        <w:gridCol w:w="204"/>
        <w:gridCol w:w="1080"/>
        <w:gridCol w:w="159"/>
      </w:tblGrid>
      <w:tr>
        <w:trPr/>
        <w:tc>
          <w:tcPr>
            <w:tcW w:w="5956"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8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w:t>
              <w:br/>
              <w:t>2026</w:t>
            </w:r>
          </w:p>
        </w:tc>
        <w:tc>
          <w:tcPr>
            <w:tcW w:w="159" w:type="dxa"/>
            <w:tcBorders/>
            <w:vAlign w:val="bottom"/>
          </w:tcPr>
          <w:p>
            <w:pPr>
              <w:pStyle w:val="TableContents"/>
              <w:bidi w:val="0"/>
              <w:spacing w:before="0" w:after="283"/>
              <w:jc w:val="left"/>
              <w:rPr/>
            </w:pPr>
            <w:r>
              <w:rPr/>
              <w:t> </w:t>
            </w:r>
          </w:p>
        </w:tc>
      </w:tr>
      <w:tr>
        <w:trPr/>
        <w:tc>
          <w:tcPr>
            <w:tcW w:w="5956"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0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159" w:type="dxa"/>
            <w:tcBorders/>
            <w:vAlign w:val="bottom"/>
          </w:tcPr>
          <w:p>
            <w:pPr>
              <w:pStyle w:val="TableContents"/>
              <w:bidi w:val="0"/>
              <w:spacing w:before="0" w:after="283"/>
              <w:jc w:val="left"/>
              <w:rPr/>
            </w:pPr>
            <w:r>
              <w:rPr/>
              <w:t> </w:t>
            </w:r>
          </w:p>
        </w:tc>
      </w:tr>
      <w:tr>
        <w:trPr/>
        <w:tc>
          <w:tcPr>
            <w:tcW w:w="5956"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857" w:type="dxa"/>
            <w:gridSpan w:val="6"/>
            <w:tcBorders/>
            <w:vAlign w:val="bottom"/>
          </w:tcPr>
          <w:p>
            <w:pPr>
              <w:pStyle w:val="TableContents"/>
              <w:bidi w:val="0"/>
              <w:spacing w:before="0" w:after="283"/>
              <w:jc w:val="center"/>
              <w:rPr>
                <w:b/>
              </w:rPr>
            </w:pPr>
            <w:r>
              <w:rPr>
                <w:b/>
              </w:rPr>
              <w:t>($ in millions)</w:t>
            </w:r>
          </w:p>
        </w:tc>
        <w:tc>
          <w:tcPr>
            <w:tcW w:w="159" w:type="dxa"/>
            <w:tcBorders/>
            <w:vAlign w:val="bottom"/>
          </w:tcPr>
          <w:p>
            <w:pPr>
              <w:pStyle w:val="TableContents"/>
              <w:bidi w:val="0"/>
              <w:spacing w:before="0" w:after="283"/>
              <w:jc w:val="left"/>
              <w:rPr/>
            </w:pPr>
            <w:r>
              <w:rPr/>
              <w:t> </w:t>
            </w:r>
          </w:p>
        </w:tc>
      </w:tr>
      <w:tr>
        <w:trPr/>
        <w:tc>
          <w:tcPr>
            <w:tcW w:w="5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41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4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08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956"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41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84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08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($1 par value; 30 million shares authorized at June 30, 2026; 35,000 shares issued at June 30, 2026)</w:t>
            </w:r>
          </w:p>
        </w:tc>
        <w:tc>
          <w:tcPr>
            <w:tcW w:w="41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35</w:t>
            </w:r>
          </w:p>
        </w:tc>
        <w:tc>
          <w:tcPr>
            <w:tcW w:w="159" w:type="dxa"/>
            <w:tcBorders/>
            <w:shd w:fill="CCEEFF" w:val="clear"/>
            <w:vAlign w:val="bottom"/>
          </w:tcPr>
          <w:p>
            <w:pPr>
              <w:pStyle w:val="TableContents"/>
              <w:bidi w:val="0"/>
              <w:spacing w:before="0" w:after="283"/>
              <w:jc w:val="left"/>
              <w:rPr/>
            </w:pPr>
            <w:r>
              <w:rPr/>
              <w:t> </w:t>
            </w:r>
          </w:p>
        </w:tc>
      </w:tr>
      <w:tr>
        <w:trPr/>
        <w:tc>
          <w:tcPr>
            <w:tcW w:w="5956"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($1 par value; 1,470 million shares authorized at June 30, 2026; 1,261 million shares issued at June 30, 2026)</w:t>
            </w:r>
          </w:p>
        </w:tc>
        <w:tc>
          <w:tcPr>
            <w:tcW w:w="41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1,262</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1,262</w:t>
            </w:r>
          </w:p>
        </w:tc>
        <w:tc>
          <w:tcPr>
            <w:tcW w:w="159" w:type="dxa"/>
            <w:tcBorders/>
            <w:vAlign w:val="bottom"/>
          </w:tcPr>
          <w:p>
            <w:pPr>
              <w:pStyle w:val="TableContents"/>
              <w:bidi w:val="0"/>
              <w:spacing w:before="0" w:after="283"/>
              <w:jc w:val="left"/>
              <w:rPr/>
            </w:pPr>
            <w:r>
              <w:rPr/>
              <w:t> </w:t>
            </w:r>
          </w:p>
        </w:tc>
      </w:tr>
      <w:tr>
        <w:trPr/>
        <w:tc>
          <w:tcPr>
            <w:tcW w:w="5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in excess of par value</w:t>
            </w:r>
          </w:p>
        </w:tc>
        <w:tc>
          <w:tcPr>
            <w:tcW w:w="41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24,783</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24,783</w:t>
            </w:r>
          </w:p>
        </w:tc>
        <w:tc>
          <w:tcPr>
            <w:tcW w:w="159" w:type="dxa"/>
            <w:tcBorders/>
            <w:shd w:fill="CCEEFF" w:val="clear"/>
            <w:vAlign w:val="bottom"/>
          </w:tcPr>
          <w:p>
            <w:pPr>
              <w:pStyle w:val="TableContents"/>
              <w:bidi w:val="0"/>
              <w:spacing w:before="0" w:after="283"/>
              <w:jc w:val="left"/>
              <w:rPr/>
            </w:pPr>
            <w:r>
              <w:rPr/>
              <w:t> </w:t>
            </w:r>
          </w:p>
        </w:tc>
      </w:tr>
      <w:tr>
        <w:trPr/>
        <w:tc>
          <w:tcPr>
            <w:tcW w:w="5956" w:type="dxa"/>
            <w:tcBorders/>
          </w:tcPr>
          <w:p>
            <w:pPr>
              <w:pStyle w:val="TableContents"/>
              <w:bidi w:val="0"/>
              <w:spacing w:before="0" w:after="0"/>
              <w:jc w:val="left"/>
              <w:rPr>
                <w:rFonts w:ascii="Times New Roman" w:hAnsi="Times New Roman"/>
                <w:sz w:val="20"/>
              </w:rPr>
            </w:pPr>
            <w:r>
              <w:rPr>
                <w:rFonts w:ascii="Times New Roman" w:hAnsi="Times New Roman"/>
                <w:sz w:val="20"/>
              </w:rPr>
              <w:t>Retained deficit</w:t>
            </w:r>
          </w:p>
        </w:tc>
        <w:tc>
          <w:tcPr>
            <w:tcW w:w="41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(11,834</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(11,834</w:t>
            </w:r>
          </w:p>
        </w:tc>
        <w:tc>
          <w:tcPr>
            <w:tcW w:w="159" w:type="dxa"/>
            <w:tcBorders/>
            <w:vAlign w:val="bottom"/>
          </w:tcPr>
          <w:p>
            <w:pPr>
              <w:pStyle w:val="TableContents"/>
              <w:bidi w:val="0"/>
              <w:spacing w:before="0" w:after="283"/>
              <w:jc w:val="left"/>
              <w:rPr/>
            </w:pPr>
            <w:r>
              <w:rPr/>
              <w:t>) </w:t>
            </w:r>
          </w:p>
        </w:tc>
      </w:tr>
      <w:tr>
        <w:trPr/>
        <w:tc>
          <w:tcPr>
            <w:tcW w:w="5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41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124</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124</w:t>
            </w:r>
          </w:p>
        </w:tc>
        <w:tc>
          <w:tcPr>
            <w:tcW w:w="159" w:type="dxa"/>
            <w:tcBorders/>
            <w:shd w:fill="CCEEFF" w:val="clear"/>
            <w:vAlign w:val="bottom"/>
          </w:tcPr>
          <w:p>
            <w:pPr>
              <w:pStyle w:val="TableContents"/>
              <w:bidi w:val="0"/>
              <w:spacing w:before="0" w:after="283"/>
              <w:jc w:val="left"/>
              <w:rPr/>
            </w:pPr>
            <w:r>
              <w:rPr/>
              <w:t> </w:t>
            </w:r>
          </w:p>
        </w:tc>
      </w:tr>
      <w:tr>
        <w:trPr/>
        <w:tc>
          <w:tcPr>
            <w:tcW w:w="5956" w:type="dxa"/>
            <w:tcBorders/>
          </w:tcPr>
          <w:p>
            <w:pPr>
              <w:pStyle w:val="TableContents"/>
              <w:bidi w:val="0"/>
              <w:spacing w:before="0" w:after="0"/>
              <w:jc w:val="left"/>
              <w:rPr>
                <w:rFonts w:ascii="Times New Roman" w:hAnsi="Times New Roman"/>
                <w:sz w:val="20"/>
              </w:rPr>
            </w:pPr>
            <w:r>
              <w:rPr>
                <w:rFonts w:ascii="Times New Roman" w:hAnsi="Times New Roman"/>
                <w:sz w:val="20"/>
              </w:rPr>
              <w:t>Treasury stock, at cost (39 million shares of common stock)</w:t>
            </w:r>
          </w:p>
        </w:tc>
        <w:tc>
          <w:tcPr>
            <w:tcW w:w="41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(1,180</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(1,180</w:t>
            </w:r>
          </w:p>
        </w:tc>
        <w:tc>
          <w:tcPr>
            <w:tcW w:w="159" w:type="dxa"/>
            <w:tcBorders/>
            <w:vAlign w:val="bottom"/>
          </w:tcPr>
          <w:p>
            <w:pPr>
              <w:pStyle w:val="TableContents"/>
              <w:bidi w:val="0"/>
              <w:spacing w:before="0" w:after="283"/>
              <w:jc w:val="left"/>
              <w:rPr/>
            </w:pPr>
            <w:r>
              <w:rPr/>
              <w:t>) </w:t>
            </w:r>
          </w:p>
        </w:tc>
      </w:tr>
      <w:tr>
        <w:trPr/>
        <w:tc>
          <w:tcPr>
            <w:tcW w:w="5956"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41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13,190</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13,190</w:t>
            </w:r>
          </w:p>
        </w:tc>
        <w:tc>
          <w:tcPr>
            <w:tcW w:w="159" w:type="dxa"/>
            <w:tcBorders/>
            <w:shd w:fill="CCEEFF" w:val="clear"/>
            <w:vAlign w:val="bottom"/>
          </w:tcPr>
          <w:p>
            <w:pPr>
              <w:pStyle w:val="TableContents"/>
              <w:bidi w:val="0"/>
              <w:spacing w:before="0" w:after="283"/>
              <w:jc w:val="left"/>
              <w:rPr/>
            </w:pPr>
            <w:r>
              <w:rPr/>
              <w:t> </w:t>
            </w:r>
          </w:p>
        </w:tc>
      </w:tr>
      <w:tr>
        <w:trPr/>
        <w:tc>
          <w:tcPr>
            <w:tcW w:w="5956"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interests in consolidated subsidiaries</w:t>
            </w:r>
          </w:p>
        </w:tc>
        <w:tc>
          <w:tcPr>
            <w:tcW w:w="41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2,178</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2,178</w:t>
            </w:r>
          </w:p>
        </w:tc>
        <w:tc>
          <w:tcPr>
            <w:tcW w:w="159" w:type="dxa"/>
            <w:tcBorders/>
            <w:vAlign w:val="bottom"/>
          </w:tcPr>
          <w:p>
            <w:pPr>
              <w:pStyle w:val="TableContents"/>
              <w:bidi w:val="0"/>
              <w:spacing w:before="0" w:after="283"/>
              <w:jc w:val="left"/>
              <w:rPr/>
            </w:pPr>
            <w:r>
              <w:rPr/>
              <w:t> </w:t>
            </w:r>
          </w:p>
        </w:tc>
      </w:tr>
      <w:tr>
        <w:trPr/>
        <w:tc>
          <w:tcPr>
            <w:tcW w:w="5956"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41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15,368</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15,368</w:t>
            </w:r>
          </w:p>
        </w:tc>
        <w:tc>
          <w:tcPr>
            <w:tcW w:w="159" w:type="dxa"/>
            <w:tcBorders/>
            <w:shd w:fill="CCEEFF" w:val="clear"/>
            <w:vAlign w:val="bottom"/>
          </w:tcPr>
          <w:p>
            <w:pPr>
              <w:pStyle w:val="TableContents"/>
              <w:bidi w:val="0"/>
              <w:spacing w:before="0" w:after="283"/>
              <w:jc w:val="left"/>
              <w:rPr/>
            </w:pPr>
            <w:r>
              <w:rPr/>
              <w:t> </w:t>
            </w:r>
          </w:p>
        </w:tc>
      </w:tr>
      <w:tr>
        <w:trPr/>
        <w:tc>
          <w:tcPr>
            <w:tcW w:w="5956"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956" w:type="dxa"/>
            <w:tcBorders/>
          </w:tcPr>
          <w:p>
            <w:pPr>
              <w:pStyle w:val="TableContents"/>
              <w:bidi w:val="0"/>
              <w:spacing w:before="0" w:after="0"/>
              <w:jc w:val="left"/>
              <w:rPr>
                <w:rFonts w:ascii="Times New Roman" w:hAnsi="Times New Roman"/>
                <w:sz w:val="20"/>
              </w:rPr>
            </w:pPr>
            <w:r>
              <w:rPr>
                <w:rFonts w:ascii="Times New Roman" w:hAnsi="Times New Roman"/>
                <w:sz w:val="20"/>
              </w:rPr>
              <w:t>Total capitalization (including current maturities of long-term debt)</w:t>
            </w:r>
          </w:p>
        </w:tc>
        <w:tc>
          <w:tcPr>
            <w:tcW w:w="41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847" w:type="dxa"/>
            <w:tcBorders/>
            <w:vAlign w:val="bottom"/>
          </w:tcPr>
          <w:p>
            <w:pPr>
              <w:pStyle w:val="TableContents"/>
              <w:bidi w:val="0"/>
              <w:spacing w:before="0" w:after="283"/>
              <w:jc w:val="right"/>
              <w:rPr/>
            </w:pPr>
            <w:r>
              <w:rPr/>
              <w:t>46,161</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080" w:type="dxa"/>
            <w:tcBorders/>
            <w:vAlign w:val="bottom"/>
          </w:tcPr>
          <w:p>
            <w:pPr>
              <w:pStyle w:val="TableContents"/>
              <w:bidi w:val="0"/>
              <w:spacing w:before="0" w:after="283"/>
              <w:jc w:val="right"/>
              <w:rPr/>
            </w:pPr>
            <w:r>
              <w:rPr/>
              <w:t>48,409</w:t>
            </w:r>
          </w:p>
        </w:tc>
        <w:tc>
          <w:tcPr>
            <w:tcW w:w="159" w:type="dxa"/>
            <w:tcBorders/>
            <w:vAlign w:val="bottom"/>
          </w:tcPr>
          <w:p>
            <w:pPr>
              <w:pStyle w:val="TableContents"/>
              <w:bidi w:val="0"/>
              <w:spacing w:before="0" w:after="283"/>
              <w:jc w:val="left"/>
              <w:rPr/>
            </w:pPr>
            <w:r>
              <w:rPr/>
              <w:t> </w:t>
            </w:r>
          </w:p>
        </w:tc>
      </w:tr>
      <w:tr>
        <w:trPr/>
        <w:tc>
          <w:tcPr>
            <w:tcW w:w="5956"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8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08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pPr>
            <w:r>
              <w:rPr/>
              <w:t>“</w:t>
            </w:r>
            <w:r>
              <w:rPr>
                <w:rFonts w:ascii="Times New Roman" w:hAnsi="Times New Roman"/>
                <w:sz w:val="20"/>
              </w:rPr>
              <w:t xml:space="preserve">Other financing obligations” is comprised of (1) approximately $741 million of debt obligations related to Transco’s Atlantic Sunrise project, $34 million of which is included in Long-term debt and other financing obligations due within one year, (2) approximately $73 million of debt obligations related to Transco’s Leidy South project, $2 million of which is included in Long-term debt and other financing obligations due within one year, and (3) approximately $245 million of debt obligations related to Transco’s Dalton project, $4 million of which is included in Long-term debt and other financing obligations due within one year. The obligations, which mature in 2038, 2041, and 2052, respectively, require monthly interest and principal payments and bear interest rates of approximately 9 percent, 13 percent, and 9 percent, respectively. See “Description of Other Indebtedness — Transco and Northwest Pipeline Indebtedness — Other Obligations.”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September 4, 2026, we had approximately $910 million of commercial paper outstanding and approximately $2.59 billion of borrowing capacity available under our $3.5 billion commercial paper program.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Borrowing capacity under our $3.75 billion revolving credit facility as of September 4, 2026 was approximately $2.84 billion. Borrowing capacity under the revolving credit facility is reduced by the amount of any commercial paper outstanding.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Borrowing capacity under our $1.0 billion 364-day credit facility as of September 4, 2026 was approximately $1 billion.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include intercompany debt. See “Risk Factors — Risks Related to the Notes — We have a holding company structure in which our subsidiaries conduct our operations and own our operating assets, which may affect our ability to make payments on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supptoc110651_7"/>
      <w:bookmarkEnd w:id="9"/>
      <w:r>
        <w:rPr>
          <w:rFonts w:ascii="Times New Roman" w:hAnsi="Times New Roman"/>
          <w:b/>
          <w:sz w:val="20"/>
        </w:rPr>
        <w:t xml:space="preserve">DESCRIPTION OF THE NOTES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$500,000,000 in aggregate principal amount of 5.000% senior notes due 2029 (the “2029 notes”), $1,000,000,000 in aggregate principal amount of 5.600% senior notes due 2033 (the “2033 notes”), $750,000,000 in aggregate principal amount of 5.800% senior notes due 2036 (the “2036 notes”) and $500,000,000 in aggregate principal amount of 6.400% senior notes due 2056 (the “2056 notes” and, together with the 2029 notes, the 2033 notes and the 2036 notes, the “notes”) under an indenture (the “base indenture”), dated as of December 18, 2012, between the Company and The Bank of New York Mellon Trust Company, N.A., as trustee (the “trustee”), as amended and supplemented by a supplemental indenture (the “supplemental indenture”) to be entered into by the Company and the trustee relating to the issuance of the notes. The base indenture, as amended and supplemented by the supplemental indenture, is referred to herein as the “indenture.” The terms of the notes include those stated in the indenture and those made part of the indenture by reference to the Trust Indenture Act of 1939, as amended (the “Trust Indenture Act”). Each of the 2029 notes, the 2033 notes, the 2036 notes and the 2056 notes will be separate series of securities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certain terms of the notes supplements, and to the extent inconsistent, replaces, the description under “Description of Debt Securities” in the accompanying base prospectus. The following description and the description under “Description of Debt Securities” in the accompanying base prospectus together constitute a summary of the material provisions of the indenture and the notes. They do not restate those documents in their entirety. We urge you to read the indenture in its entirety, because it, and not this description or the description under “Description of Debt Securities” in the accompanying base prospectus, defines your rights as holders of the notes. Copies of the indenture are or will be made available as set forth below under “— Additional Information.” You can find the definitions of certain terms used in this description under the subheading “— Certain Definitions.” In this description, the terms “Company,” “us,” “our” and “we” refer only to The Williams Companies, Inc. and not to any of our subsidiaries. Certain defined terms used in this “Description of the Notes” but not defined below under “— Certain Definitions” have the meanings assigned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registered holder of a note will be treated as the owner of it for all purposes. Only registered holders will have rights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Brief Description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our senior unsecured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equal in right of payment with all of our existing and future senior unsecured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effectively subordinated to all of our future secured indebtedness and structurally subordinated to all existing and future indebtedness and other obligations of our Subsidiaries, including trade payables;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senior to all of our future subordinated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2026, we had outstanding indebtedness of approximately $30.8 billion, approximately $7.0 billion of which consisted of indebtedness of our Subsidiaries. As of June 30, 2026, assuming that we had completed this offering of the notes (including the expected application of the net proceeds of this offering) on June 30, 2026, we would have had outstanding indebtedness of approximately $33.0 billion, approximately $7.0 billion of which would have consisted of indebtedness of our Subsidiaries. Borrowing capacity under our revolving credit facility as of September 4, 2026 was approximately $2.84 billion, borrowing capacity under our 364-day credit facility as of September 4, 2026 was approximately $1 billion, and we had approximately $910 million of commercial paper outstanding under our $3.5 billion commercial paper program as of September 4,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indenture will permit us to incur additional indebtedness, including additional senior unsecured indebtedness. The indenture also will not restrict the ability of our Subsidiaries to incur additional indebtedness. See “Risks Related to the Notes — Restrictions in our debt agreements and the amount of our indebtedness may affect our future financial and operating flexibility.” </w:t>
      </w:r>
    </w:p>
    <w:p>
      <w:pPr>
        <w:pStyle w:val="TextBody"/>
        <w:bidi w:val="0"/>
        <w:spacing w:before="240" w:after="0"/>
        <w:jc w:val="left"/>
        <w:rPr>
          <w:rFonts w:ascii="Times New Roman" w:hAnsi="Times New Roman"/>
          <w:sz w:val="20"/>
        </w:rPr>
      </w:pPr>
      <w:r>
        <w:rPr>
          <w:rFonts w:ascii="Times New Roman" w:hAnsi="Times New Roman"/>
          <w:sz w:val="20"/>
        </w:rPr>
        <w:t xml:space="preserve">We own a noncontrolling interest in Baton Rouge Fractionators LLC, Blue Racer Midstream LLC, Cardinal Pipeline Company LLC, Cogentrix Co-Investment Fund, LP, Gulfstream Natural Gas System, L.L.C., Gulfstream Management and Operating Services, L.L.C., Laurel Mountain Midstream, LLC, Louisiana LNG LLC, Overland Pass Pipeline Company LLC, Pine Needle LNG Company, LLC, Pacific Connector Gas Pipeline, LLC, Targa Train 7 LLC and White River Hub, LLC. These entities will not be classified as Subsidiaries of ours under the indenture so long as we continue to own a noncontrolling interest in them. As a result, the entities listed above will not be subject to the restrictive covenants in the indenture so long as they are not Subsidiaries of ours.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Maturity and Interest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2029 notes with an initial maximum aggregate principal amount of $500,000,000. The 2029 notes will mature on October 15, 2029. We will issue the 2033 notes with an initial maximum aggregate principal amount of $1,000,000,000. The 2033 notes will mature on September 15, 2033. We will issue the 2036 notes with an initial maximum aggregate principal amount of $750,000,000. The 2036 notes will mature on September 15, 2036. We will issue the 2056 notes with an initial maximum aggregate principal amount of $500,000,000. The 2056 notes will mature on September 15, 2056. We will issue the notes in minimum denominations of $2,000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2029 notes will accrue at the rate of 5.000% per annum, and will be payable semi-annually in arrears on April 15 and October 15, beginning on April 15, 2027. We will make each interest payment on the 2029 notes to the holders of record at the close of business on the immediately preceding April 1 or October 1 (whether or not a Business Day). Interest on the 2033 notes will accrue at the rate of 5.600% per annum, and will be payable semi-annually in arrears on March 15 and September 15, beginning on March 15, 2027. We will make each interest payment on the 2033 notes to the holders of record at the close of business on the immediately preceding March 1 or September 1 (whether or not a Business Day). Interest on the 2036 notes will accrue at the rate of 5.800% per annum, and will be payable semi-annually in arrears on March 15 and September 15, beginning on March 15, 2027. We will make each interest payment on the 2036 notes to the holders of record at the close of business on the immediately preceding March 1 or September 1 (whether or not a Business Day). Interest on the 2056 notes will accrue at the rate of 6.400% per annum, and will be payable semi-annually in arrears on March 15 and September 15, beginning on March 15, 2027. We will make each interest payment on the 2056 notes to the holders of record at the close of business on the immediately preceding March 1 or September 1 (whether or not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notes will accrue from the date of original issuance or, if interest has already been paid or duly provided for, from the date it was most recently paid or duly provided for. Interest will be computed on the basis of a 360-day year comprised of twelve 30-day months. If any interest or other payment date of the notes falls on a day that is not a Business Day, the required payment of principal, premium, if any, or interest will be due on the next succeeding Business Day as if made on the date that payment was due, and no interest will accrue on that payment for the period from and after that interest or other payment date, as the case may be, to the date of that payment on the next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We may, without the consent of the holders of the notes of any series, issue additional notes having the same ranking and the same interest rate, maturity and other terms as the notes of such series, except the issue date, the public offering price and, if applicable, the initial interest payment date and the initial interest accrual date, and such additional notes may not be fungible for trading purposes with, and may initially bear different identifying numbers than, the notes of the applicable series offered hereby. Any additional notes having such similar terms, together with the notes of the applicable series offered hereby, will constitute a single series of debt securities under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Methods of Receiving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We will pay all principal, interest and premium, if any, on the notes in the manner described under “—Same-Day Settlement and Payment” below. </w:t>
      </w:r>
    </w:p>
    <w:p>
      <w:pPr>
        <w:pStyle w:val="TextBody"/>
        <w:bidi w:val="0"/>
        <w:spacing w:before="360" w:after="0"/>
        <w:jc w:val="left"/>
        <w:rPr>
          <w:rFonts w:ascii="Times New Roman" w:hAnsi="Times New Roman"/>
          <w:b/>
          <w:sz w:val="20"/>
        </w:rPr>
      </w:pPr>
      <w:r>
        <w:rPr>
          <w:rFonts w:ascii="Times New Roman" w:hAnsi="Times New Roman"/>
          <w:b/>
          <w:sz w:val="20"/>
        </w:rPr>
        <w:t xml:space="preserve">Paying Agent and Registrar for the Notes </w:t>
      </w:r>
    </w:p>
    <w:p>
      <w:pPr>
        <w:pStyle w:val="TextBody"/>
        <w:bidi w:val="0"/>
        <w:spacing w:before="120" w:after="0"/>
        <w:jc w:val="left"/>
        <w:rPr>
          <w:rFonts w:ascii="Times New Roman" w:hAnsi="Times New Roman"/>
          <w:sz w:val="20"/>
        </w:rPr>
      </w:pPr>
      <w:r>
        <w:rPr>
          <w:rFonts w:ascii="Times New Roman" w:hAnsi="Times New Roman"/>
          <w:sz w:val="20"/>
        </w:rPr>
        <w:t xml:space="preserve">The trustee will initially act as paying agent and registrar. We may change the paying agent or registrar without prior notice to the holders of the notes, and we or any of our Subsidiaries may act as paying agent or registrar.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A holder may transfer or exchange notes in accordance with the indenture. The registrar and the trustee may require a holder to furnish appropriate endorsements and transfer documents in connection with a transfer of notes. No service charges will be imposed on the holders by us, the trustee or the registrar for any registration of transfer or exchange of notes, but holders may be required to pay all taxes due on transfer or exchange. We are not required to transfer or exchange any note selected for redemption. Also, we are not required to transfer or exchange any note for a period of 15 days before mailing notice of any redemption of notes.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At any time prior to the applicable Par Call Date (as defined below), we may, at our option, redeem the notes of each series, in whole or in part,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(a) the sum of the present values of the remaining scheduled payments of principal and interest thereon discounted to the redemption date (assuming the notes matured on the applicable Par Call Date) on a semi-annual basis (assuming a 360-day year consisting of twelve 30-day months) at the Treasury Rate plus 10 basis points, in the case of the 2029 notes, 15 basis points, in the case of the 2033 notes, 20 basis points, in the case of the 2036 notes, and 20 basis points, in the case of the 2056 notes, less (b) interest accrued to the date of redemption, and </w:t>
      </w:r>
    </w:p>
    <w:p>
      <w:pPr>
        <w:pStyle w:val="TextBody"/>
        <w:bidi w:val="0"/>
        <w:spacing w:before="240" w:after="0"/>
        <w:jc w:val="left"/>
        <w:rPr>
          <w:rFonts w:ascii="Times New Roman" w:hAnsi="Times New Roman"/>
          <w:sz w:val="20"/>
        </w:rPr>
      </w:pPr>
      <w:r>
        <w:rPr>
          <w:rFonts w:ascii="Times New Roman" w:hAnsi="Times New Roman"/>
          <w:sz w:val="20"/>
        </w:rPr>
        <w:t xml:space="preserve">(2) 100% of the principal amount of the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if any, to, but not including, the applicable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At any time on or after the applicable Par Call Date, we may, at our option, redeem any series of notes, in whole or in part, at a redemption price equal to 100% of the principal amount of the notes of the series to be redeemed plus accrued and unpaid interest thereon, if any, to, but not including, the applicable redemption date. </w:t>
      </w:r>
    </w:p>
    <w:p>
      <w:pPr>
        <w:pStyle w:val="TextBody"/>
        <w:bidi w:val="0"/>
        <w:spacing w:before="240" w:after="0"/>
        <w:jc w:val="left"/>
        <w:rPr/>
      </w:pPr>
      <w:r>
        <w:rPr/>
        <w:t>“</w:t>
      </w:r>
      <w:r>
        <w:rPr>
          <w:rFonts w:ascii="Times New Roman" w:hAnsi="Times New Roman"/>
          <w:i/>
          <w:sz w:val="20"/>
        </w:rPr>
        <w:t>Treasury Rate</w:t>
      </w:r>
      <w:r>
        <w:rPr>
          <w:rFonts w:ascii="Times New Roman" w:hAnsi="Times New Roman"/>
          <w:sz w:val="20"/>
        </w:rPr>
        <w:t xml:space="preserve">” means, with respect to any redemption date,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w:t>
      </w:r>
    </w:p>
    <w:p>
      <w:pPr>
        <w:pStyle w:val="TextBody"/>
        <w:bidi w:val="0"/>
        <w:spacing w:before="360" w:after="0"/>
        <w:jc w:val="left"/>
        <w:rPr>
          <w:rFonts w:ascii="Times New Roman" w:hAnsi="Times New Roman"/>
          <w:b/>
          <w:sz w:val="20"/>
        </w:rPr>
      </w:pPr>
      <w:r>
        <w:rPr>
          <w:rFonts w:ascii="Times New Roman" w:hAnsi="Times New Roman"/>
          <w:b/>
          <w:sz w:val="20"/>
        </w:rPr>
        <w:t xml:space="preserve">Selection and Notice </w:t>
      </w:r>
    </w:p>
    <w:p>
      <w:pPr>
        <w:pStyle w:val="TextBody"/>
        <w:bidi w:val="0"/>
        <w:spacing w:before="120" w:after="0"/>
        <w:jc w:val="left"/>
        <w:rPr>
          <w:rFonts w:ascii="Times New Roman" w:hAnsi="Times New Roman"/>
          <w:sz w:val="20"/>
        </w:rPr>
      </w:pPr>
      <w:r>
        <w:rPr>
          <w:rFonts w:ascii="Times New Roman" w:hAnsi="Times New Roman"/>
          <w:sz w:val="20"/>
        </w:rPr>
        <w:t xml:space="preserve">Notice of any redemption of a series of notes will be mailed or electronically delivered (or otherwise transmitted in accordance with the depositary’s procedures) at least 10 days but not more than 60 days before the applicable redemption date to each holder of notes to be redeemed. Any such redemption may, at the Company’s discretion, be subject to one or more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of a series of notes, selection of such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The Depository Trust Company (“DTC”) (or another depositary), the redemption of the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will cease to accrue on the notes or portions thereof called for redemption. </w:t>
      </w:r>
    </w:p>
    <w:p>
      <w:pPr>
        <w:pStyle w:val="TextBody"/>
        <w:bidi w:val="0"/>
        <w:spacing w:before="360" w:after="0"/>
        <w:jc w:val="left"/>
        <w:rPr>
          <w:rFonts w:ascii="Times New Roman" w:hAnsi="Times New Roman"/>
          <w:b/>
          <w:sz w:val="20"/>
        </w:rPr>
      </w:pPr>
      <w:r>
        <w:rPr>
          <w:rFonts w:ascii="Times New Roman" w:hAnsi="Times New Roman"/>
          <w:b/>
          <w:sz w:val="20"/>
        </w:rPr>
        <w:t xml:space="preserve">Mandatory Redemption </w:t>
      </w:r>
    </w:p>
    <w:p>
      <w:pPr>
        <w:pStyle w:val="TextBody"/>
        <w:bidi w:val="0"/>
        <w:spacing w:before="120" w:after="0"/>
        <w:jc w:val="left"/>
        <w:rPr>
          <w:rFonts w:ascii="Times New Roman" w:hAnsi="Times New Roman"/>
          <w:sz w:val="20"/>
        </w:rPr>
      </w:pPr>
      <w:r>
        <w:rPr>
          <w:rFonts w:ascii="Times New Roman" w:hAnsi="Times New Roman"/>
          <w:sz w:val="20"/>
        </w:rPr>
        <w:t xml:space="preserve">We are not required to make mandatory redemption or sinking fund payments with respect to the notes or to repurchase the notes at the option of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Except as set forth in this “Description of the Notes,” neither we nor any of our Subsidiaries will be restricted by the indenture from incurring additional indebtedness or other obligations, from making distributions or paying dividends on our or our Subsidiaries’ equity interests or from purchasing our or our Subsidiaries’ equity interests. The indenture does not require the maintenance of any financial ratios or specified levels of net worth or liquidity. In addition, the indenture does not contain any provisions that would require us to repurchase or redeem any of the notes in situations that may adversely affect the creditworthiness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Liens </w:t>
      </w:r>
    </w:p>
    <w:p>
      <w:pPr>
        <w:pStyle w:val="TextBody"/>
        <w:bidi w:val="0"/>
        <w:spacing w:before="120" w:after="0"/>
        <w:jc w:val="left"/>
        <w:rPr>
          <w:rFonts w:ascii="Times New Roman" w:hAnsi="Times New Roman"/>
          <w:sz w:val="20"/>
        </w:rPr>
      </w:pPr>
      <w:r>
        <w:rPr>
          <w:rFonts w:ascii="Times New Roman" w:hAnsi="Times New Roman"/>
          <w:sz w:val="20"/>
        </w:rPr>
        <w:t xml:space="preserve">We will not, and will not permit any Subsidiary of ours to, issue, assume or guarantee any Indebtedness secured by a Lien, other than Permitted Liens, upon any of our or any of our Subsidiaries’ property, owned on the date of the indenture or thereafter acquired, unless the notes are equally and ratably secured with such Indebtedness until such time as such Indebtedness is no longer secured by such a Lien.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preceding paragraph, we may, and may permit any Subsidiary of ours to, issue, assume or guarantee any Indebtedness secured by a Lien, other than a Permitted Lien, upon any of our or any of our Subsidiaries’ property, without securing the notes; provided that the aggregate principal amount of all Indebtedness of ours and any Subsidiary of ours then outstanding secured by any such Liens (other than Permitted Liens) does not exceed 15% of Consolidated Net Tangible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Consolidation or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not directly or indirectly consolidate with or merge with or into, or sell, assign, transfer, lease, convey or otherwise dispose of all or substantially all of our assets and properties and the assets and properties of our Subsidiaries (taken as a whole) in one or more related transactions to another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(a) we are the survivor; or (b) the Person formed by or surviving any such consolidation or merger (if other than us) or to which such sale, assignment, transfer, lease, conveyance or other disposition has been made is a Person formed, organized or existing under the laws of the United States, any state of the United States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 formed by or surviving any such consolidation or merger (if other than us) or the Person to which such sale, assignment, transfer, lease, conveyance or other disposition has been made expressly assumes by supplemental indenture, in form reasonably satisfactory to the trustee, executed by the successor person and delivered to the trustee, the due and punctual payment of the principal of and any premium and interest on the notes and the performance of all of our obligations under the indenture and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the Person formed by or surviving any such merger will deliver to the trustee an officer’s certificate and an opinion of counsel, each stating that such consolidation, merger, sale, assignment, transfer, lease, conveyance or other disposition and such supplemental indenture (if any) comply with the indenture and that all conditions precedent in the indenture relating to such transaction have been complied with;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such transaction, no Event of Default or event which, after notice or lapse of time, or both, would become an Event of Default, shall have occurred and be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any consolidation by us with or our merger into any other Person or Persons where we are not the survivor or any sale, assignment, transfer, lease, conveyance or other disposition of all or substantially all of our properties and assets and the properties and assets of our Subsidiaries (taken as a whole) to any Person or Persons in accordance herewith, the successor Person formed by such consolidation or into which we are merged or to which such sale, assignment, transfer, lease, conveyance or other disposition is made shall succeed to, and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substituted for, and may exercise every right and power of, us under the indenture with the same effect as if such successor Person had been named as the Company therein; and thereafter, except in the case of a lease, the predecessor Person shall be released from all obligations and covenants under the indenture and the notes. </w:t>
      </w:r>
    </w:p>
    <w:p>
      <w:pPr>
        <w:pStyle w:val="TextBody"/>
        <w:bidi w:val="0"/>
        <w:spacing w:before="240" w:after="0"/>
        <w:jc w:val="left"/>
        <w:rPr>
          <w:rFonts w:ascii="Times New Roman" w:hAnsi="Times New Roman"/>
          <w:sz w:val="20"/>
        </w:rPr>
      </w:pPr>
      <w:r>
        <w:rPr>
          <w:rFonts w:ascii="Times New Roman" w:hAnsi="Times New Roman"/>
          <w:sz w:val="20"/>
        </w:rPr>
        <w:t xml:space="preserve">Although there is a limited body of case law interpreting the phrase “all or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Reports </w:t>
      </w:r>
    </w:p>
    <w:p>
      <w:pPr>
        <w:pStyle w:val="TextBody"/>
        <w:bidi w:val="0"/>
        <w:spacing w:before="120" w:after="0"/>
        <w:jc w:val="left"/>
        <w:rPr>
          <w:rFonts w:ascii="Times New Roman" w:hAnsi="Times New Roman"/>
          <w:sz w:val="20"/>
        </w:rPr>
      </w:pPr>
      <w:r>
        <w:rPr>
          <w:rFonts w:ascii="Times New Roman" w:hAnsi="Times New Roman"/>
          <w:sz w:val="20"/>
        </w:rPr>
        <w:t xml:space="preserve">We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 with the trustee, within 30 days after we have filed the same with the Commission, unless such reports are available on the Commission’s EDGAR filing system (or any successor thereto), copies of the annual reports and of the information, documents, and other reports (or copies of such portions of any of the foregoing as the Commission may from time to time by rules and regulations prescribe) which we may be required to file with the Commission pursuant to Section 13 or Section 15(d) of the Exchange Act; or, if we are not required to file information, documents or reports pursuant to either of said Sections, then we shall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 with the trustee and the Commission, in accordance with rules and regulations prescribed from time to time by the Commission, such additional information, documents and reports with respect to compliance by us with the conditions and covenants of the indenture as may be required from time to time by such rules and regulations;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transmit within 30 days after the filing thereof with the trustee, in the manner and to the extent provided in Section 313(c) of the Trust Indenture Act, such summaries of any information, documents and reports required to be filed by us pursuant to clauses (1) and (2) of this paragraph as may be required by rules and regulations prescribed from time to time by the Commission.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and Remedies </w:t>
      </w:r>
    </w:p>
    <w:p>
      <w:pPr>
        <w:pStyle w:val="TextBody"/>
        <w:bidi w:val="0"/>
        <w:spacing w:before="120" w:after="0"/>
        <w:jc w:val="left"/>
        <w:rPr>
          <w:rFonts w:ascii="Times New Roman" w:hAnsi="Times New Roman"/>
          <w:sz w:val="20"/>
        </w:rPr>
      </w:pPr>
      <w:r>
        <w:rPr>
          <w:rFonts w:ascii="Times New Roman" w:hAnsi="Times New Roman"/>
          <w:sz w:val="20"/>
        </w:rPr>
        <w:t xml:space="preserve">Each of the following is an “Event of Default” with respect to the notes of a series, and any references under “Description of Debt Securities” in the accompanying base prospectus to events of default described in the first paragraph under the heading “Events of Default” therein shall be deemed to be references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for 30 days in the payment when due of any interest on or any additional amount in respect of the notes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the principal of or any premium on the notes of such series when the principal or premium becomes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us duly to observe or perform any other of the covenants or agreements (other than those described in clause (a) or (b) above) in the indenture with respect to the notes of such series, which failure continues for a period of 60 days, or, in the case of the covenant set forth under “— Certain Covenants — Reports” above, which failure continues for a period of 90 days, after the date on which written notice of such failure, requiring the same to be remedied and stating that such notice is a “Notice of Default” has been given to us by the trustee, upon direction of holders of at least 25% in principal amount of then outstanding notes of such series; provided, however, that if such failure is not capable of cure within such 60-day or 90-day period, as the case may be, such 60-day or 90-day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as the case may be, shall be automatically extended by an additional 60 days so long as (i) such failure is subject to cure, and (ii) we are using commercially reasonable efforts to cure such failure; and provided, further, that a failure to comply with any such other agreement in the indenture that results from a change in GAAP shall not be deemed to be an Event of Default;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or reorganization described in the indenture with respect to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case an Event of Default specified in clause (a) or (b) above shall occur and be continuing with respect to the notes of a series, holders of at least 25% in aggregate principal amount of the notes of such series then outstanding may declare the principal to be due and payable. If an Event of Default specified in clause (c) above shall occur and be continuing with respect to the notes of a series, holders of at least a majority in aggregate principal amount of the notes of such series then outstanding may declare the principal to be due and payable. If an Event of Default described in clause (d) above shall occur and be continuing then the principal amount of all the debt securities then outstanding under the indenture shall be and become due and payable automatically, without notice or other action by any holder of such series of notes or the trustee, to the full extent permitted by law. Any past or existing default or Event of Default with respect to the notes of a series may be waived by the holders of a majority in aggregate principal amount of the outstanding notes of such series, except in each case a continuing default (1) in the payment of the principal of, any premium or interest on, or any additional amounts with respect to, any notes of such series, or (2) in respect of a covenant or provision which cannot be modified or amended without the consent of each holder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trustee may withhold notice to the holders of any default with respect to the notes of such series (except in payment of principal of or interest or premium on the notes of such series) if the trustee considers it in the interest of holders to do so. The indenture contains a provision entitling the trustee to be indemnified by the holders before proceeding to exercise any trust or power under the indenture at the request of such holders. The indenture provides that the holders of a majority in aggregate principal amount of the then outstanding notes of such series may direct the time, method and place of conducting any proceedings for any remedy available to the trustee or of exercising any trust or power conferred upon the trustee with respect to the notes of such series; provided, however, that the trustee may decline to follow any such direction if, among other reasons, the trustee determines that the actions or proceedings as directed would be unduly prejudicial to the holders of the notes of such series not joining in such direction. The right of a holder to institute a proceeding with respect to the notes of a series will be subject to certain conditions precedent including, without limitation, that in case of an Event of Default specified in clause (a), (b) or (d) of the first paragraph above under “— Events of Default and Remedies,” holders of at least 25%, or in case of an Event of Default specified in clause (c) of the first paragraph above under “— Events of Default and Remedies,” holders of at least a majority, in aggregate principal amount of the notes of such series then outstanding make a written request upon the trustee to exercise its powers under the indenture, indemnify the trustee and afford the trustee reasonable opportunity to act.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each holder has an absolute right to receipt of the principal of, premium, if any, and interest on and additional amounts with respect to the notes of the applicable series when due and to institute suit for the enforcement thereof. We are required to deliver to the trustee annually a statement regarding compliance with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w:t>
      </w:r>
    </w:p>
    <w:p>
      <w:pPr>
        <w:pStyle w:val="TextBody"/>
        <w:bidi w:val="0"/>
        <w:spacing w:before="120" w:after="0"/>
        <w:jc w:val="left"/>
        <w:rPr>
          <w:rFonts w:ascii="Times New Roman" w:hAnsi="Times New Roman"/>
          <w:sz w:val="20"/>
        </w:rPr>
      </w:pPr>
      <w:r>
        <w:rPr>
          <w:rFonts w:ascii="Times New Roman" w:hAnsi="Times New Roman"/>
          <w:sz w:val="20"/>
        </w:rPr>
        <w:t xml:space="preserve">No director, officer, employee, incorporator, or stockholder will have any liability for any of our obligations under the notes or the indenture,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notes will be governed by, and construed in accordance with, the laws of the State of New York. The Company, the Trustee and each holder by purchase of its notes waives any right it may have under applicable law to trial by jury.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will file the supplemental indenture as an exhibit to a current report on Form 8-K at the completion of this offering. Anyone who receives this prospectus supplement may also obtain a copy of the base indenture or the supplemental indenture without charge by writing to The Williams Companies, Inc., One Williams Center, Tulsa, Oklahoma 74172-0172; Attention: Investor Relations.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Except as set forth below, notes will be issued in registered, global form, without interest coupons, which we refer to as “Global Notes.” Notes will be issued at the closing of this offering only against payment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The Global Notes will be deposited upon issuance with the trustee as custodian for DTC, in New York, New York, and registered in the name of DTC’s nominee, Cede &amp; Co., in each case for credit to an account of a direct or indirect participant in DTC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below, the Global Notes may be transferred, in whole but not in part, only to DTC, to a nominee of DTC or to a successor of DTC or its nominee. Beneficial interests in the Global Notes may not be exchanged for notes in registered, certificated form (“Certificated Notes”) except in the limited circumstances described below. See “— Exchange of Global Notes for Certificated Notes.” Except in the limited circumstances described below, owners of beneficial interests in the Global Notes will not be entitled to receive physical delivery of notes in certificated form. </w:t>
      </w:r>
    </w:p>
    <w:p>
      <w:pPr>
        <w:pStyle w:val="TextBody"/>
        <w:bidi w:val="0"/>
        <w:spacing w:before="240" w:after="0"/>
        <w:jc w:val="left"/>
        <w:rPr>
          <w:rFonts w:ascii="Times New Roman" w:hAnsi="Times New Roman"/>
          <w:sz w:val="20"/>
        </w:rPr>
      </w:pPr>
      <w:r>
        <w:rPr>
          <w:rFonts w:ascii="Times New Roman" w:hAnsi="Times New Roman"/>
          <w:sz w:val="20"/>
        </w:rPr>
        <w:t xml:space="preserve">Transfers of beneficial interests in the Global Notes will be subject to the applicable rules and procedures of DTC and its direct or indirect participants (including, if applicable, those of the Euroclear System (“Euroclear”) and Clearstream Banking, S.A. (“Clearstream”)), which may change from time to time. </w:t>
      </w:r>
    </w:p>
    <w:p>
      <w:pPr>
        <w:pStyle w:val="TextBody"/>
        <w:bidi w:val="0"/>
        <w:spacing w:before="360" w:after="0"/>
        <w:jc w:val="left"/>
        <w:rPr>
          <w:rFonts w:ascii="Times New Roman" w:hAnsi="Times New Roman"/>
          <w:b/>
          <w:sz w:val="20"/>
        </w:rPr>
      </w:pPr>
      <w:r>
        <w:rPr>
          <w:rFonts w:ascii="Times New Roman" w:hAnsi="Times New Roman"/>
          <w:b/>
          <w:sz w:val="20"/>
        </w:rPr>
        <w:t xml:space="preserve">Depositary Procedures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the operations and procedures of DTC is provided solely as a matter of convenience. These operations and procedures are solely within the control of DTC and are subject to changes by it. We take no responsibility for these operations and procedures and urge investors to contact DTC or its participants directly to discuss these matters.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DTC is a limited-purpose trust company created to hold securities for its participating organizations (collectively, the “Participants”) and to facilitate the clearance and settlement of transactions in those securities between Participants through electronic book-entry changes in accounts of its Participants. The Participants include securities brokers and dealers (including the underwriters),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DTC has also advised us that, pursuant to procedures established by 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deposit of the Global Notes, DTC will credit the accounts of the Participants designated by the underwriters with portions of the principal amount of the Global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Investors in the Global Notes who are Participants may hold their interests therein directly through DTC. Investors in the Global Notes who are not Participants may hold their interests therein indirectly through organizations (including Euroclear and Clearstream) which are Participants.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Except as described below, owners of an interest in the Global Notes will not have notes registered in their names, will not receive physical delivery of Certificated Notes and will not be considered the registered owners or “holders” thereof under the indenture for any purpose. </w:t>
      </w:r>
    </w:p>
    <w:p>
      <w:pPr>
        <w:pStyle w:val="TextBody"/>
        <w:bidi w:val="0"/>
        <w:spacing w:before="120" w:after="0"/>
        <w:jc w:val="left"/>
        <w:rPr>
          <w:rFonts w:ascii="Times New Roman" w:hAnsi="Times New Roman"/>
          <w:sz w:val="20"/>
        </w:rPr>
      </w:pPr>
      <w:r>
        <w:rPr>
          <w:rFonts w:ascii="Times New Roman" w:hAnsi="Times New Roman"/>
          <w:sz w:val="20"/>
        </w:rPr>
        <w:t xml:space="preserve">Payments in respect of the principal of, and interest and premium, if any, on a Global Note registered in the name of DTC or its nominee will be payable to DTC in its capacity as the registered holder under the indenture. Under the terms of the indenture, the Company and the trustee will treat the Persons in whose names the notes, including the Global Notes, are registered as the owners of the notes for the purpose of receiving payments and for all other purposes. Consequently, neither the Company, the trustee nor any agent of ours or of the trustee has or will have any responsibility 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matter relating to the actions and practices of DTC or any of its Participants or Indirect Participants.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its current practice, at the due date of any payment in respect of securities such as the notes,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notes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us. Neither we nor the trustee will be liable for any delay by DTC or any of its Participants in identifying the beneficial owners of the notes, and the Company and the trustee may conclusively rely on and will be protected in relying on instructions from DTC or its nominee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Transfers between Participants in DTC will be effected in accordance with DTC’s procedures, and will be settled in same-day funds, and transfers between participants in Euroclear and Clearstream will be effected in accordance with their respective rules and operating procedures.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compliance with the transfer restrictions applicable to the notes described herein, cross-market transfers between the Participants in DTC, on the one hand, and Euroclear or Clearstream participants, on the other hand, will be effected through DTC in accordance with DTC’s rules on behalf of Euroclear or Clearstream, as the case may be, by its depositary;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Certificated Notes, and to distribute such notes to its Participants. </w:t>
      </w:r>
    </w:p>
    <w:p>
      <w:pPr>
        <w:pStyle w:val="TextBody"/>
        <w:bidi w:val="0"/>
        <w:spacing w:before="240" w:after="0"/>
        <w:jc w:val="left"/>
        <w:rPr>
          <w:rFonts w:ascii="Times New Roman" w:hAnsi="Times New Roman"/>
          <w:sz w:val="20"/>
        </w:rPr>
      </w:pPr>
      <w:r>
        <w:rPr>
          <w:rFonts w:ascii="Times New Roman" w:hAnsi="Times New Roman"/>
          <w:sz w:val="20"/>
        </w:rPr>
        <w:t xml:space="preserve">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Neither the Company nor the trustee nor any of their respective agents will have any responsibility for the performance by DTC, Euroclear or Clearstream or their respective Participants or Indirect Participants of their respective obligations under the rules and procedures governing their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of Global Notes for Certificated Notes </w:t>
      </w:r>
    </w:p>
    <w:p>
      <w:pPr>
        <w:pStyle w:val="TextBody"/>
        <w:bidi w:val="0"/>
        <w:spacing w:before="120" w:after="0"/>
        <w:jc w:val="left"/>
        <w:rPr>
          <w:rFonts w:ascii="Times New Roman" w:hAnsi="Times New Roman"/>
          <w:sz w:val="20"/>
        </w:rPr>
      </w:pPr>
      <w:r>
        <w:rPr>
          <w:rFonts w:ascii="Times New Roman" w:hAnsi="Times New Roman"/>
          <w:sz w:val="20"/>
        </w:rPr>
        <w:t xml:space="preserve">A beneficial interest in a Global Note of a series is exchangeable for Certificated Notes of such series in minimum denominations of $2,000 and in integral multiples of $1,000 in excess thereof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or unable to continue as depositary for such Global Notes or that it has ceased to be a clearing agency registered under the Exchange Act and, in either case, we fail to appoint a successor depositary within 90 days after the date of such notice from DTC;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at our option and subject to the procedures of DTC, notify the trustee in writing that we elect to cause the issuance of the Certificated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with respect to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all cases, Certificated Notes delivered in exchange for any Global Note or beneficial interests in Global Notes will be registered in the names, and issued in any approved denominations, requested by or on behalf of the depositary (in accordance with its customary procedures). </w:t>
      </w:r>
    </w:p>
    <w:p>
      <w:pPr>
        <w:pStyle w:val="TextBody"/>
        <w:bidi w:val="0"/>
        <w:spacing w:before="360" w:after="0"/>
        <w:jc w:val="left"/>
        <w:rPr>
          <w:rFonts w:ascii="Times New Roman" w:hAnsi="Times New Roman"/>
          <w:b/>
          <w:sz w:val="20"/>
        </w:rPr>
      </w:pPr>
      <w:r>
        <w:rPr>
          <w:rFonts w:ascii="Times New Roman" w:hAnsi="Times New Roman"/>
          <w:b/>
          <w:sz w:val="20"/>
        </w:rPr>
        <w:t xml:space="preserve">Same-Day Settlement and Payment </w:t>
      </w:r>
    </w:p>
    <w:p>
      <w:pPr>
        <w:pStyle w:val="TextBody"/>
        <w:bidi w:val="0"/>
        <w:spacing w:before="120" w:after="0"/>
        <w:jc w:val="left"/>
        <w:rPr>
          <w:rFonts w:ascii="Times New Roman" w:hAnsi="Times New Roman"/>
          <w:sz w:val="20"/>
        </w:rPr>
      </w:pPr>
      <w:r>
        <w:rPr>
          <w:rFonts w:ascii="Times New Roman" w:hAnsi="Times New Roman"/>
          <w:sz w:val="20"/>
        </w:rPr>
        <w:t xml:space="preserve">We will make payments in respect of the notes represented by the Global Notes (including principal, interest and premium, if any) by wire transfer of immediately available funds to the accounts specified by the Global Note holder. We will make all payments of principal, interest and premium, if any, with respect to Certificated Notes (i) to holders having an aggregate principal amount of $2,000,000 or less, by check mailed to such holder’s registered address or (ii) to holders having an aggregate principal amount of more than $2,000,000, by check mailed to such holder’s registered address or, upon application by a holder to the registrar not later than the relevant record date or in the case of payments of principal or premium, if any, not later than 15 days prior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principal payment date, by wire transfer in immediately available funds to that holder’s account within the United States (subject to surrender of the Certificated Note in the case of payments of principal or premium), which application shall remain in effect until the holder notifies the registrar to the contrary in writing. The notes represented by the Global Notes are expected to be eligible to trade in DTC’s Same-Day Funds Settlement System, and any permitted secondary market trading activity in such notes will, therefore, be required by DTC to be settled in immediately available funds. The Company expects that secondary trading in any Certificated Notes will also be settled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Because of time zone differences, the securities account of a Euroclear or Clearstream participant purchasing an interest in a Global Note from a Participant in DTC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us that cash received in Euroclear or Clearstream as a result of sales of interests in a Global Note by or through a Euroclear or Clearstream participant to a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before="360" w:after="0"/>
        <w:jc w:val="left"/>
        <w:rPr>
          <w:rFonts w:ascii="Times New Roman" w:hAnsi="Times New Roman"/>
          <w:b/>
          <w:sz w:val="20"/>
        </w:rPr>
      </w:pPr>
      <w:r>
        <w:rPr>
          <w:rFonts w:ascii="Times New Roman" w:hAnsi="Times New Roman"/>
          <w:b/>
          <w:sz w:val="20"/>
        </w:rPr>
        <w:t xml:space="preserve">Certain Definitions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are certain defined terms used in the indenture. Reference is made to the indenture for a full disclosure of all such terms, as well as any other capitalized terms used herein for which no definition is provided. </w:t>
      </w:r>
    </w:p>
    <w:p>
      <w:pPr>
        <w:pStyle w:val="TextBody"/>
        <w:bidi w:val="0"/>
        <w:spacing w:before="240" w:after="0"/>
        <w:jc w:val="left"/>
        <w:rPr/>
      </w:pPr>
      <w:r>
        <w:rPr/>
        <w:t>“</w:t>
      </w:r>
      <w:r>
        <w:rPr>
          <w:rFonts w:ascii="Times New Roman" w:hAnsi="Times New Roman"/>
          <w:i/>
          <w:sz w:val="20"/>
        </w:rPr>
        <w:t>Affiliate</w:t>
      </w:r>
      <w:r>
        <w:rPr>
          <w:rFonts w:ascii="Times New Roman" w:hAnsi="Times New Roman"/>
          <w:sz w:val="20"/>
        </w:rPr>
        <w:t xml:space="preserve">” of any specified Person means any other Person directly or indirectly controlling or controlled by or under direct or indirect common control with such specified Person. For purposes of this definition, “control,” when used with respect to any Person, means the power to direct the management and policies of such Person, directly or indirectly, whether through the ownership of voting securities, by contract or otherwise. For purposes of this definition, the terms “controlling,” “controlled by” and “under common control with” have meanings correlative to the foregoing. </w:t>
      </w:r>
    </w:p>
    <w:p>
      <w:pPr>
        <w:pStyle w:val="TextBody"/>
        <w:bidi w:val="0"/>
        <w:spacing w:before="240" w:after="0"/>
        <w:jc w:val="left"/>
        <w:rPr/>
      </w:pPr>
      <w:r>
        <w:rPr/>
        <w:t>“</w:t>
      </w:r>
      <w:r>
        <w:rPr>
          <w:rFonts w:ascii="Times New Roman" w:hAnsi="Times New Roman"/>
          <w:i/>
          <w:sz w:val="20"/>
        </w:rPr>
        <w:t>Board of Directors</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corporation, the board of directors of the corporation or any authorized committee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 limited liability company, the managing member or managing members or board of directors, as applicable, of such limited liability company or any authorized committee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other partnership, the board of directors of the general partner of the partnership or any authorized committee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other Person, the board or committee of such Person serving a similar function. </w:t>
            </w:r>
          </w:p>
        </w:tc>
      </w:tr>
    </w:tbl>
    <w:p>
      <w:pPr>
        <w:pStyle w:val="TextBody"/>
        <w:bidi w:val="0"/>
        <w:spacing w:before="240" w:after="0"/>
        <w:jc w:val="left"/>
        <w:rPr/>
      </w:pPr>
      <w:r>
        <w:rPr/>
        <w:t>“</w:t>
      </w:r>
      <w:r>
        <w:rPr>
          <w:rFonts w:ascii="Times New Roman" w:hAnsi="Times New Roman"/>
          <w:i/>
          <w:sz w:val="20"/>
        </w:rPr>
        <w:t>Business Day</w:t>
      </w:r>
      <w:r>
        <w:rPr>
          <w:rFonts w:ascii="Times New Roman" w:hAnsi="Times New Roman"/>
          <w:sz w:val="20"/>
        </w:rPr>
        <w:t xml:space="preserve">” means each day that is not a Saturday, Sunday or other day on which banking institutions in New York, New York or another place of payment are authorized or required by law, regulation or executive order to close. </w:t>
      </w:r>
    </w:p>
    <w:p>
      <w:pPr>
        <w:pStyle w:val="TextBody"/>
        <w:bidi w:val="0"/>
        <w:spacing w:before="240" w:after="0"/>
        <w:jc w:val="left"/>
        <w:rPr/>
      </w:pPr>
      <w:r>
        <w:rPr/>
        <w:t>“</w:t>
      </w:r>
      <w:r>
        <w:rPr>
          <w:rFonts w:ascii="Times New Roman" w:hAnsi="Times New Roman"/>
          <w:i/>
          <w:sz w:val="20"/>
        </w:rPr>
        <w:t>Capital Stock</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corporation, corporate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association or business entity, any and all shares, interests, participations, rights or other equivalents (however designated) of corporate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partnership or limited liability company, partnership or membership interests (whether general or limited);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interest or participation that confers on a Person the right to receive a share of the profits and losses of, or distributions of assets of, the issuing Person. </w:t>
            </w:r>
          </w:p>
        </w:tc>
      </w:tr>
    </w:tbl>
    <w:p>
      <w:pPr>
        <w:pStyle w:val="TextBody"/>
        <w:bidi w:val="0"/>
        <w:spacing w:before="240" w:after="0"/>
        <w:jc w:val="left"/>
        <w:rPr/>
      </w:pPr>
      <w:r>
        <w:rPr/>
        <w:t>“</w:t>
      </w:r>
      <w:r>
        <w:rPr>
          <w:rFonts w:ascii="Times New Roman" w:hAnsi="Times New Roman"/>
          <w:i/>
          <w:sz w:val="20"/>
        </w:rPr>
        <w:t>Commission</w:t>
      </w:r>
      <w:r>
        <w:rPr>
          <w:rFonts w:ascii="Times New Roman" w:hAnsi="Times New Roman"/>
          <w:sz w:val="20"/>
        </w:rPr>
        <w:t xml:space="preserve">” means the U.S. Securities and Exchange Commission, as from time to time constituted, created under the Exchange Act or any successor agency. </w:t>
      </w:r>
    </w:p>
    <w:p>
      <w:pPr>
        <w:pStyle w:val="TextBody"/>
        <w:bidi w:val="0"/>
        <w:spacing w:before="240" w:after="0"/>
        <w:jc w:val="left"/>
        <w:rPr/>
      </w:pPr>
      <w:r>
        <w:rPr/>
        <w:t>“</w:t>
      </w:r>
      <w:r>
        <w:rPr>
          <w:rFonts w:ascii="Times New Roman" w:hAnsi="Times New Roman"/>
          <w:i/>
          <w:sz w:val="20"/>
        </w:rPr>
        <w:t>Consolidated Net Tangible Assets</w:t>
      </w:r>
      <w:r>
        <w:rPr>
          <w:rFonts w:ascii="Times New Roman" w:hAnsi="Times New Roman"/>
          <w:sz w:val="20"/>
        </w:rPr>
        <w:t xml:space="preserve">” means at any date of determination, the total amount of assets of us and our Subsidiaries after deducting therefrom: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current liabilities (excluding (A) any current liabilities that by their terms are extendable or renewable at the option of the obligor thereon to a time more than 12 months after the time as of which the amount thereof is being computed, and (B) current maturities of long-term debt);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(net of any applicable reserves) of all goodwill, trade names, trademarks, patents, and other like intangible assets, all as set forth, or on a pro forma basis would be set forth, on our consolidated balance sheet for our most recently completed fiscal quarter, prepared in accordance with GAAP. </w:t>
            </w:r>
          </w:p>
        </w:tc>
      </w:tr>
    </w:tbl>
    <w:p>
      <w:pPr>
        <w:pStyle w:val="TextBody"/>
        <w:bidi w:val="0"/>
        <w:spacing w:before="240" w:after="0"/>
        <w:jc w:val="left"/>
        <w:rPr/>
      </w:pPr>
      <w:r>
        <w:rPr/>
        <w:t>“</w:t>
      </w:r>
      <w:r>
        <w:rPr>
          <w:rFonts w:ascii="Times New Roman" w:hAnsi="Times New Roman"/>
          <w:i/>
          <w:sz w:val="20"/>
        </w:rPr>
        <w:t>Domestic Subsidiary</w:t>
      </w:r>
      <w:r>
        <w:rPr>
          <w:rFonts w:ascii="Times New Roman" w:hAnsi="Times New Roman"/>
          <w:sz w:val="20"/>
        </w:rPr>
        <w:t xml:space="preserve">” means any Subsidiary of ours that is incorporated or organized under the laws of the United States of America, any state thereof or the District of Columbia. </w:t>
      </w:r>
    </w:p>
    <w:p>
      <w:pPr>
        <w:pStyle w:val="TextBody"/>
        <w:bidi w:val="0"/>
        <w:spacing w:before="240" w:after="0"/>
        <w:jc w:val="left"/>
        <w:rPr/>
      </w:pPr>
      <w:r>
        <w:rPr/>
        <w:t>“</w:t>
      </w:r>
      <w:r>
        <w:rPr>
          <w:rFonts w:ascii="Times New Roman" w:hAnsi="Times New Roman"/>
          <w:i/>
          <w:sz w:val="20"/>
        </w:rPr>
        <w:t>GAAP</w:t>
      </w:r>
      <w:r>
        <w:rPr>
          <w:rFonts w:ascii="Times New Roman" w:hAnsi="Times New Roman"/>
          <w:sz w:val="20"/>
        </w:rPr>
        <w:t xml:space="preserve">” means generally accepted accounting principles in the United States, which are in effect from time to time. </w:t>
      </w:r>
    </w:p>
    <w:p>
      <w:pPr>
        <w:pStyle w:val="TextBody"/>
        <w:bidi w:val="0"/>
        <w:spacing w:before="240" w:after="0"/>
        <w:jc w:val="left"/>
        <w:rPr/>
      </w:pPr>
      <w:r>
        <w:rPr/>
        <w:t>“</w:t>
      </w:r>
      <w:r>
        <w:rPr>
          <w:rFonts w:ascii="Times New Roman" w:hAnsi="Times New Roman"/>
          <w:i/>
          <w:sz w:val="20"/>
        </w:rPr>
        <w:t>holder</w:t>
      </w:r>
      <w:r>
        <w:rPr>
          <w:rFonts w:ascii="Times New Roman" w:hAnsi="Times New Roman"/>
          <w:sz w:val="20"/>
        </w:rPr>
        <w:t xml:space="preserve">” means a Person in whose name a note is registered. </w:t>
      </w:r>
    </w:p>
    <w:p>
      <w:pPr>
        <w:pStyle w:val="TextBody"/>
        <w:bidi w:val="0"/>
        <w:spacing w:before="240" w:after="0"/>
        <w:jc w:val="left"/>
        <w:rPr/>
      </w:pPr>
      <w:r>
        <w:rPr/>
        <w:t>“</w:t>
      </w:r>
      <w:r>
        <w:rPr>
          <w:rFonts w:ascii="Times New Roman" w:hAnsi="Times New Roman"/>
          <w:i/>
          <w:sz w:val="20"/>
        </w:rPr>
        <w:t>Indebtedness</w:t>
      </w:r>
      <w:r>
        <w:rPr>
          <w:rFonts w:ascii="Times New Roman" w:hAnsi="Times New Roman"/>
          <w:sz w:val="20"/>
        </w:rPr>
        <w:t>” means, with respect to any specified Person, any obligation created or assumed by such Person, whether or not contingent, for the repayment of money borrowed from others or any guarantee thereof. “</w:t>
      </w:r>
      <w:r>
        <w:rPr>
          <w:rFonts w:ascii="Times New Roman" w:hAnsi="Times New Roman"/>
          <w:i/>
          <w:sz w:val="20"/>
        </w:rPr>
        <w:t>International Subsidiary</w:t>
      </w:r>
      <w:r>
        <w:rPr>
          <w:rFonts w:ascii="Times New Roman" w:hAnsi="Times New Roman"/>
          <w:sz w:val="20"/>
        </w:rPr>
        <w:t xml:space="preserve">” means each Subsidiary of ours other than a Domestic Subsidiary. </w:t>
      </w:r>
    </w:p>
    <w:p>
      <w:pPr>
        <w:pStyle w:val="TextBody"/>
        <w:bidi w:val="0"/>
        <w:spacing w:before="240" w:after="0"/>
        <w:jc w:val="left"/>
        <w:rPr/>
      </w:pPr>
      <w:r>
        <w:rPr/>
        <w:t>“</w:t>
      </w:r>
      <w:r>
        <w:rPr>
          <w:rFonts w:ascii="Times New Roman" w:hAnsi="Times New Roman"/>
          <w:i/>
          <w:sz w:val="20"/>
        </w:rPr>
        <w:t>Joint Venture</w:t>
      </w:r>
      <w:r>
        <w:rPr>
          <w:rFonts w:ascii="Times New Roman" w:hAnsi="Times New Roman"/>
          <w:sz w:val="20"/>
        </w:rPr>
        <w:t xml:space="preserve">” means any Person that is not a direct or indirect Subsidiary of ours in which we or any of our Subsidiaries owns any Capital Stock. </w:t>
      </w:r>
    </w:p>
    <w:p>
      <w:pPr>
        <w:pStyle w:val="TextBody"/>
        <w:bidi w:val="0"/>
        <w:spacing w:before="240" w:after="0"/>
        <w:jc w:val="left"/>
        <w:rPr/>
      </w:pPr>
      <w:r>
        <w:rPr/>
        <w:t>“</w:t>
      </w:r>
      <w:r>
        <w:rPr>
          <w:rFonts w:ascii="Times New Roman" w:hAnsi="Times New Roman"/>
          <w:i/>
          <w:sz w:val="20"/>
        </w:rPr>
        <w:t>Lien</w:t>
      </w:r>
      <w:r>
        <w:rPr>
          <w:rFonts w:ascii="Times New Roman" w:hAnsi="Times New Roman"/>
          <w:sz w:val="20"/>
        </w:rPr>
        <w:t xml:space="preserve">” means any mortgage, pledge, lien, security interest or other similar encumbrance. </w:t>
      </w:r>
    </w:p>
    <w:p>
      <w:pPr>
        <w:pStyle w:val="TextBody"/>
        <w:bidi w:val="0"/>
        <w:spacing w:before="240" w:after="0"/>
        <w:jc w:val="left"/>
        <w:rPr/>
      </w:pPr>
      <w:r>
        <w:rPr/>
        <w:t>“</w:t>
      </w:r>
      <w:r>
        <w:rPr>
          <w:rFonts w:ascii="Times New Roman" w:hAnsi="Times New Roman"/>
          <w:i/>
          <w:sz w:val="20"/>
        </w:rPr>
        <w:t>Non-Recourse Indebtedness</w:t>
      </w:r>
      <w:r>
        <w:rPr>
          <w:rFonts w:ascii="Times New Roman" w:hAnsi="Times New Roman"/>
          <w:sz w:val="20"/>
        </w:rPr>
        <w:t xml:space="preserve">” means any Indebtedness incurred by any Joint Venture or Non-Recourse Subsidiary which does not provide for recourse against us or any Subsidiary of ours (other than a Non-Recourse Subsidiary) or any property or asset of ours or any Subsidiary of ours (other than the Capital Stock or the properties or assets of a Joint Venture or Non-Recourse Subsidiary). </w:t>
      </w:r>
    </w:p>
    <w:p>
      <w:pPr>
        <w:pStyle w:val="TextBody"/>
        <w:bidi w:val="0"/>
        <w:spacing w:before="240" w:after="0"/>
        <w:jc w:val="left"/>
        <w:rPr/>
      </w:pPr>
      <w:r>
        <w:rPr/>
        <w:t>“</w:t>
      </w:r>
      <w:r>
        <w:rPr>
          <w:rFonts w:ascii="Times New Roman" w:hAnsi="Times New Roman"/>
          <w:i/>
          <w:sz w:val="20"/>
        </w:rPr>
        <w:t>Non-Recourse Subsidiary</w:t>
      </w:r>
      <w:r>
        <w:rPr>
          <w:rFonts w:ascii="Times New Roman" w:hAnsi="Times New Roman"/>
          <w:sz w:val="20"/>
        </w:rPr>
        <w:t xml:space="preserve">” means any Subsidiary of ours (i) whose principal purpose is to incur Non-Recourse Indebtedness and/or construct, lease, own or operate the assets financed thereby, or to become a direct or indirect partner, member or other equity participant or owner in a partnership, limited partnership, limited liability partnership, corporation (including a business trust), limited liability company, unlimited liability company, joint stock company, trust, unincorporated association or joint venture created for such purpose (collectively, a “Business Entity”), (ii) who is not an obligor or otherwise bound with respect to any Indebtedness other than Non-Recourse Indebtedness, (iii) substantially all the assets of which Subsidiary or Business Entity are limited to (x) those assets being financed (or to be financed), or the operation of which is being financed (or to be financed), in whole or in part by Non-Recourse Indebtedness or (y) Capital Stock in, or Indebtedness or other obligations of, one or more other Non-Recourse Subsidiaries or Business Entities and (iv) any Subsidiary of a Non-Recourse Subsidiary; provided that such Subsidiary shall be considered to be a Non-Recourse Subsidiary only to the extent that and for so long as each of the above requirements are met. </w:t>
      </w:r>
    </w:p>
    <w:p>
      <w:pPr>
        <w:pStyle w:val="TextBody"/>
        <w:bidi w:val="0"/>
        <w:spacing w:before="240" w:after="0"/>
        <w:jc w:val="left"/>
        <w:rPr/>
      </w:pPr>
      <w:r>
        <w:rPr/>
        <w:t>“</w:t>
      </w:r>
      <w:r>
        <w:rPr>
          <w:rFonts w:ascii="Times New Roman" w:hAnsi="Times New Roman"/>
          <w:i/>
          <w:sz w:val="20"/>
        </w:rPr>
        <w:t>Par Call Date</w:t>
      </w:r>
      <w:r>
        <w:rPr>
          <w:rFonts w:ascii="Times New Roman" w:hAnsi="Times New Roman"/>
          <w:sz w:val="20"/>
        </w:rPr>
        <w:t xml:space="preserve">” means, with respect to the 2029 notes, September 15, 2029, with respect to the 2033 notes, July 15, 2033, with respect to the 2036 notes, June 15, 2036, and, with respect to the 2056 notes, March 15, 2056.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Permitted International Debt</w:t>
      </w:r>
      <w:r>
        <w:rPr>
          <w:rFonts w:ascii="Times New Roman" w:hAnsi="Times New Roman"/>
          <w:sz w:val="20"/>
        </w:rPr>
        <w:t xml:space="preserve">” means Indebtedness of any International Subsidiary for which neither we nor any Domestic Subsidiary, directly or indirectly, provides any guarantee or other credit support and which is secured, if at all, only by pledges of or Liens on assets (i) held by an International Subsidiary on the date of the indenture, (ii) acquired by an International Subsidiary from a Person not constituting an Affiliate or (iii) acquired by an International Subsidiary from us, any Domestic Subsidiary or other Affiliate on terms that, in the good faith judgment of our Board of Directors, are no less favorable to us or the relevant Domestic Subsidiary or other Affiliate than those that would have been obtained in a comparable transaction by us or such Domestic Subsidiary or other Affiliate with an unrelated Person or, if in the good faith judgment of our Board of Directors, no comparable transaction is available with which to compare such transaction, such transaction is otherwise fair to us or the relevant Domestic Subsidiary or other Affiliate from a financial point of view. </w:t>
      </w:r>
    </w:p>
    <w:p>
      <w:pPr>
        <w:pStyle w:val="TextBody"/>
        <w:bidi w:val="0"/>
        <w:spacing w:before="240" w:after="0"/>
        <w:jc w:val="left"/>
        <w:rPr/>
      </w:pPr>
      <w:r>
        <w:rPr/>
        <w:t>“</w:t>
      </w:r>
      <w:r>
        <w:rPr>
          <w:rFonts w:ascii="Times New Roman" w:hAnsi="Times New Roman"/>
          <w:i/>
          <w:sz w:val="20"/>
        </w:rPr>
        <w:t>Permitted Liens</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 existing on any property at the time of the acquisition thereof and not created in contemplation of such acquisition by us or any of our Subsidiaries, whether or not assumed by us or any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 existing on any property of a Subsidiary of ours at the time it becomes a Subsidiary of ours and not created in contemplation thereof and any Lien existing on any property of any Person at the time such Person is merged or liquidated into or consolidated with us or any Subsidiary of ours and not created in contemplation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money and analogous Liens incurred in connection with the acquisition, development, construction, improvement, repair or replacement of property (including such Liens securing Indebtedness incurred within 12 months of the date on which such property was acquired, developed, constructed, improved, repaired or replaced); provided that all such Liens attach only to the property acquired, developed, constructed, improved, repaired or replaced and the principal amount of the Indebtedness secured by such Lien shall not exceed the gross cost of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Liens created or assumed to secure Indebtedness of ours or of any Subsidiary of ours maturing within 12 months of the date of creation thereof and not renewable or extendible by the terms thereof at the option of the obligor beyond such 12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accounts receivable and related proceeds thereof arising in connection with a receivables financing and any Lien held by the purchaser of receivables derived from property or assets sold by us or any Subsidiary of ours and securing such receivables resulting from the exercise of any rights arising out of defaults on such receivables;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leases constituting Liens existing on the date of the indenture or thereafter existing and any renewals or extensions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 securing industrial development, pollution control or similar revenue bonds;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existing on the date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 favor of us or any Subsidiary of ours;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securing Indebtedness incurred to refund, extend, refinance or otherwise replace Indebtedness (“Refinanced Indebtedness”) secured by a Lien permitted to be incurred under the indenture; provided that the principal amount of such Refinanced Indebtedness does not exceed the principal amount of Indebtedness refinanced (plus the amount of penalties, premiums, fees, accrued interest and reasonable expenses incurred therewith) at the time of refinancing;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any assets or properties, or pledges of the Capital Stock, of (a) any Joint Venture owned by us or any Subsidiary of ours or (b) any Non-Recourse Subsidiary, in each case only to the extent securing Non-Recourse Indebtedness of such Joint Venture or Non-Recourse Subsidiary;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the products and proceeds (including insurance, condemnation, and eminent domain proceeds) of and accessions to, and contract or other rights (including rights under insurance policies and product warranties) derivative of or relating to, property permitted by the indenture to be subject to Liens but subject to the same restrictions and limitations set forth in the indenture as to Liens on such property (including the requirement that such Liens on products, proceeds, accessions, and rights secure only obligations that such property is permitted to secure);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Liens securing Indebtedness neither assumed nor guaranteed by us or any Subsidiary of ours nor on which we or they customarily pay interest, existing upon real estate or rights in or relating to real estate (including rights-of-way and easements) acquired by us or such Subsidiary, which mortgage Liens do not materially impair the use of such property for the purposes for which it is held by us or such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 existing or hereafter created on any office equipment, data processing equipment (including computer and computer peripheral equipment) or transportation equipment (including motor vehicles, aircraft, and marine vessels);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(15)</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undetermined Liens and charges incidental to construction or maintenance;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 created or assumed by us or any Subsidiary of ours on oil, gas, coal or other mineral or timber property owned by us or a Subsidiary of ours;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 created by us or any Subsidiary of ours on any contract (or any rights thereunder or proceeds therefrom) providing for advances by us or such Subsidiary to finance gas exploration and development, which Lien is created to secure Indebtedness incurred to finance such advances;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Lien granted in connection with a cash collateralization or similar arrangement to secure obligations of ours or any Subsidiary of ours to issuing banks in connection with letters of credits issued at the request of us or any Subsidiary of ours;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cash deposits in the nature of a right of setoff, banker’s lien, counterclaim or netting of cash amounts owed arising in the ordinary course of business on deposit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securing Permitted International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not otherwise permitted so long as the aggregate outstanding principal amount of the Indebtedness secured thereby does not exceed $10,000,000 at any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occurring in, arising from, or associated with Specified Escrow Arrangements. </w:t>
            </w:r>
          </w:p>
        </w:tc>
      </w:tr>
    </w:tbl>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any individual, corporation, partnership, joint venture, association, joint-stock company, trust, unincorporated organization, limited liability company or government or any agency or political subdivision thereof. </w:t>
      </w:r>
    </w:p>
    <w:p>
      <w:pPr>
        <w:pStyle w:val="TextBody"/>
        <w:bidi w:val="0"/>
        <w:spacing w:before="240" w:after="0"/>
        <w:jc w:val="left"/>
        <w:rPr/>
      </w:pPr>
      <w:r>
        <w:rPr/>
        <w:t>“</w:t>
      </w:r>
      <w:r>
        <w:rPr>
          <w:rFonts w:ascii="Times New Roman" w:hAnsi="Times New Roman"/>
          <w:i/>
          <w:sz w:val="20"/>
        </w:rPr>
        <w:t>Specified Escrow Arrangements</w:t>
      </w:r>
      <w:r>
        <w:rPr>
          <w:rFonts w:ascii="Times New Roman" w:hAnsi="Times New Roman"/>
          <w:sz w:val="20"/>
        </w:rPr>
        <w:t xml:space="preserve">” means cash deposits at one or more financial institutions for the purpose of funding any potential shortfall in the daily net cash position of us or any of our Subsidiaries.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with respect to any specified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corporation, association or other business entity (other than a partnership or limited liability company) of which more than 50% of the total voting power of Voting Stock is at the time owned or controlled, directly or indirectly, by that Person or one or more of the other Subsidiaries of that Person (or a combination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partnership (whether general or limited) or limited liability company (a) the sole general partner or member of which is such Person or a Subsidiary of such Person or (b) if there is more than a single general partner or member, either (x) the only managing general partners or managing members of which are such Person or one or more Subsidiaries of such Person (or any combination thereof)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(y) such Person owns or controls, directly or indirectly, a majority of the outstanding general partner interests, member interests or other Voting Stock of such partnership or limited liability company, respectively. </w:t>
            </w:r>
          </w:p>
        </w:tc>
      </w:tr>
    </w:tbl>
    <w:p>
      <w:pPr>
        <w:pStyle w:val="TextBody"/>
        <w:bidi w:val="0"/>
        <w:spacing w:before="240" w:after="0"/>
        <w:jc w:val="left"/>
        <w:rPr/>
      </w:pPr>
      <w:r>
        <w:rPr/>
        <w:t>“</w:t>
      </w:r>
      <w:r>
        <w:rPr>
          <w:rFonts w:ascii="Times New Roman" w:hAnsi="Times New Roman"/>
          <w:i/>
          <w:sz w:val="20"/>
        </w:rPr>
        <w:t>Voting Stock</w:t>
      </w:r>
      <w:r>
        <w:rPr>
          <w:rFonts w:ascii="Times New Roman" w:hAnsi="Times New Roman"/>
          <w:sz w:val="20"/>
        </w:rPr>
        <w:t xml:space="preserve">” of any Person as of any date means the Capital Stock of such Person that is at the time entitled (without regard to the occurrence of any contingency) to vote in the election of the Board of Directors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supptoc110651_8"/>
      <w:bookmarkEnd w:id="10"/>
      <w:r>
        <w:rPr>
          <w:rFonts w:ascii="Times New Roman" w:hAnsi="Times New Roman"/>
          <w:b/>
          <w:sz w:val="20"/>
        </w:rPr>
        <w:t xml:space="preserve">DESCRIPTION OF OTHER INDEBTEDNESS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descriptions constitute a summary of certain provisions of our other indebtedness. They do not restate the governing instruments in their entirety. We urge you to read the governing instruments in their entirety. </w:t>
      </w:r>
    </w:p>
    <w:p>
      <w:pPr>
        <w:pStyle w:val="TextBody"/>
        <w:bidi w:val="0"/>
        <w:spacing w:before="360" w:after="0"/>
        <w:jc w:val="left"/>
        <w:rPr>
          <w:rFonts w:ascii="Times New Roman" w:hAnsi="Times New Roman"/>
          <w:b/>
          <w:sz w:val="20"/>
        </w:rPr>
      </w:pPr>
      <w:r>
        <w:rPr>
          <w:rFonts w:ascii="Times New Roman" w:hAnsi="Times New Roman"/>
          <w:b/>
          <w:sz w:val="20"/>
        </w:rPr>
        <w:t xml:space="preserve">Credit Facilities </w:t>
      </w:r>
    </w:p>
    <w:p>
      <w:pPr>
        <w:pStyle w:val="TextBody"/>
        <w:bidi w:val="0"/>
        <w:spacing w:before="120" w:after="0"/>
        <w:jc w:val="left"/>
        <w:rPr>
          <w:rFonts w:ascii="Times New Roman" w:hAnsi="Times New Roman"/>
          <w:sz w:val="20"/>
        </w:rPr>
      </w:pPr>
      <w:r>
        <w:rPr>
          <w:rFonts w:ascii="Times New Roman" w:hAnsi="Times New Roman"/>
          <w:sz w:val="20"/>
        </w:rPr>
        <w:t xml:space="preserve">On May 19, 2026, we along with Transco and Northwest Pipeline, entered into a second amended and restated credit agreement (the “Revolving Credit Agreement”) with the lenders named therein and the administrative agent that provides for aggregate commitments of up to $3.75 billion, with the ability to increase such commitments by up to an additional $500 million under certain circumstances, not to exceed $4.25 billion in total. The Revolving Credit Agreement was effective on May 19, 2026 and matures on May 19, 2031, and permits an additional one-year maturity extension up to two times, subject to specified conditions. The Revolving Credit Agreement also permits swing line loans of up to $200 million and letters of credit commitments of up to $500 million. Transco and Northwest Pipeline are each able to borrow up to $500 million under the Revolving Credit Agreement, subject to availability. </w:t>
      </w:r>
    </w:p>
    <w:p>
      <w:pPr>
        <w:pStyle w:val="TextBody"/>
        <w:bidi w:val="0"/>
        <w:spacing w:before="240" w:after="0"/>
        <w:jc w:val="left"/>
        <w:rPr>
          <w:rFonts w:ascii="Times New Roman" w:hAnsi="Times New Roman"/>
          <w:sz w:val="20"/>
        </w:rPr>
      </w:pPr>
      <w:r>
        <w:rPr>
          <w:rFonts w:ascii="Times New Roman" w:hAnsi="Times New Roman"/>
          <w:sz w:val="20"/>
        </w:rPr>
        <w:t xml:space="preserve">On May 19, 2026, we along with Transco and Northwest Pipeline, also entered into a 364-day credit agreement (the “364-Day Credit Agreement,” and together with the Revolving Credit Agreement, the “Credit Agreements”) with the lenders named therein and the administrative agent that provides for aggregate commitments of up to $1 billion with the ability to increase such commitments by up to an additional $150 million under certain circumstances. However, at no time may the aggregate commitments under the 364-Day Credit Agreement exceed $1.15 billion. The facility made available on a revolving basis under the 364-Day Credit Agreement matures on May 18, 2027 (the “364-Day Maturity Date”). The borrowers may request, prior to the 364-Day Maturity Date, that the revolving loans under the 364-Day Credit Agreement be converted on the 364-Day Maturity Date into term loans that mature one year after the 364-Day Maturity Date, subject to certain conditions. Transco and Northwest Pipeline are each subject to a $100 million borrowing sublimit under the 364-Day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Credit Agreements contain the following terms and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Various covenants may limit, among other things, a borrower’s and its material subsidiaries’ ability to grant certain liens supporting indebtedness, merge or consolidate, sell all or substantially all of its assets in certain circumstances, make certain distributions during an event of default, and each borrower and each borrower’s respective material subsidiaries’ ability to enter into certain restrictive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 event of default with respect to a borrower occurs under the Credit Agreements, the lenders will be able to terminate the commitments for the respective borrowers under the applicable Credit Agreement and accelerate the maturity of the loans of the defaulting borrower under the applicable Credit Agreement and exercise other rights and remedies.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swing line loans, each time funds are borrowed, the applicable borrower may choose from two methods of calculating interest based on either a fluctuating or periodic fixed base rate, plus an applicable margin. We are required to pay a commitment fee based on the unused portion of the applicable Credit Agreements. The applicable margin is determined by reference to a pricing schedule based on the applicable borrower’s senior unsecured long-term debt ratings and the commitment fee is determined by reference to a pricing schedule based on our senior unsecured long-term debt ratings.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Significant financial covenants under the Credit Agreements require our ratio of debt to EBITDA (earnings before interest, taxes, depreciation, and amortization), each as defined therein, to be no greater than 5.0 to 1.0, except that for any fiscal quarter in which the funding of the purchase price for an acquisition (whether effectuated as one or a series of related transactions) with an aggregate purchase price of $25 million or more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been effected, and the following two fiscal quarters (in each case subject to certain limitations), the ratio of debt to EBITDA is to be no greater than 5.5 to 1.0. The ratio of debt to capitalization (defined as net worth plus debt), each as defined therein, must be no greater than 65 percent for each of Transco and Northwest Pipeline. </w:t>
      </w:r>
    </w:p>
    <w:p>
      <w:pPr>
        <w:pStyle w:val="TextBody"/>
        <w:bidi w:val="0"/>
        <w:spacing w:before="240" w:after="0"/>
        <w:jc w:val="left"/>
        <w:rPr>
          <w:rFonts w:ascii="Times New Roman" w:hAnsi="Times New Roman"/>
          <w:sz w:val="20"/>
        </w:rPr>
      </w:pPr>
      <w:r>
        <w:rPr>
          <w:rFonts w:ascii="Times New Roman" w:hAnsi="Times New Roman"/>
          <w:sz w:val="20"/>
        </w:rPr>
        <w:t xml:space="preserve">At June 30, 2026, we had no indebtedness outstanding under the Credit Agreements and no letters of credit had been issued under the Revolving Credit Agreement. We have issued letters of credit totaling $15 million as of June 30, 2026 under certain bilateral bank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Commercial Paper Program </w:t>
      </w:r>
    </w:p>
    <w:p>
      <w:pPr>
        <w:pStyle w:val="TextBody"/>
        <w:bidi w:val="0"/>
        <w:spacing w:before="120" w:after="0"/>
        <w:jc w:val="left"/>
        <w:rPr>
          <w:rFonts w:ascii="Times New Roman" w:hAnsi="Times New Roman"/>
          <w:sz w:val="20"/>
        </w:rPr>
      </w:pPr>
      <w:r>
        <w:rPr>
          <w:rFonts w:ascii="Times New Roman" w:hAnsi="Times New Roman"/>
          <w:sz w:val="20"/>
        </w:rPr>
        <w:t xml:space="preserve">On August 10, 2018, we entered into a $4 billion commercial paper program. Effective October 8, 2021, we reduced the size of our commercial paper program to $3.5 billion. The maturities of the commercial paper notes vary but may not exceed 397 days from the date of issuance. The commercial paper notes are sold under customary terms in the commercial paper market and are issued at a discount from par, or, alternatively, are sold at par and bear varying interest rates on a fixed or floating basis. The net proceeds of issuances of the commercial paper notes are used to fund planned capital expenditures and for other general corporate purposes. At June 30, 2026, we had $475 million commercial paper outstanding, and at September 4, 2026, we had approximately $910 million of commercial paper outstanding under our $3.5 billion commercial paper program. </w:t>
      </w:r>
    </w:p>
    <w:p>
      <w:pPr>
        <w:pStyle w:val="TextBody"/>
        <w:bidi w:val="0"/>
        <w:spacing w:before="360" w:after="0"/>
        <w:jc w:val="left"/>
        <w:rPr>
          <w:rFonts w:ascii="Times New Roman" w:hAnsi="Times New Roman"/>
          <w:b/>
          <w:sz w:val="20"/>
        </w:rPr>
      </w:pPr>
      <w:r>
        <w:rPr>
          <w:rFonts w:ascii="Times New Roman" w:hAnsi="Times New Roman"/>
          <w:b/>
          <w:sz w:val="20"/>
        </w:rPr>
        <w:t xml:space="preserve">Williams Notes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The Williams Companies, Inc. had outstanding a total of approximately $23.5 billion aggregate principal face amount of senior unsecured debt issues with various interest rates from 2.600% to 8.750% and maturities ranging from 2027 to 2056 (collectively, the “Williams Notes”).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Williams Notes are governed by indentures that contain covenants that, among other things, limit (1) our ability and the ability of our subsidiaries to incur liens on assets to secure certain debt and (2) certain mergers or consolidations and transfers of assets. The indentures also contain customary events of default, upon which the trustee or the holders of the Williams Notes may declare all outstanding Williams Notes to be due and payable immediately. </w:t>
      </w:r>
    </w:p>
    <w:p>
      <w:pPr>
        <w:pStyle w:val="TextBody"/>
        <w:bidi w:val="0"/>
        <w:spacing w:before="240" w:after="0"/>
        <w:jc w:val="left"/>
        <w:rPr>
          <w:rFonts w:ascii="Times New Roman" w:hAnsi="Times New Roman"/>
          <w:sz w:val="20"/>
        </w:rPr>
      </w:pPr>
      <w:r>
        <w:rPr>
          <w:rFonts w:ascii="Times New Roman" w:hAnsi="Times New Roman"/>
          <w:sz w:val="20"/>
        </w:rPr>
        <w:t xml:space="preserve">We may redeem the Williams Notes at our option in whole or in part at any time or from time to time prior to the respective maturity dates, at the applicable redemption prices described in the indentures governing the Williams Notes. We are not required to make mandatory redemption or sinking fund payments with respect to the Williams Notes or to repurchase the Williams Notes at the option of the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Transco and Northwest Pipeline Indebtedness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Notes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Transco had outstanding a total of $4.9 billion aggregate principal face amount of senior unsecured debt issues with various interest rates from 3.250% to 7.250% and maturities ranging from 2026 to 2056 (all such notes, the “Transco Notes”). As of June 30, 2026, Northwest Pipeline had outstanding a total of $500 million aggregate principal face amount of 4.000% senior unsecured notes that mature in 2027 (the “Northwest Pipeline Notes”).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governing the Transco Notes and the Northwest Pipeline Notes contain covenants that, among other things, limit Transco and Northwest Pipeline’s ability to (1) incur liens securing indebtedness, (2) engage in certain sale and lease-back transactions and (3) consolidate, merge, transfer or lease assets. The indentures also contain customary events of default including non-payment of principal or interest, failure to comply with covenants, and certain bankruptcy or insolvency events. All of the Transco Notes and Northwest Pipeline Notes may be redeemed, in whole or in part, at any time and from time to time, as provided in the indentures governing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Northwest Pipeline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1, 2025 (the “Effective Date”), Northwest Pipeline entered into a Credit Agreement (the “NWP Credit Agreement”) with the lenders named therein and PNC Bank, National Association, as administrative agent. The NWP Credit Agreement proceeds were made available to be used (i) to refinance the outstanding indebtedness of Northwest Pipeline under its 7.125% Debentures due December 1, 2025 on the Effective Date and (ii) for working capital, acquisitions, capital expenditures and other general corporate or limited liability company purposes. Northwest Pipeline borrowed $250 million under the NWP Credit Agreement as term loans made on the Effective Date. The term loans made available under the NWP Credit Agreement mature on the third anniversary of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Interest on borrowings under the NWP Credit Agreement is payable at rates equal to: (1) for ABR Borrowings (as defined in the NWP Credit Agreement), the Alternate Base Rate (as defined in the NWP Credit Agreement) for each day plus the Applicable Rate (as defined in the NWP Credit Agreement), and (2) for SOFR Borrowings (as defined in the NWP Credit Agreement), the Adjusted Term SOFR rate for the interest period in effect for such borrowing plus the Applicable Rate. The applicable rates are determined by reference to a pricing schedule based on Northwest Pipeline’s senior unsecured debt ratings. Under the NWP Credit Agreement Northwest Pipeline is required to maintain a ratio of debt to capitalization (defined as net worth plus debt) of no greater than 65%. This ratio will be tested at the end of each fiscal quarter. </w:t>
      </w:r>
    </w:p>
    <w:p>
      <w:pPr>
        <w:pStyle w:val="TextBody"/>
        <w:bidi w:val="0"/>
        <w:spacing w:before="240" w:after="0"/>
        <w:jc w:val="left"/>
        <w:rPr>
          <w:rFonts w:ascii="Times New Roman" w:hAnsi="Times New Roman"/>
          <w:sz w:val="20"/>
        </w:rPr>
      </w:pPr>
      <w:r>
        <w:rPr>
          <w:rFonts w:ascii="Times New Roman" w:hAnsi="Times New Roman"/>
          <w:sz w:val="20"/>
        </w:rPr>
        <w:t xml:space="preserve">The NWP Credit Agreement contains customary representations and warranties and affirmative, negative and financial covenants which were made only for the purposes of the NWP Credit Agreement and as of the specific date (or dates) set forth therein, and may be subject to certain limitations as agreed upon by the contracting parties. The NWP Credit Agreement contains various covenants that limit, among other things, Northwest Pipeline’s and its material subsidiaries’ ability to grant certain liens supporting indebtedness, Northwest Pipeline’s ability to merge or consolidate, sell all or substantially all of its assets in certain circumstances, make certain distributions during an event of default, and Northwest Pipeline’s and its respective material subsidiaries’ ability to enter into certain restrictive agreements. The NWP Credit Agreement includes customary events of default. If an event of default occurs, the lenders will be able to accelerate the maturity of the loans under the NWP Credit Agreement and exercise other rights and remedies.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Obligations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Transco had outstanding a total of approximately $1.06 billion of other financing obligations consisting of (1) approximately $741 million of funding from a partner for its proportionate share of construction costs related to its undivided ownership interest in construction of Transco’s Atlantic Sunrise project, (2) approximately $73 million of funding from a partner for its proportionate share of construction costs related to its undivided ownership interest in construction of Transco’s Leidy South project, and (3) approximately $245 million of funding from a partner for its proportionate share of construction costs related to its undivided ownership interest in construction of Transco’s Dalton project. Amounts received were recorded within noncurrent liabilities and the costs associated with construction were capitalized in our Consolidated Balance Sheet. Upon placing these projects into service Transco began utilizing the partners’ undivided interest in the assets, including the associated pipeline capacity, and reclassified the funding previously received from its partners from noncurrent liabilities to debt. The obligations, which mature in 2038, 2041, and 2052, respectively, require monthly interest and principal payments and bear interest rates of approximately 9 percent, 13 percent, and 9 percent,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MountainWest Indebtedness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MountainWest or its subsidiaries had outstanding a total of $430 million aggregate principal amount of long-term indebtedness with various interest rates ranging from 3.530% to 4.875% and maturities from 2028 to 2041 (the “MountainWest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indentures or agreements governing the MountainWest Notes contain covenants that, among other things, limit the issuing entity’s ability to (1) incur liens securing indebtedness, (2) engage in certain sale and lease-back transactions, (3) consolidate, merge, transfer or lease assets, and (4) engage in certain transactions with affiliates other than its parent, subsidiaries, or subsidiaries of its parent. These documents also contain customary events of default including non-payment of principal or interest, failure to comply with covenants, and certain bankruptcy or insolvency events. The MountainWest Notes may be redeemed, in whole or in part, at any time and from time to time, as provided in the indentures or agreements governing such notes. Additionally, the note purchase agreement governing the 2018 Series A 3.53% Senior Notes due January 31, 2028 and 2018 Series B 3.91% Senior Notes due January 31, 2038 issued by a subsidiary of MountainWest requires that the issuer offer to prepay such notes in connection with certain negative ratings actions occurring within 120 days of a change of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supptoc110651_9"/>
      <w:bookmarkEnd w:id="11"/>
      <w:r>
        <w:rPr>
          <w:rFonts w:ascii="Times New Roman" w:hAnsi="Times New Roman"/>
          <w:b/>
          <w:sz w:val="20"/>
        </w:rPr>
        <w:t xml:space="preserve">CERTAIN MATERIAL U.S. FEDERAL INCOME TAX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certain material U.S. federal income tax consequences of the acquisition, ownership, and disposition of the notes. It is based on provisions of the Internal Revenue Code of 1986, as amended (the “Code”), existing and proposed Treasury regulations promulgated thereunder (the “Treasury Regulations”), and administrative and judicial interpretations thereof, all as of the date hereof and all of which are subject to change, possibly on a retroactive basis. No ruling from the Internal Revenue Service (the “IRS”) has been or will be sought with respect to the acquisition, ownership, and disposition of the notes. Accordingly, no assurance can be given that the IRS will agree with the views expressed in this summary, or that a court will not sustain any challenge by the IRS in the event of litigation. The following applies to holders of notes who are the initial holder of the notes and acquire the notes for an amount of cash equal to their issue price, which is an amount equal to the first price at which a substantial amount of the notes is sold for cash to the public (not including bond houses, brokers, or similar persons or organizations acting in the capacity of underwriters, placement agents, or wholesalers), and that are held as capital assets (i.e., generally, property held for investment).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address all of the U.S. federal income tax consequences that may be relevant to particular holders in light of their personal circumstances, or to certain types of holders that may be subject to special tax treatment (such as banks and other financial institutions, employee stock ownership plans, partnerships or other pass-through entities for U.S. federal income tax purposes, certain former citizens or residents of the United States, controlled foreign corporations, foreign controlled foreign corporations, corporations that accumulate earnings to avoid U.S. federal income tax, insurance companies, tax-exempt organizations, regulated investment companies, real estate investment trusts, dealers in securities and foreign currencies, traders in securities that elect to use a mark-to-market method of accounting for their securities, brokers, persons who hold the notes as a hedge or other integrated transaction or who hedge the interest rate on the notes, U.S. holders (as defined below) whose functional currency is not U.S. dollars, persons subject to the alternative minimum tax, or taxpayers required to accelerate the recognition of any item of gross income with respect to a note as a result of such income being recognized on an applicable financial statement). In addition, this summary does not include any description of the tax laws of any state, local, or non-U.S. jurisdiction that may be applicable to a particular holder and does not consider any aspects of U.S. federal tax law other than income taxation, including any tax arising under section 1411 of the Code (the “Medicare” tax on certain investment income).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an individual, corporation, estate, or trust that is a beneficial owner of the notes and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or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a court within the United States can exercise primary supervision over its administration, and one or more United States persons have the authority to control all of the substantial decisions of that trust (or the trust was in existence on August 20, 1996, and validly elected to continue to be treated as a U.S. trust).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holder” is an individual, corporation, estate, or trust that is a beneficial owner of the notes and is not a U.S. holder. </w:t>
      </w:r>
    </w:p>
    <w:p>
      <w:pPr>
        <w:pStyle w:val="TextBody"/>
        <w:bidi w:val="0"/>
        <w:spacing w:before="240" w:after="0"/>
        <w:jc w:val="left"/>
        <w:rPr>
          <w:rFonts w:ascii="Times New Roman" w:hAnsi="Times New Roman"/>
          <w:sz w:val="20"/>
        </w:rPr>
      </w:pPr>
      <w:r>
        <w:rPr>
          <w:rFonts w:ascii="Times New Roman" w:hAnsi="Times New Roman"/>
          <w:sz w:val="20"/>
        </w:rPr>
        <w:t xml:space="preserve">The U.S. federal income tax treatment of a partner in a partnership (or other entity or arrangement classified as a pass-through entity for U.S. federal income tax purposes) that holds the notes generally will depend on such partner’s particular circumstances and on the activities of the partnership. Partners in such partnerships should consult their own tax advisors.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U.S. Federal Income Tax Consequences to 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Treatment of Interest </w:t>
      </w:r>
    </w:p>
    <w:p>
      <w:pPr>
        <w:pStyle w:val="TextBody"/>
        <w:bidi w:val="0"/>
        <w:spacing w:before="120" w:after="0"/>
        <w:jc w:val="left"/>
        <w:rPr>
          <w:rFonts w:ascii="Times New Roman" w:hAnsi="Times New Roman"/>
          <w:sz w:val="20"/>
        </w:rPr>
      </w:pPr>
      <w:r>
        <w:rPr>
          <w:rFonts w:ascii="Times New Roman" w:hAnsi="Times New Roman"/>
          <w:sz w:val="20"/>
        </w:rPr>
        <w:t xml:space="preserve">It is expected, and the rest of this discussion assumes, that the notes will be issued without original issue discount for U.S. federal income tax purposes. Accordingly, stated interest on the notes will generally be taxable to a U.S. holder as ordinary income at the time it is paid or accrues in accordance with the U.S. holder’s method of accounting for U.S. federal income tax purposes. If, however, the notes’ “stated redemption price at maturity” (generally, the sum of all payments required under the note other than payments of stated interest) exceeds the issue price by more than a de minimis amount, a U.S. holder will be required to include such excess in income as original issue discount, as it accrues, in accordance with a constant yield method based on a compounding of interest before the receipt of cash payments attributable to this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Exchange, Retirement, Redemption or Other Taxable Disposition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In general, upon the sale, exchange, redemption, retirement, or other taxable disposition of a note, a U.S. holder will recognize taxable gain or loss equal to the difference between (1) the amount of the cash and the fair market value of any property received (less any portion allocable to any accrued and unpaid interest, which will be taxable as interest to the extent not previously included in income, as described above under the heading “U.S. Federal Income Tax Consequences to U.S. Holders — Treatment of Interest”) and (2) the U.S. holder’s adjusted tax basis in the note. A U.S. holder’s adjusted tax basis in the note will generally be its cost for the note. Gain or loss realized on the sale, exchange, redemption, retirement, or other taxable disposition of a note will generally be capital gain or loss, and will be long-term capital gain or loss if the U.S. holder held the note for more than one year at the time of the sale, exchange, redemption, retirement or other taxable disposition. Long-term capital gains recognized by certain non-corporate U.S. holders, including individuals, will be taxable at a reduced rate. The deductibility of capital losses is subject to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In general, a U.S. holder of the notes will be subject to backup withholding with respect to interest on the notes, and the proceeds of a sale, exchange, redemption, retirement, or other taxable disposition of the notes, at the applicable tax rate, unless such holder (a) is an entity that is exempt from withholding and, when required, demonstrates this fact, or (b) provides the payor with its taxpayer identification number (“TIN”), certifies that the TIN provided to the payor is correct and that the holder has not been notified by the IRS that such holder is subject to backup withholding due to underreporting of interest or dividends, and otherwise complies with applicable requirements of the backup withholding rules. In addition, such payments to U.S. holders that are not exempt entities will generally be subject to information reporting requirements. A U.S. holder who does not provide the payor with its correct TIN may be subject to various penalties. Backup withholding is not an additional tax. The amount of any backup withholding from a payment to a U.S. holder generally will be allowed as a credit against such holder’s U.S. federal income tax liability and may entitle such holder to a refund, provided that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Consequences to Non-U.S.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Treatment of Interest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of backup withholding and FATCA below, under the “portfolio interest exemption,” a non-U.S. holder will generally not be subject to U.S. federal income tax (or any withholding tax) on payments of interest on the notes if the interest is not effectively connected with its conduct of a U.S. trade or business,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does not actually or constructively own 10% or more of the total combined voting power of all classes of our stock that are entitled to vote within the meaning of Section 871(h)(3)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not a bank receiving interest on an extension of credit pursuant to a loan agreement entered into in the ordinary course of its trade or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not a “controlled foreign corporation” that is related (actually or constructively) to us through stock ownership;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certification requirements are met.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current law, the certification requirements described above will be satisfied in any of the following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non-U.S. holder provides to us or our paying agent a statement on IRS Form W-8BEN or W-8BEN-E (or suitable successor form), together with all appropriate attachments, signed under penalties of perjury, identifying the non-U.S. holder by name and address and stating, among other things, that the non-U.S. holder is not a United States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note is held through a securities clearing organization, bank, or another financial institution that holds customers’ securities in the ordinary course of its trade or business, (i) the non-U.S. holder provides such a form to such organization or institution, and (ii) such organization or institution, under penalty of perjury, certifies to us that it has received such statement from the beneficial owner or another intermediary and furnishes us or our paying agent with a copy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financial institution or other intermediary that holds the note on behalf of the non-U.S. holder has entered into a withholding agreement with the IRS and submits an IRS Form W-8IMY (or suitable successor form) and certain other required documentation to us or our paying agent.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requirements of the portfolio interest exemption described above are not satisfied, a 30% withholding tax will apply to the gross amount of interest on the notes that is paid to a non-U.S. holder, unless either: (a) an applicable income tax treaty reduces or eliminates such tax, and the non-U.S. holder claims the benefit of that treaty by providing a properly completed and duly executed IRS Form W-8BEN or W-8BEN-E (or suitable successor or substitute form) establishing qualification for benefits under the treaty, or (b) the interest is effectively connected with the non-U.S. holder’s conduct of a trade or business in the United States and the non-U.S. holder provides an appropriate statement to that effect on a properly completed and duly executed IRS Form W-8ECI (or suitable successor form). </w:t>
      </w:r>
    </w:p>
    <w:p>
      <w:pPr>
        <w:pStyle w:val="TextBody"/>
        <w:bidi w:val="0"/>
        <w:spacing w:before="240" w:after="0"/>
        <w:jc w:val="left"/>
        <w:rPr>
          <w:rFonts w:ascii="Times New Roman" w:hAnsi="Times New Roman"/>
          <w:sz w:val="20"/>
        </w:rPr>
      </w:pPr>
      <w:r>
        <w:rPr>
          <w:rFonts w:ascii="Times New Roman" w:hAnsi="Times New Roman"/>
          <w:sz w:val="20"/>
        </w:rPr>
        <w:t xml:space="preserve">If a non-U.S. holder is engaged in a trade or business in the United States and interest on a note is effectively connected with the conduct of that trade or business, the non-U.S. holder will be required to pay U.S. federal income tax on that interest on a net income basis (and the 30% withholding tax described above will not apply provided the duly executed IRS Form W-8ECI is provided to us or our paying agent) generally in the same manner as a U.S. person. If a non-U.S. holder is eligible for the benefits of an income tax treaty between the United States and its country of residence, and the non-U.S. holder satisfies certain certification requirements, any interest income that is effectively connected with a U.S. trade or business will be subject to U.S. federal income tax in the manner specified by the treaty and generally will only be subject to tax on a net basis if such income is attributable to a permanent establishment (or a fixed base in the case of an individual) maintained by the non-U.S. holder in the United States. In addition, a non-U.S. holder that is treated as a corporation for U.S. federal income tax purposes may be subject to a branch profits tax equal to 30% (or lower applicable income tax treaty rate) of its earnings and profits for the taxable year, subject to adjustments, that are effectively connected with its conduct of a trade 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 Non-U.S. holders should consult their tax advisors regarding their entitlement to benefits under any applicable income tax treaty.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Exchange, Retirement, Redemption or Other Taxable Disposition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of backup withholding and FATCA below, a non-U.S. holder generally will not be subject to U.S. federal income tax (or any withholding thereof) on any gain (other than any gain attributable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accrued and unpaid interest, which will be taxable as interest and may be subject to the rules described above under the heading “U.S. Federal Income Tax Consequences to Non-U.S. Holders — Treatment of Interest”) realized by such holder upon a sale, exchange, redemption, retirement, or other taxable disposition of a note,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U.S. for 183 days or more during the taxable year of disposition and certain other conditions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conduct of a U.S. trade or business of the non-U.S. holder (and, if an applicable income tax treaty so provides, the gain is attributable to a U.S. permanent establishment of the non-U.S. holder or a fixed base in the case of an individual).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first exception applies, the non-U.S. holder generally will be subject to U.S. federal income tax at a rate of 30% (or lower applicable income tax treaty rate) on the gain derived by such holder upon the sale, exchange, redemption, retirement, or other taxable disposition of a note, which may be offset by certain U.S. source capital losses, even though such holder is not considered a resident of the United States, provided the non-U.S. holder has timely filed U.S. federal income tax returns with respect to such losses. If the second exception applies, the non-U.S. holder will generally be subject to U.S. federal income tax on the net gain derived from the sale, exchange, redemption, retirement, or other taxable disposition of the notes in the same manner as a U.S. person. In addition, corporate non-U.S. holders to which the second exception applies may be subject to a 30% branch profits tax (or lower applicable treaty rate) on its effectively connected earnings and profit for the taxable year, subject to adjustments. If a non-U.S. holder is eligible for the benefits of an income tax treaty between the United States and its country of residence, the U.S. federal income tax treatment of any such gain may be modified in the manner specified by the treaty.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Generally, we or our paying agent must report to the IRS and to each non-U.S. holder the amount of any interest paid on the notes in each calendar year, and the amount of U.S. federal income tax withheld, if any, with respect to these payments. Copies of the information returns reporting such interest and withholding may also be made available to the tax authorities in the country in which a non-U.S. holder resides under the provisions of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Non-U.S. holders who have provided proper certification as to their non-U.S. status or who have otherwise established an exemption will generally not be subject to backup withholding on payments of interest if neither we nor our agent have actual knowledge or reason to know that such certification is unreliable or that the conditions of the exemption are in fact not satisfied. </w:t>
      </w:r>
    </w:p>
    <w:p>
      <w:pPr>
        <w:pStyle w:val="TextBody"/>
        <w:bidi w:val="0"/>
        <w:spacing w:before="240" w:after="0"/>
        <w:jc w:val="left"/>
        <w:rPr>
          <w:rFonts w:ascii="Times New Roman" w:hAnsi="Times New Roman"/>
          <w:sz w:val="20"/>
        </w:rPr>
      </w:pPr>
      <w:r>
        <w:rPr>
          <w:rFonts w:ascii="Times New Roman" w:hAnsi="Times New Roman"/>
          <w:sz w:val="20"/>
        </w:rPr>
        <w:t xml:space="preserve">Payments of the proceeds from the sale, exchange, redemption, retirement, or other taxable disposition of a note to or through a foreign office of a broker generally will not be subject to information reporting or backup withholding. However, additional information reporting, but generally not backup withholding, may apply to those payments if the broker has certain relationships with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proceeds from a sale, exchange, redemption, retirement, or other taxable disposition of a note to or through the United States office of a broker will be subject to information reporting and backup withholding unless the non-U.S. holder certifies as to its non-U.S. status or otherwise establishes an exemption from information reporting and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and the amount of any backup withholding from a payment to a non-U.S. holder generally will be allowed as a credit against such holder’s U.S. federal income tax liability, if any, and may entitle such holder to a refund, provided that the required information is timely furnished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Account Tax Compliance Act </w:t>
      </w:r>
    </w:p>
    <w:p>
      <w:pPr>
        <w:pStyle w:val="TextBody"/>
        <w:bidi w:val="0"/>
        <w:spacing w:before="120" w:after="0"/>
        <w:jc w:val="left"/>
        <w:rPr>
          <w:rFonts w:ascii="Times New Roman" w:hAnsi="Times New Roman"/>
          <w:sz w:val="20"/>
        </w:rPr>
      </w:pPr>
      <w:r>
        <w:rPr>
          <w:rFonts w:ascii="Times New Roman" w:hAnsi="Times New Roman"/>
          <w:sz w:val="20"/>
        </w:rPr>
        <w:t xml:space="preserve">Under the Foreign Account Tax Compliance Act (“FATCA”), withholding taxes may apply to certain types of payments made to “foreign financial institutions” (as specifically defined in the Code) and certain other non-U.S.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entities. Specifically, a 30% withholding tax may be imposed on interest on, and (subject to the discussion below) gross proceeds from the sale or other disposition of, notes paid to a foreign financial institution or to a non-financial foreign entity, unless (1) the foreign financial institution undertakes certain diligence and reporting obligations, (2) the non-financial foreign entity either certifies it does not have any substantial United States owners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then, pursuant to an agreement between it and the U.S. Treasury or an intergovernmental agreement between, generally, the jurisdiction in which it is resident and the United States, it must, among other things, identify accounts held by certain United States persons or United States owned foreign entities, annually report certain information about such accounts, and withhold 30% on payments to non-compliant foreign financial institutions and certain other account holders. </w:t>
      </w:r>
    </w:p>
    <w:p>
      <w:pPr>
        <w:pStyle w:val="TextBody"/>
        <w:bidi w:val="0"/>
        <w:spacing w:before="240" w:after="0"/>
        <w:jc w:val="left"/>
        <w:rPr>
          <w:rFonts w:ascii="Times New Roman" w:hAnsi="Times New Roman"/>
          <w:sz w:val="20"/>
        </w:rPr>
      </w:pPr>
      <w:r>
        <w:rPr>
          <w:rFonts w:ascii="Times New Roman" w:hAnsi="Times New Roman"/>
          <w:sz w:val="20"/>
        </w:rPr>
        <w:t xml:space="preserve">Under FATCA, a 30% withholding tax currently may be imposed on payments of interest on the notes paid to a foreign financial institution (including amounts paid to a foreign financial institution on or behalf of a holder) and certain other nonfinancial foreign entities. While withholding under FATCA also would have applied to payments of gross proceeds from the sale, exchange, redemption, retirement, or other taxable disposition of notes on or after January 1, 2019, proposed U.S. Treasury Regulations eliminate FATCA withholding on payments of gross proceeds entirely. Taxpayers generally may rely on these proposed U.S. Treasury Regulations until final U.S. Treasury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should consult their tax advisors regarding the possible effect of FATCA on their investment in the notes. </w:t>
      </w:r>
    </w:p>
    <w:p>
      <w:pPr>
        <w:pStyle w:val="TextBody"/>
        <w:bidi w:val="0"/>
        <w:spacing w:before="240" w:after="0"/>
        <w:jc w:val="left"/>
        <w:rPr>
          <w:rFonts w:ascii="Times New Roman" w:hAnsi="Times New Roman"/>
          <w:b/>
          <w:sz w:val="20"/>
        </w:rPr>
      </w:pPr>
      <w:r>
        <w:rPr>
          <w:rFonts w:ascii="Times New Roman" w:hAnsi="Times New Roman"/>
          <w:b/>
          <w:sz w:val="20"/>
        </w:rPr>
        <w:t xml:space="preserve">The preceding discussion of certain U.S. federal income tax consequences is for general information only and is not tax advice. Accordingly, each investor should consult its own tax advisor as to particular tax consequences to it of acquisition, ownership, and disposition of the notes, including the applicability and effect of any state, local or foreign tax laws, and of any pending or subsequent changes in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2" w:name="supptoc110651_10"/>
      <w:bookmarkEnd w:id="12"/>
      <w:r>
        <w:rPr>
          <w:rFonts w:ascii="Times New Roman" w:hAnsi="Times New Roman"/>
          <w:b/>
          <w:sz w:val="20"/>
        </w:rPr>
        <w:t xml:space="preserve">UNDERWRITING </w:t>
      </w:r>
    </w:p>
    <w:p>
      <w:pPr>
        <w:pStyle w:val="TextBody"/>
        <w:bidi w:val="0"/>
        <w:spacing w:before="120" w:after="0"/>
        <w:jc w:val="left"/>
        <w:rPr>
          <w:rFonts w:ascii="Times New Roman" w:hAnsi="Times New Roman"/>
          <w:sz w:val="20"/>
        </w:rPr>
      </w:pPr>
      <w:r>
        <w:rPr>
          <w:rFonts w:ascii="Times New Roman" w:hAnsi="Times New Roman"/>
          <w:sz w:val="20"/>
        </w:rPr>
        <w:t xml:space="preserve">We intend to offer the notes through the underwriters named below, for whom Citigroup Global Markets Inc., Mizuho Securities USA LLC, Morgan Stanley &amp; Co. LLC and SMBC Nikko Securities America, Inc. are acting as representatives. Subject to the terms and conditions contained in the underwriting agreement dated the date of this prospectus supplement between the underwriters named below and us, we have agreed to sell to the underwriters and the underwriters have severally and not jointly agreed to purchase, the principal amount of the notes listed opposite their names below.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324"/>
        <w:gridCol w:w="101"/>
        <w:gridCol w:w="190"/>
        <w:gridCol w:w="1660"/>
        <w:gridCol w:w="60"/>
        <w:gridCol w:w="101"/>
        <w:gridCol w:w="168"/>
        <w:gridCol w:w="1692"/>
        <w:gridCol w:w="60"/>
        <w:gridCol w:w="101"/>
        <w:gridCol w:w="190"/>
        <w:gridCol w:w="1660"/>
        <w:gridCol w:w="60"/>
        <w:gridCol w:w="100"/>
        <w:gridCol w:w="190"/>
        <w:gridCol w:w="1660"/>
        <w:gridCol w:w="71"/>
      </w:tblGrid>
      <w:tr>
        <w:trPr/>
        <w:tc>
          <w:tcPr>
            <w:tcW w:w="132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1324" w:type="dxa"/>
            <w:tcBorders/>
            <w:vAlign w:val="bottom"/>
          </w:tcPr>
          <w:p>
            <w:pPr>
              <w:pStyle w:val="TableContents"/>
              <w:pBdr>
                <w:bottom w:val="single" w:sz="8" w:space="1" w:color="000000"/>
              </w:pBdr>
              <w:bidi w:val="0"/>
              <w:spacing w:before="0" w:after="0"/>
              <w:jc w:val="left"/>
              <w:rPr>
                <w:rFonts w:ascii="Times New Roman" w:hAnsi="Times New Roman"/>
                <w:b/>
                <w:sz w:val="15"/>
              </w:rPr>
            </w:pPr>
            <w:r>
              <w:rPr>
                <w:rFonts w:ascii="Times New Roman" w:hAnsi="Times New Roman"/>
                <w:b/>
                <w:sz w:val="15"/>
              </w:rPr>
              <w:t>Underwriters</w:t>
            </w:r>
          </w:p>
        </w:tc>
        <w:tc>
          <w:tcPr>
            <w:tcW w:w="101" w:type="dxa"/>
            <w:tcBorders/>
            <w:vAlign w:val="bottom"/>
          </w:tcPr>
          <w:p>
            <w:pPr>
              <w:pStyle w:val="TableContents"/>
              <w:bidi w:val="0"/>
              <w:spacing w:before="0" w:after="283"/>
              <w:jc w:val="left"/>
              <w:rPr/>
            </w:pPr>
            <w:r>
              <w:rPr/>
              <w:t> </w:t>
            </w:r>
          </w:p>
        </w:tc>
        <w:tc>
          <w:tcPr>
            <w:tcW w:w="1850" w:type="dxa"/>
            <w:gridSpan w:val="2"/>
            <w:tcBorders>
              <w:bottom w:val="single" w:sz="8" w:space="0" w:color="000000"/>
            </w:tcBorders>
            <w:tcMar>
              <w:bottom w:w="28" w:type="dxa"/>
            </w:tcMar>
            <w:vAlign w:val="bottom"/>
          </w:tcPr>
          <w:p>
            <w:pPr>
              <w:pStyle w:val="TableContents"/>
              <w:bidi w:val="0"/>
              <w:spacing w:before="0" w:after="283"/>
              <w:jc w:val="center"/>
              <w:rPr/>
            </w:pPr>
            <w:r>
              <w:rPr>
                <w:b/>
              </w:rPr>
              <w:t>Principal Amount</w:t>
            </w:r>
            <w:r>
              <w:rPr/>
              <w:br/>
            </w:r>
            <w:r>
              <w:rPr>
                <w:b/>
              </w:rPr>
              <w:t>of 5.000%</w:t>
              <w:br/>
              <w:t>Senior Notes</w:t>
              <w:br/>
              <w:t>due 2029</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860" w:type="dxa"/>
            <w:gridSpan w:val="2"/>
            <w:tcBorders>
              <w:bottom w:val="single" w:sz="8" w:space="0" w:color="000000"/>
            </w:tcBorders>
            <w:tcMar>
              <w:bottom w:w="28" w:type="dxa"/>
            </w:tcMar>
            <w:vAlign w:val="bottom"/>
          </w:tcPr>
          <w:p>
            <w:pPr>
              <w:pStyle w:val="TableContents"/>
              <w:bidi w:val="0"/>
              <w:spacing w:before="0" w:after="283"/>
              <w:jc w:val="center"/>
              <w:rPr/>
            </w:pPr>
            <w:r>
              <w:rPr>
                <w:b/>
              </w:rPr>
              <w:t>Principal Amount</w:t>
            </w:r>
            <w:r>
              <w:rPr/>
              <w:br/>
            </w:r>
            <w:r>
              <w:rPr>
                <w:b/>
              </w:rPr>
              <w:t>of 5.600%</w:t>
              <w:br/>
              <w:t>Senior Notes</w:t>
              <w:br/>
              <w:t>due 2033</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850" w:type="dxa"/>
            <w:gridSpan w:val="2"/>
            <w:tcBorders>
              <w:bottom w:val="single" w:sz="8" w:space="0" w:color="000000"/>
            </w:tcBorders>
            <w:tcMar>
              <w:bottom w:w="28" w:type="dxa"/>
            </w:tcMar>
            <w:vAlign w:val="bottom"/>
          </w:tcPr>
          <w:p>
            <w:pPr>
              <w:pStyle w:val="TableContents"/>
              <w:bidi w:val="0"/>
              <w:spacing w:before="0" w:after="283"/>
              <w:jc w:val="center"/>
              <w:rPr/>
            </w:pPr>
            <w:r>
              <w:rPr>
                <w:b/>
              </w:rPr>
              <w:t>Principal Amount</w:t>
            </w:r>
            <w:r>
              <w:rPr/>
              <w:br/>
            </w:r>
            <w:r>
              <w:rPr>
                <w:b/>
              </w:rPr>
              <w:t>of 5.800%</w:t>
              <w:br/>
              <w:t>Senior Notes</w:t>
              <w:br/>
              <w:t>due 2036</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850" w:type="dxa"/>
            <w:gridSpan w:val="2"/>
            <w:tcBorders>
              <w:bottom w:val="single" w:sz="8" w:space="0" w:color="000000"/>
            </w:tcBorders>
            <w:tcMar>
              <w:bottom w:w="28" w:type="dxa"/>
            </w:tcMar>
            <w:vAlign w:val="bottom"/>
          </w:tcPr>
          <w:p>
            <w:pPr>
              <w:pStyle w:val="TableContents"/>
              <w:bidi w:val="0"/>
              <w:spacing w:before="0" w:after="283"/>
              <w:jc w:val="center"/>
              <w:rPr/>
            </w:pPr>
            <w:r>
              <w:rPr>
                <w:b/>
              </w:rPr>
              <w:t>Principal Amount</w:t>
            </w:r>
            <w:r>
              <w:rPr/>
              <w:br/>
            </w:r>
            <w:r>
              <w:rPr>
                <w:b/>
              </w:rPr>
              <w:t>of 6.400%</w:t>
              <w:br/>
              <w:t>Senior Notes</w:t>
              <w:br/>
              <w:t>due 2056</w:t>
            </w:r>
          </w:p>
        </w:tc>
        <w:tc>
          <w:tcPr>
            <w:tcW w:w="71" w:type="dxa"/>
            <w:tcBorders/>
            <w:vAlign w:val="bottom"/>
          </w:tcPr>
          <w:p>
            <w:pPr>
              <w:pStyle w:val="TableContents"/>
              <w:bidi w:val="0"/>
              <w:spacing w:before="0" w:after="283"/>
              <w:jc w:val="left"/>
              <w:rPr/>
            </w:pPr>
            <w:r>
              <w:rPr/>
              <w:t> </w:t>
            </w:r>
          </w:p>
        </w:tc>
      </w:tr>
      <w:tr>
        <w:trPr/>
        <w:tc>
          <w:tcPr>
            <w:tcW w:w="1324"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Citigroup Global Markets Inc.</w:t>
            </w:r>
          </w:p>
        </w:tc>
        <w:tc>
          <w:tcPr>
            <w:tcW w:w="1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660" w:type="dxa"/>
            <w:tcBorders/>
            <w:shd w:fill="CCEEFF" w:val="clear"/>
            <w:vAlign w:val="bottom"/>
          </w:tcPr>
          <w:p>
            <w:pPr>
              <w:pStyle w:val="TableContents"/>
              <w:bidi w:val="0"/>
              <w:spacing w:before="0" w:after="283"/>
              <w:jc w:val="right"/>
              <w:rPr/>
            </w:pPr>
            <w:r>
              <w:rPr/>
              <w:t>47,500,000</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692" w:type="dxa"/>
            <w:tcBorders/>
            <w:shd w:fill="CCEEFF" w:val="clear"/>
            <w:vAlign w:val="bottom"/>
          </w:tcPr>
          <w:p>
            <w:pPr>
              <w:pStyle w:val="TableContents"/>
              <w:bidi w:val="0"/>
              <w:spacing w:before="0" w:after="283"/>
              <w:jc w:val="right"/>
              <w:rPr/>
            </w:pPr>
            <w:r>
              <w:rPr/>
              <w:t>95,000,000</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660" w:type="dxa"/>
            <w:tcBorders/>
            <w:shd w:fill="CCEEFF" w:val="clear"/>
            <w:vAlign w:val="bottom"/>
          </w:tcPr>
          <w:p>
            <w:pPr>
              <w:pStyle w:val="TableContents"/>
              <w:bidi w:val="0"/>
              <w:spacing w:before="0" w:after="283"/>
              <w:jc w:val="right"/>
              <w:rPr/>
            </w:pPr>
            <w:r>
              <w:rPr/>
              <w:t>71,250,000</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660" w:type="dxa"/>
            <w:tcBorders/>
            <w:shd w:fill="CCEEFF" w:val="clear"/>
            <w:vAlign w:val="bottom"/>
          </w:tcPr>
          <w:p>
            <w:pPr>
              <w:pStyle w:val="TableContents"/>
              <w:bidi w:val="0"/>
              <w:spacing w:before="0" w:after="283"/>
              <w:jc w:val="right"/>
              <w:rPr/>
            </w:pPr>
            <w:r>
              <w:rPr/>
              <w:t>47,500,000</w:t>
            </w:r>
          </w:p>
        </w:tc>
        <w:tc>
          <w:tcPr>
            <w:tcW w:w="71" w:type="dxa"/>
            <w:tcBorders/>
            <w:shd w:fill="CCEEFF" w:val="clear"/>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16"/>
              </w:rPr>
            </w:pPr>
            <w:r>
              <w:rPr>
                <w:rFonts w:ascii="Times New Roman" w:hAnsi="Times New Roman"/>
                <w:sz w:val="16"/>
              </w:rPr>
              <w:t>Mizuho Securities USA LLC</w:t>
            </w:r>
          </w:p>
        </w:tc>
        <w:tc>
          <w:tcPr>
            <w:tcW w:w="1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47,500,000</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92" w:type="dxa"/>
            <w:tcBorders/>
            <w:vAlign w:val="bottom"/>
          </w:tcPr>
          <w:p>
            <w:pPr>
              <w:pStyle w:val="TableContents"/>
              <w:bidi w:val="0"/>
              <w:spacing w:before="0" w:after="283"/>
              <w:jc w:val="right"/>
              <w:rPr/>
            </w:pPr>
            <w:r>
              <w:rPr/>
              <w:t>95,000,000</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71,250,000</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47,500,000</w:t>
            </w:r>
          </w:p>
        </w:tc>
        <w:tc>
          <w:tcPr>
            <w:tcW w:w="71" w:type="dxa"/>
            <w:tcBorders/>
            <w:vAlign w:val="bottom"/>
          </w:tcPr>
          <w:p>
            <w:pPr>
              <w:pStyle w:val="TableContents"/>
              <w:bidi w:val="0"/>
              <w:spacing w:before="0" w:after="283"/>
              <w:jc w:val="left"/>
              <w:rPr/>
            </w:pPr>
            <w:r>
              <w:rPr/>
              <w:t> </w:t>
            </w:r>
          </w:p>
        </w:tc>
      </w:tr>
      <w:tr>
        <w:trPr/>
        <w:tc>
          <w:tcPr>
            <w:tcW w:w="1324"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Morgan Stanley &amp; Co. LLC</w:t>
            </w:r>
          </w:p>
        </w:tc>
        <w:tc>
          <w:tcPr>
            <w:tcW w:w="1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47,500,000</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92" w:type="dxa"/>
            <w:tcBorders/>
            <w:shd w:fill="CCEEFF" w:val="clear"/>
            <w:vAlign w:val="bottom"/>
          </w:tcPr>
          <w:p>
            <w:pPr>
              <w:pStyle w:val="TableContents"/>
              <w:bidi w:val="0"/>
              <w:spacing w:before="0" w:after="283"/>
              <w:jc w:val="right"/>
              <w:rPr/>
            </w:pPr>
            <w:r>
              <w:rPr/>
              <w:t>95,000,000</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71,250,000</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47,500,000</w:t>
            </w:r>
          </w:p>
        </w:tc>
        <w:tc>
          <w:tcPr>
            <w:tcW w:w="71" w:type="dxa"/>
            <w:tcBorders/>
            <w:shd w:fill="CCEEFF" w:val="clear"/>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16"/>
              </w:rPr>
            </w:pPr>
            <w:r>
              <w:rPr>
                <w:rFonts w:ascii="Times New Roman" w:hAnsi="Times New Roman"/>
                <w:sz w:val="16"/>
              </w:rPr>
              <w:t>SMBC Nikko Securities America, Inc.</w:t>
            </w:r>
          </w:p>
        </w:tc>
        <w:tc>
          <w:tcPr>
            <w:tcW w:w="1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47,500,000</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92" w:type="dxa"/>
            <w:tcBorders/>
            <w:vAlign w:val="bottom"/>
          </w:tcPr>
          <w:p>
            <w:pPr>
              <w:pStyle w:val="TableContents"/>
              <w:bidi w:val="0"/>
              <w:spacing w:before="0" w:after="283"/>
              <w:jc w:val="right"/>
              <w:rPr/>
            </w:pPr>
            <w:r>
              <w:rPr/>
              <w:t>95,000,000</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71,250,000</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47,500,000</w:t>
            </w:r>
          </w:p>
        </w:tc>
        <w:tc>
          <w:tcPr>
            <w:tcW w:w="71" w:type="dxa"/>
            <w:tcBorders/>
            <w:vAlign w:val="bottom"/>
          </w:tcPr>
          <w:p>
            <w:pPr>
              <w:pStyle w:val="TableContents"/>
              <w:bidi w:val="0"/>
              <w:spacing w:before="0" w:after="283"/>
              <w:jc w:val="left"/>
              <w:rPr/>
            </w:pPr>
            <w:r>
              <w:rPr/>
              <w:t> </w:t>
            </w:r>
          </w:p>
        </w:tc>
      </w:tr>
      <w:tr>
        <w:trPr/>
        <w:tc>
          <w:tcPr>
            <w:tcW w:w="1324"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BofA Securities, Inc.</w:t>
            </w:r>
          </w:p>
        </w:tc>
        <w:tc>
          <w:tcPr>
            <w:tcW w:w="1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32,500,000</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92" w:type="dxa"/>
            <w:tcBorders/>
            <w:shd w:fill="CCEEFF" w:val="clear"/>
            <w:vAlign w:val="bottom"/>
          </w:tcPr>
          <w:p>
            <w:pPr>
              <w:pStyle w:val="TableContents"/>
              <w:bidi w:val="0"/>
              <w:spacing w:before="0" w:after="283"/>
              <w:jc w:val="right"/>
              <w:rPr/>
            </w:pPr>
            <w:r>
              <w:rPr/>
              <w:t>65,000,000</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48,750,000</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32,500,000</w:t>
            </w:r>
          </w:p>
        </w:tc>
        <w:tc>
          <w:tcPr>
            <w:tcW w:w="71" w:type="dxa"/>
            <w:tcBorders/>
            <w:shd w:fill="CCEEFF" w:val="clear"/>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16"/>
              </w:rPr>
            </w:pPr>
            <w:r>
              <w:rPr>
                <w:rFonts w:ascii="Times New Roman" w:hAnsi="Times New Roman"/>
                <w:sz w:val="16"/>
              </w:rPr>
              <w:t>PNC Capital Markets LLC</w:t>
            </w:r>
          </w:p>
        </w:tc>
        <w:tc>
          <w:tcPr>
            <w:tcW w:w="1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32,500,000</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92" w:type="dxa"/>
            <w:tcBorders/>
            <w:vAlign w:val="bottom"/>
          </w:tcPr>
          <w:p>
            <w:pPr>
              <w:pStyle w:val="TableContents"/>
              <w:bidi w:val="0"/>
              <w:spacing w:before="0" w:after="283"/>
              <w:jc w:val="right"/>
              <w:rPr/>
            </w:pPr>
            <w:r>
              <w:rPr/>
              <w:t>65,000,000</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48,750,000</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32,500,000</w:t>
            </w:r>
          </w:p>
        </w:tc>
        <w:tc>
          <w:tcPr>
            <w:tcW w:w="71" w:type="dxa"/>
            <w:tcBorders/>
            <w:vAlign w:val="bottom"/>
          </w:tcPr>
          <w:p>
            <w:pPr>
              <w:pStyle w:val="TableContents"/>
              <w:bidi w:val="0"/>
              <w:spacing w:before="0" w:after="283"/>
              <w:jc w:val="left"/>
              <w:rPr/>
            </w:pPr>
            <w:r>
              <w:rPr/>
              <w:t> </w:t>
            </w:r>
          </w:p>
        </w:tc>
      </w:tr>
      <w:tr>
        <w:trPr/>
        <w:tc>
          <w:tcPr>
            <w:tcW w:w="1324"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RBC Capital Markets, LLC</w:t>
            </w:r>
          </w:p>
        </w:tc>
        <w:tc>
          <w:tcPr>
            <w:tcW w:w="1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32,500,000</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92" w:type="dxa"/>
            <w:tcBorders/>
            <w:shd w:fill="CCEEFF" w:val="clear"/>
            <w:vAlign w:val="bottom"/>
          </w:tcPr>
          <w:p>
            <w:pPr>
              <w:pStyle w:val="TableContents"/>
              <w:bidi w:val="0"/>
              <w:spacing w:before="0" w:after="283"/>
              <w:jc w:val="right"/>
              <w:rPr/>
            </w:pPr>
            <w:r>
              <w:rPr/>
              <w:t>65,000,000</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48,750,000</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32,500,000</w:t>
            </w:r>
          </w:p>
        </w:tc>
        <w:tc>
          <w:tcPr>
            <w:tcW w:w="71" w:type="dxa"/>
            <w:tcBorders/>
            <w:shd w:fill="CCEEFF" w:val="clear"/>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16"/>
              </w:rPr>
            </w:pPr>
            <w:r>
              <w:rPr>
                <w:rFonts w:ascii="Times New Roman" w:hAnsi="Times New Roman"/>
                <w:sz w:val="16"/>
              </w:rPr>
              <w:t>Truist Securities, Inc.</w:t>
            </w:r>
          </w:p>
        </w:tc>
        <w:tc>
          <w:tcPr>
            <w:tcW w:w="1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32,500,000</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92" w:type="dxa"/>
            <w:tcBorders/>
            <w:vAlign w:val="bottom"/>
          </w:tcPr>
          <w:p>
            <w:pPr>
              <w:pStyle w:val="TableContents"/>
              <w:bidi w:val="0"/>
              <w:spacing w:before="0" w:after="283"/>
              <w:jc w:val="right"/>
              <w:rPr/>
            </w:pPr>
            <w:r>
              <w:rPr/>
              <w:t>65,000,000</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48,750,000</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32,500,000</w:t>
            </w:r>
          </w:p>
        </w:tc>
        <w:tc>
          <w:tcPr>
            <w:tcW w:w="71" w:type="dxa"/>
            <w:tcBorders/>
            <w:vAlign w:val="bottom"/>
          </w:tcPr>
          <w:p>
            <w:pPr>
              <w:pStyle w:val="TableContents"/>
              <w:bidi w:val="0"/>
              <w:spacing w:before="0" w:after="283"/>
              <w:jc w:val="left"/>
              <w:rPr/>
            </w:pPr>
            <w:r>
              <w:rPr/>
              <w:t> </w:t>
            </w:r>
          </w:p>
        </w:tc>
      </w:tr>
      <w:tr>
        <w:trPr/>
        <w:tc>
          <w:tcPr>
            <w:tcW w:w="1324"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U.S. Bancorp Investments, Inc.</w:t>
            </w:r>
          </w:p>
        </w:tc>
        <w:tc>
          <w:tcPr>
            <w:tcW w:w="1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32,500,000</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92" w:type="dxa"/>
            <w:tcBorders/>
            <w:shd w:fill="CCEEFF" w:val="clear"/>
            <w:vAlign w:val="bottom"/>
          </w:tcPr>
          <w:p>
            <w:pPr>
              <w:pStyle w:val="TableContents"/>
              <w:bidi w:val="0"/>
              <w:spacing w:before="0" w:after="283"/>
              <w:jc w:val="right"/>
              <w:rPr/>
            </w:pPr>
            <w:r>
              <w:rPr/>
              <w:t>65,000,000</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48,750,000</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32,500,000</w:t>
            </w:r>
          </w:p>
        </w:tc>
        <w:tc>
          <w:tcPr>
            <w:tcW w:w="71" w:type="dxa"/>
            <w:tcBorders/>
            <w:shd w:fill="CCEEFF" w:val="clear"/>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16"/>
              </w:rPr>
            </w:pPr>
            <w:r>
              <w:rPr>
                <w:rFonts w:ascii="Times New Roman" w:hAnsi="Times New Roman"/>
                <w:sz w:val="16"/>
              </w:rPr>
              <w:t>Wells Fargo Securities, LLC</w:t>
            </w:r>
          </w:p>
        </w:tc>
        <w:tc>
          <w:tcPr>
            <w:tcW w:w="1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32,500,000</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92" w:type="dxa"/>
            <w:tcBorders/>
            <w:vAlign w:val="bottom"/>
          </w:tcPr>
          <w:p>
            <w:pPr>
              <w:pStyle w:val="TableContents"/>
              <w:bidi w:val="0"/>
              <w:spacing w:before="0" w:after="283"/>
              <w:jc w:val="right"/>
              <w:rPr/>
            </w:pPr>
            <w:r>
              <w:rPr/>
              <w:t>65,000,000</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48,750,000</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32,500,000</w:t>
            </w:r>
          </w:p>
        </w:tc>
        <w:tc>
          <w:tcPr>
            <w:tcW w:w="71" w:type="dxa"/>
            <w:tcBorders/>
            <w:vAlign w:val="bottom"/>
          </w:tcPr>
          <w:p>
            <w:pPr>
              <w:pStyle w:val="TableContents"/>
              <w:bidi w:val="0"/>
              <w:spacing w:before="0" w:after="283"/>
              <w:jc w:val="left"/>
              <w:rPr/>
            </w:pPr>
            <w:r>
              <w:rPr/>
              <w:t> </w:t>
            </w:r>
          </w:p>
        </w:tc>
      </w:tr>
      <w:tr>
        <w:trPr/>
        <w:tc>
          <w:tcPr>
            <w:tcW w:w="1324"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Barclays Capital Inc.</w:t>
            </w:r>
          </w:p>
        </w:tc>
        <w:tc>
          <w:tcPr>
            <w:tcW w:w="1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12,500,000</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92" w:type="dxa"/>
            <w:tcBorders/>
            <w:shd w:fill="CCEEFF" w:val="clear"/>
            <w:vAlign w:val="bottom"/>
          </w:tcPr>
          <w:p>
            <w:pPr>
              <w:pStyle w:val="TableContents"/>
              <w:bidi w:val="0"/>
              <w:spacing w:before="0" w:after="283"/>
              <w:jc w:val="right"/>
              <w:rPr/>
            </w:pPr>
            <w:r>
              <w:rPr/>
              <w:t>25,000,000</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18,750,000</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12,500,000</w:t>
            </w:r>
          </w:p>
        </w:tc>
        <w:tc>
          <w:tcPr>
            <w:tcW w:w="71" w:type="dxa"/>
            <w:tcBorders/>
            <w:shd w:fill="CCEEFF" w:val="clear"/>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16"/>
              </w:rPr>
            </w:pPr>
            <w:r>
              <w:rPr>
                <w:rFonts w:ascii="Times New Roman" w:hAnsi="Times New Roman"/>
                <w:sz w:val="16"/>
              </w:rPr>
              <w:t>BBVA Securities Inc.</w:t>
            </w:r>
          </w:p>
        </w:tc>
        <w:tc>
          <w:tcPr>
            <w:tcW w:w="1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12,500,000</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92" w:type="dxa"/>
            <w:tcBorders/>
            <w:vAlign w:val="bottom"/>
          </w:tcPr>
          <w:p>
            <w:pPr>
              <w:pStyle w:val="TableContents"/>
              <w:bidi w:val="0"/>
              <w:spacing w:before="0" w:after="283"/>
              <w:jc w:val="right"/>
              <w:rPr/>
            </w:pPr>
            <w:r>
              <w:rPr/>
              <w:t>25,000,000</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18,750,000</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12,500,000</w:t>
            </w:r>
          </w:p>
        </w:tc>
        <w:tc>
          <w:tcPr>
            <w:tcW w:w="71" w:type="dxa"/>
            <w:tcBorders/>
            <w:vAlign w:val="bottom"/>
          </w:tcPr>
          <w:p>
            <w:pPr>
              <w:pStyle w:val="TableContents"/>
              <w:bidi w:val="0"/>
              <w:spacing w:before="0" w:after="283"/>
              <w:jc w:val="left"/>
              <w:rPr/>
            </w:pPr>
            <w:r>
              <w:rPr/>
              <w:t> </w:t>
            </w:r>
          </w:p>
        </w:tc>
      </w:tr>
      <w:tr>
        <w:trPr/>
        <w:tc>
          <w:tcPr>
            <w:tcW w:w="1324"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BOK Financial Securities, Inc.</w:t>
            </w:r>
          </w:p>
        </w:tc>
        <w:tc>
          <w:tcPr>
            <w:tcW w:w="1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12,500,000</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92" w:type="dxa"/>
            <w:tcBorders/>
            <w:shd w:fill="CCEEFF" w:val="clear"/>
            <w:vAlign w:val="bottom"/>
          </w:tcPr>
          <w:p>
            <w:pPr>
              <w:pStyle w:val="TableContents"/>
              <w:bidi w:val="0"/>
              <w:spacing w:before="0" w:after="283"/>
              <w:jc w:val="right"/>
              <w:rPr/>
            </w:pPr>
            <w:r>
              <w:rPr/>
              <w:t>25,000,000</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18,750,000</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12,500,000</w:t>
            </w:r>
          </w:p>
        </w:tc>
        <w:tc>
          <w:tcPr>
            <w:tcW w:w="71" w:type="dxa"/>
            <w:tcBorders/>
            <w:shd w:fill="CCEEFF" w:val="clear"/>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16"/>
              </w:rPr>
            </w:pPr>
            <w:r>
              <w:rPr>
                <w:rFonts w:ascii="Times New Roman" w:hAnsi="Times New Roman"/>
                <w:sz w:val="16"/>
              </w:rPr>
              <w:t>CIBC World Markets Corp.</w:t>
            </w:r>
          </w:p>
        </w:tc>
        <w:tc>
          <w:tcPr>
            <w:tcW w:w="1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12,500,000</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92" w:type="dxa"/>
            <w:tcBorders/>
            <w:vAlign w:val="bottom"/>
          </w:tcPr>
          <w:p>
            <w:pPr>
              <w:pStyle w:val="TableContents"/>
              <w:bidi w:val="0"/>
              <w:spacing w:before="0" w:after="283"/>
              <w:jc w:val="right"/>
              <w:rPr/>
            </w:pPr>
            <w:r>
              <w:rPr/>
              <w:t>25,000,000</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18,750,000</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12,500,000</w:t>
            </w:r>
          </w:p>
        </w:tc>
        <w:tc>
          <w:tcPr>
            <w:tcW w:w="71" w:type="dxa"/>
            <w:tcBorders/>
            <w:vAlign w:val="bottom"/>
          </w:tcPr>
          <w:p>
            <w:pPr>
              <w:pStyle w:val="TableContents"/>
              <w:bidi w:val="0"/>
              <w:spacing w:before="0" w:after="283"/>
              <w:jc w:val="left"/>
              <w:rPr/>
            </w:pPr>
            <w:r>
              <w:rPr/>
              <w:t> </w:t>
            </w:r>
          </w:p>
        </w:tc>
      </w:tr>
      <w:tr>
        <w:trPr/>
        <w:tc>
          <w:tcPr>
            <w:tcW w:w="1324"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Deutsche Bank Securities Inc.</w:t>
            </w:r>
          </w:p>
        </w:tc>
        <w:tc>
          <w:tcPr>
            <w:tcW w:w="1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12,500,000</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92" w:type="dxa"/>
            <w:tcBorders/>
            <w:shd w:fill="CCEEFF" w:val="clear"/>
            <w:vAlign w:val="bottom"/>
          </w:tcPr>
          <w:p>
            <w:pPr>
              <w:pStyle w:val="TableContents"/>
              <w:bidi w:val="0"/>
              <w:spacing w:before="0" w:after="283"/>
              <w:jc w:val="right"/>
              <w:rPr/>
            </w:pPr>
            <w:r>
              <w:rPr/>
              <w:t>25,000,000</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18,750,000</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12,500,000</w:t>
            </w:r>
          </w:p>
        </w:tc>
        <w:tc>
          <w:tcPr>
            <w:tcW w:w="71" w:type="dxa"/>
            <w:tcBorders/>
            <w:shd w:fill="CCEEFF" w:val="clear"/>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16"/>
              </w:rPr>
            </w:pPr>
            <w:r>
              <w:rPr>
                <w:rFonts w:ascii="Times New Roman" w:hAnsi="Times New Roman"/>
                <w:sz w:val="16"/>
              </w:rPr>
              <w:t>J.P. Morgan Securities LLC</w:t>
            </w:r>
          </w:p>
        </w:tc>
        <w:tc>
          <w:tcPr>
            <w:tcW w:w="1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12,500,000</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92" w:type="dxa"/>
            <w:tcBorders/>
            <w:vAlign w:val="bottom"/>
          </w:tcPr>
          <w:p>
            <w:pPr>
              <w:pStyle w:val="TableContents"/>
              <w:bidi w:val="0"/>
              <w:spacing w:before="0" w:after="283"/>
              <w:jc w:val="right"/>
              <w:rPr/>
            </w:pPr>
            <w:r>
              <w:rPr/>
              <w:t>25,000,000</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18,750,000</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12,500,000</w:t>
            </w:r>
          </w:p>
        </w:tc>
        <w:tc>
          <w:tcPr>
            <w:tcW w:w="71" w:type="dxa"/>
            <w:tcBorders/>
            <w:vAlign w:val="bottom"/>
          </w:tcPr>
          <w:p>
            <w:pPr>
              <w:pStyle w:val="TableContents"/>
              <w:bidi w:val="0"/>
              <w:spacing w:before="0" w:after="283"/>
              <w:jc w:val="left"/>
              <w:rPr/>
            </w:pPr>
            <w:r>
              <w:rPr/>
              <w:t> </w:t>
            </w:r>
          </w:p>
        </w:tc>
      </w:tr>
      <w:tr>
        <w:trPr/>
        <w:tc>
          <w:tcPr>
            <w:tcW w:w="1324"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MUFG Securities Americas Inc.</w:t>
            </w:r>
          </w:p>
        </w:tc>
        <w:tc>
          <w:tcPr>
            <w:tcW w:w="1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12,500,000</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92" w:type="dxa"/>
            <w:tcBorders/>
            <w:shd w:fill="CCEEFF" w:val="clear"/>
            <w:vAlign w:val="bottom"/>
          </w:tcPr>
          <w:p>
            <w:pPr>
              <w:pStyle w:val="TableContents"/>
              <w:bidi w:val="0"/>
              <w:spacing w:before="0" w:after="283"/>
              <w:jc w:val="right"/>
              <w:rPr/>
            </w:pPr>
            <w:r>
              <w:rPr/>
              <w:t>25,000,000</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18,750,000</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12,500,000</w:t>
            </w:r>
          </w:p>
        </w:tc>
        <w:tc>
          <w:tcPr>
            <w:tcW w:w="71" w:type="dxa"/>
            <w:tcBorders/>
            <w:shd w:fill="CCEEFF" w:val="clear"/>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16"/>
              </w:rPr>
            </w:pPr>
            <w:r>
              <w:rPr>
                <w:rFonts w:ascii="Times New Roman" w:hAnsi="Times New Roman"/>
                <w:sz w:val="16"/>
              </w:rPr>
              <w:t>Scotia Capital (USA) Inc.</w:t>
            </w:r>
          </w:p>
        </w:tc>
        <w:tc>
          <w:tcPr>
            <w:tcW w:w="1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12,500,000</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92" w:type="dxa"/>
            <w:tcBorders/>
            <w:vAlign w:val="bottom"/>
          </w:tcPr>
          <w:p>
            <w:pPr>
              <w:pStyle w:val="TableContents"/>
              <w:bidi w:val="0"/>
              <w:spacing w:before="0" w:after="283"/>
              <w:jc w:val="right"/>
              <w:rPr/>
            </w:pPr>
            <w:r>
              <w:rPr/>
              <w:t>25,000,000</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18,750,000</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12,500,000</w:t>
            </w:r>
          </w:p>
        </w:tc>
        <w:tc>
          <w:tcPr>
            <w:tcW w:w="71" w:type="dxa"/>
            <w:tcBorders/>
            <w:vAlign w:val="bottom"/>
          </w:tcPr>
          <w:p>
            <w:pPr>
              <w:pStyle w:val="TableContents"/>
              <w:bidi w:val="0"/>
              <w:spacing w:before="0" w:after="283"/>
              <w:jc w:val="left"/>
              <w:rPr/>
            </w:pPr>
            <w:r>
              <w:rPr/>
              <w:t> </w:t>
            </w:r>
          </w:p>
        </w:tc>
      </w:tr>
      <w:tr>
        <w:trPr/>
        <w:tc>
          <w:tcPr>
            <w:tcW w:w="1324"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TD Securities (USA) LLC</w:t>
            </w:r>
          </w:p>
        </w:tc>
        <w:tc>
          <w:tcPr>
            <w:tcW w:w="1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12,500,000</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692" w:type="dxa"/>
            <w:tcBorders/>
            <w:shd w:fill="CCEEFF" w:val="clear"/>
            <w:vAlign w:val="bottom"/>
          </w:tcPr>
          <w:p>
            <w:pPr>
              <w:pStyle w:val="TableContents"/>
              <w:bidi w:val="0"/>
              <w:spacing w:before="0" w:after="283"/>
              <w:jc w:val="right"/>
              <w:rPr/>
            </w:pPr>
            <w:r>
              <w:rPr/>
              <w:t>25,000,000</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18,750,000</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12,500,000</w:t>
            </w:r>
          </w:p>
        </w:tc>
        <w:tc>
          <w:tcPr>
            <w:tcW w:w="71" w:type="dxa"/>
            <w:tcBorders/>
            <w:shd w:fill="CCEEFF" w:val="clear"/>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16"/>
              </w:rPr>
            </w:pPr>
            <w:r>
              <w:rPr>
                <w:rFonts w:ascii="Times New Roman" w:hAnsi="Times New Roman"/>
                <w:sz w:val="16"/>
              </w:rPr>
              <w:t>Tuohy Brothers Investment Research, Inc.</w:t>
            </w:r>
          </w:p>
        </w:tc>
        <w:tc>
          <w:tcPr>
            <w:tcW w:w="1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2,500,000</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692" w:type="dxa"/>
            <w:tcBorders/>
            <w:vAlign w:val="bottom"/>
          </w:tcPr>
          <w:p>
            <w:pPr>
              <w:pStyle w:val="TableContents"/>
              <w:bidi w:val="0"/>
              <w:spacing w:before="0" w:after="283"/>
              <w:jc w:val="right"/>
              <w:rPr/>
            </w:pPr>
            <w:r>
              <w:rPr/>
              <w:t>5,000,000</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3,750,000</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2,500,000</w:t>
            </w:r>
          </w:p>
        </w:tc>
        <w:tc>
          <w:tcPr>
            <w:tcW w:w="71" w:type="dxa"/>
            <w:tcBorders/>
            <w:vAlign w:val="bottom"/>
          </w:tcPr>
          <w:p>
            <w:pPr>
              <w:pStyle w:val="TableContents"/>
              <w:bidi w:val="0"/>
              <w:spacing w:before="0" w:after="283"/>
              <w:jc w:val="left"/>
              <w:rPr/>
            </w:pPr>
            <w:r>
              <w:rPr/>
              <w:t> </w:t>
            </w:r>
          </w:p>
        </w:tc>
      </w:tr>
      <w:tr>
        <w:trPr/>
        <w:tc>
          <w:tcPr>
            <w:tcW w:w="1324"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6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6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6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660"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1324"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w:t>
            </w:r>
          </w:p>
        </w:tc>
        <w:tc>
          <w:tcPr>
            <w:tcW w:w="1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660" w:type="dxa"/>
            <w:tcBorders/>
            <w:shd w:fill="CCEEFF" w:val="clear"/>
            <w:vAlign w:val="bottom"/>
          </w:tcPr>
          <w:p>
            <w:pPr>
              <w:pStyle w:val="TableContents"/>
              <w:bidi w:val="0"/>
              <w:spacing w:before="0" w:after="283"/>
              <w:jc w:val="right"/>
              <w:rPr/>
            </w:pPr>
            <w:r>
              <w:rPr/>
              <w:t>500,000,000</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692" w:type="dxa"/>
            <w:tcBorders/>
            <w:shd w:fill="CCEEFF" w:val="clear"/>
            <w:vAlign w:val="bottom"/>
          </w:tcPr>
          <w:p>
            <w:pPr>
              <w:pStyle w:val="TableContents"/>
              <w:bidi w:val="0"/>
              <w:spacing w:before="0" w:after="283"/>
              <w:jc w:val="right"/>
              <w:rPr/>
            </w:pPr>
            <w:r>
              <w:rPr/>
              <w:t>1,000,000,000</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660" w:type="dxa"/>
            <w:tcBorders/>
            <w:shd w:fill="CCEEFF" w:val="clear"/>
            <w:vAlign w:val="bottom"/>
          </w:tcPr>
          <w:p>
            <w:pPr>
              <w:pStyle w:val="TableContents"/>
              <w:bidi w:val="0"/>
              <w:spacing w:before="0" w:after="283"/>
              <w:jc w:val="right"/>
              <w:rPr/>
            </w:pPr>
            <w:r>
              <w:rPr/>
              <w:t>750,000,000</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660" w:type="dxa"/>
            <w:tcBorders/>
            <w:shd w:fill="CCEEFF" w:val="clear"/>
            <w:vAlign w:val="bottom"/>
          </w:tcPr>
          <w:p>
            <w:pPr>
              <w:pStyle w:val="TableContents"/>
              <w:bidi w:val="0"/>
              <w:spacing w:before="0" w:after="283"/>
              <w:jc w:val="right"/>
              <w:rPr/>
            </w:pPr>
            <w:r>
              <w:rPr/>
              <w:t>500,000,000</w:t>
            </w:r>
          </w:p>
        </w:tc>
        <w:tc>
          <w:tcPr>
            <w:tcW w:w="71" w:type="dxa"/>
            <w:tcBorders/>
            <w:shd w:fill="CCEEFF" w:val="clear"/>
            <w:vAlign w:val="bottom"/>
          </w:tcPr>
          <w:p>
            <w:pPr>
              <w:pStyle w:val="TableContents"/>
              <w:bidi w:val="0"/>
              <w:spacing w:before="0" w:after="283"/>
              <w:jc w:val="left"/>
              <w:rPr/>
            </w:pPr>
            <w:r>
              <w:rPr/>
              <w:t> </w:t>
            </w:r>
          </w:p>
        </w:tc>
      </w:tr>
      <w:tr>
        <w:trPr/>
        <w:tc>
          <w:tcPr>
            <w:tcW w:w="1324"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6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16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6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660"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have agreed to purchase all of the notes sold pursuant to the underwriting agreement if any of the notes are purchased. The underwriters reserve the right to withdraw, cancel or modify offers to the public and to reject orders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advised us that they propose initially to offer the notes to the public at the public offering price on the cover page of this prospectus supplement, and may offer the notes to dealers at that price less a concession not in excess of 0.200% of the principal amount of the 2029 notes, 0.400% of the principal amount of the 2033 notes, 0.400% of the principal amount of the 2036 notes and 0.550% of the principal amount of the 2056 notes. The underwriters may allow, and the dealers may reallow, a discount not in excess of 0.150% of the principal amount of the 2029 notes, 0.225% of the principal amount of the 2033 notes, 0.250% of the principal amount of the 2036 notes and 0.325% of the principal amount of the 2056 notes to other dealers. After the initial offering of the notes to the public, the public offering price, concession and discount may be changed. </w:t>
      </w:r>
    </w:p>
    <w:p>
      <w:pPr>
        <w:pStyle w:val="TextBody"/>
        <w:bidi w:val="0"/>
        <w:spacing w:before="240" w:after="0"/>
        <w:jc w:val="left"/>
        <w:rPr>
          <w:rFonts w:ascii="Times New Roman" w:hAnsi="Times New Roman"/>
          <w:sz w:val="20"/>
        </w:rPr>
      </w:pPr>
      <w:r>
        <w:rPr>
          <w:rFonts w:ascii="Times New Roman" w:hAnsi="Times New Roman"/>
          <w:sz w:val="20"/>
        </w:rPr>
        <w:t xml:space="preserve">We will pay underwriting discounts in connection with this offering of 0.350% of the principal amount of the 2029 notes, 0.625% of the principal amount of the 2033 notes, 0.650% of the principal amount of the 2036 notes and 0.875% of the principal amount of the 2056 notes. The expenses of the offering, not including the underwriting discounts, are estimated to be approximately $7 million and are payable by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notes are a new issue of securities with no established trading market. We do not intend to apply for listing of the notes on any national securities exchange or for quotation of the notes on any automated dealer quotation system. We cannot assure the liquidity of the trading market for the notes or that an active public market for the notes will develop or be maintained. If an active public trading market for the notes does not develop or is not maintained, the market price and liquidity of the notes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or to contribute to payments the underwriters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are permitted to engage in transactions that stabilize the market price of the notes. Such transactions consist of bids or purchases to peg, fix or maintain the price of the notes. If the underwriters create a short position in the notes in connection with the offering, i.e.,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these transactions or that these transactions, once commenced, will not be discontinued without notice. </w:t>
      </w:r>
    </w:p>
    <w:p>
      <w:pPr>
        <w:pStyle w:val="TextBody"/>
        <w:bidi w:val="0"/>
        <w:spacing w:before="240" w:after="0"/>
        <w:jc w:val="left"/>
        <w:rPr>
          <w:rFonts w:ascii="Times New Roman" w:hAnsi="Times New Roman"/>
          <w:sz w:val="20"/>
        </w:rPr>
      </w:pPr>
      <w:r>
        <w:rPr>
          <w:rFonts w:ascii="Times New Roman" w:hAnsi="Times New Roman"/>
          <w:sz w:val="20"/>
        </w:rPr>
        <w:t xml:space="preserve">It is expected that delivery of the notes in this offering will be made against payment therefor by purchasers in this offering on or about September 10, 2026, which is the second business day following the pricing date of the notes (such settlement cycle being referred to as T+2). Under Rule 15c6-1 under the Exchange Act, trades in the secondary market generally are required to settle in one business day, unless the parties to any such trade expressly agree otherwise. Accordingly, purchasers who wish to trade the notes prior to the business day before the settlement date will be required, by virtue of the fact that the notes initially will settle in T+2, to specify an alternative settlement cycle at the time of any such trade to prevent a failed settlement. Purchasers of the notes who wish to trade the notes prior to the business day before the settlement date should consult their own advisors. </w:t>
      </w:r>
    </w:p>
    <w:p>
      <w:pPr>
        <w:pStyle w:val="TextBody"/>
        <w:bidi w:val="0"/>
        <w:spacing w:before="360" w:after="0"/>
        <w:jc w:val="left"/>
        <w:rPr>
          <w:rFonts w:ascii="Times New Roman" w:hAnsi="Times New Roman"/>
          <w:b/>
          <w:sz w:val="20"/>
        </w:rPr>
      </w:pPr>
      <w:r>
        <w:rPr>
          <w:rFonts w:ascii="Times New Roman" w:hAnsi="Times New Roman"/>
          <w:b/>
          <w:sz w:val="20"/>
        </w:rPr>
        <w:t xml:space="preserve">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their affiliates have engaged, and may in the future engage, in commercial banking (including as lenders to us and our affiliates), investment banking or financial advisory transactions with us and our affiliates in the ordinary course of their business. Such underwriters and their affiliates have received customary compensation and reimbursement of their expenses for these commercial banking, investment banking or financial advisory transactions. In particular, certain of the underwriters are lenders under our credit facilities. Certain of the underwriters or their affiliates are dealers under our commercial paper program, and, to the extent they hold our commercial paper, may receive a portion of the proceeds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underwriters and their respective affiliates may make or hold a broad array of investments, including serving as counterparties to certain derivative and hedging arrangements, and actively trade debt and equity securities (or related derivative securities) and financial instruments (including bank loans) for their own account and for the accounts of their customers, and such investment and securities activities may involve our securities and/or instruments or those of our affiliates. </w:t>
      </w:r>
    </w:p>
    <w:p>
      <w:pPr>
        <w:pStyle w:val="TextBody"/>
        <w:bidi w:val="0"/>
        <w:spacing w:before="240" w:after="0"/>
        <w:jc w:val="left"/>
        <w:rPr>
          <w:rFonts w:ascii="Times New Roman" w:hAnsi="Times New Roman"/>
          <w:sz w:val="20"/>
        </w:rPr>
      </w:pPr>
      <w:r>
        <w:rPr>
          <w:rFonts w:ascii="Times New Roman" w:hAnsi="Times New Roman"/>
          <w:sz w:val="20"/>
        </w:rPr>
        <w:t xml:space="preserve">If any of the underwriters or their affiliates has a lending relationship with us certain of those underwriters or their affiliates routinely hedge, and certain other of those underwriters or their affiliates may hedge,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 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sz w:val="20"/>
        </w:rPr>
      </w:pPr>
      <w:r>
        <w:rPr>
          <w:rFonts w:ascii="Times New Roman" w:hAnsi="Times New Roman"/>
          <w:b/>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have been prepared on the basis that any offer of notes in any Member State of the European Economic Area (“EEA”) will be made pursuant to an exemption under Regulation (EU) 2017/1129 (as amended, the “Prospectus Regulation”) from the requirement to publish a prospectus for offers of notes. Accordingly any person making or intending to make an offer in that Member State of notes, which are the subject of the offering contemplated in this prospectus supplement, may only do so to legal entities which are not “retail investors” (as defined below), provided that no such offer of notes shall require the Company or any of the underwriters to publish a prospectus pursuant to Article 3 of the Prospectus Regulation or supplement a prospectus pursuant to Article 23 of the Prospectus Regulation, in each case in relation to such offer. </w:t>
      </w:r>
    </w:p>
    <w:p>
      <w:pPr>
        <w:pStyle w:val="TextBody"/>
        <w:bidi w:val="0"/>
        <w:spacing w:before="240" w:after="0"/>
        <w:jc w:val="left"/>
        <w:rPr>
          <w:rFonts w:ascii="Times New Roman" w:hAnsi="Times New Roman"/>
          <w:sz w:val="20"/>
        </w:rPr>
      </w:pPr>
      <w:r>
        <w:rPr>
          <w:rFonts w:ascii="Times New Roman" w:hAnsi="Times New Roman"/>
          <w:sz w:val="20"/>
        </w:rPr>
        <w:t xml:space="preserve">Neither the Company nor the underwriters have authorized, nor do they authorize, the making of any offer of notes to any legal entity which is not a retail investor. Neither the Company nor the underwriters have authorized, nor do they authorize, the making of any offer of notes through any financial intermediary, other than offers made by the underwriters, which constitute the final placement of the notes contemplated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Each underwriter has represented and agreed that it has not offered, sold or otherwise made available and will not offer, sell or otherwise make available any notes to any retail investor in any Member State. For the purposes of this provision: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expression “retail investor” means a person who is one (or more) of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retail client as defined in point (11) of Article 4(1) of Directive 2014/65/EU (as amended, “MiFID 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customer within the meaning of Directive (EU) 2016/97 (as amended, the “IDD”), where that customer would not qualify as a professional client as defined in point (10) of Article 4(1) of MiFID II;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 qualified investor as defined in the Prospectus Regulation;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expression “offer” includes the communication in any form and by any means of sufficient information on the terms of the offer and the notes to be offered so as to enable an investor to decide to purchase or subscribe for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person in a Member State who receives any communication in respect of, or who acquires any notes under, the offers to the public contemplated in this prospectus supplement, or to whom the notes are otherwise made available, will be deemed to have represented, warranted, acknowledged and agreed to and with each underwriter and the Company that it and any person on whose behalf it acquires the notes is not a “retail investor”.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EEA. Consequently, no key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240" w:after="0"/>
        <w:jc w:val="left"/>
        <w:rPr>
          <w:rFonts w:ascii="Times New Roman" w:hAnsi="Times New Roman"/>
          <w:sz w:val="20"/>
        </w:rPr>
      </w:pPr>
      <w:r>
        <w:rPr>
          <w:rFonts w:ascii="Times New Roman" w:hAnsi="Times New Roman"/>
          <w:sz w:val="20"/>
        </w:rPr>
        <w:t xml:space="preserve">Any distributor subject to MiFID II (for the purposes of this paragraph, a “distributor”) subsequently offering, selling or recommending the notes is responsible for undertaking its own target market assessment in respect of the notes and determining the appropriate distribution channels for the purposes of the MiFID II product governance rules under Commission Delegated Directive (EU) 2017/593 (“Delegated Directive”). Neither the Company nor any of the underwriters make any representations or warranties as to a distributor’s compliance with the Delegated Directive.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distributed or otherwise made available to and should not be offered, sold, distributed or otherwise made available to any retail investor in the United Kingdom (the “UK”). For these purposes, a retail investor means a person who is either one (or both) of: (a) not a professional client, as defined in point (8) of Article 2(1) of Regulation (EU) No 600/2014 as it forms part of domestic law by virtue of the European Union (Withdrawal) Act 2018; or (b) not a qualified investor as defined in paragraph 15 of Schedule 1 to the Public Offers and Admissions to Trading Regulations 2024 (the “POATRs”). 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 This prospectus supplement and the accompanying prospectus have been prepared on the basis that any offer of notes in the UK will be made pursuant to an exception from the prohibition on offers of notes to the public under the POATRs. </w:t>
      </w:r>
    </w:p>
    <w:p>
      <w:pPr>
        <w:pStyle w:val="TextBody"/>
        <w:bidi w:val="0"/>
        <w:spacing w:before="240" w:after="0"/>
        <w:jc w:val="left"/>
        <w:rPr>
          <w:rFonts w:ascii="Times New Roman" w:hAnsi="Times New Roman"/>
          <w:sz w:val="20"/>
        </w:rPr>
      </w:pPr>
      <w:r>
        <w:rPr>
          <w:rFonts w:ascii="Times New Roman" w:hAnsi="Times New Roman"/>
          <w:sz w:val="20"/>
        </w:rPr>
        <w:t xml:space="preserve">In the UK, this prospectus supplement and the accompanying prospectus are being distributed only to, and are directed only at, persons who are “qualified investors” (as defined in paragraph 15 of Schedule 1 to the POATRs who are (a) persons having professional experience in matters relating to investments falling within Article 19(5) of the Financial Services and Markets Act 2000 (Financial Promotion) Order 2005 (as amended, the “Order”); (b) persons falling within Article 49(2)(a) to (d) (“high net worth companies, unincorporated associations etc.”) of the Order; or (c) persons to whom an invitation or inducement to engage in investment activity (within the meaning of section 21 of the Financial Services and Markets Act 2000, as amended) in connection with the issue or sale of any securities may otherwise lawfully be communicated or caused to be communicated, all such persons together being referred to as “Relevant Persons.” In the UK, any investment or investment activity to which this prospectus supplement and the accompanying prospectus relate is available only to, and will be engaged in only with, Relevant Persons. This prospectus supplement and the accompanying prospectus and their respective contents are confidential and should not be distributed, published or reproduced (in whole or in part) or disclosed by any recipients to any other person in the UK. Any person in the UK that is not a Relevant Person should not act or rely on this prospectus supplement and the accompanying prospectus or their respective contents.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only to purchasers purchasing, or deemed to be purchasing, as principal that are accredited investors, as defined in National Instrument 45-106 </w:t>
      </w:r>
      <w:r>
        <w:rPr>
          <w:rFonts w:ascii="Times New Roman" w:hAnsi="Times New Roman"/>
          <w:i/>
          <w:sz w:val="20"/>
        </w:rPr>
        <w:t>Prospectus Exemptions</w:t>
      </w:r>
      <w:r>
        <w:rPr>
          <w:rFonts w:ascii="Times New Roman" w:hAnsi="Times New Roman"/>
          <w:sz w:val="20"/>
        </w:rPr>
        <w:t xml:space="preserve"> or subsection 73.3(1) of the </w:t>
      </w:r>
      <w:r>
        <w:rPr>
          <w:rFonts w:ascii="Times New Roman" w:hAnsi="Times New Roman"/>
          <w:i/>
          <w:sz w:val="20"/>
        </w:rPr>
        <w:t>Securities Act</w:t>
      </w:r>
      <w:r>
        <w:rPr>
          <w:rFonts w:ascii="Times New Roman" w:hAnsi="Times New Roman"/>
          <w:sz w:val="20"/>
        </w:rPr>
        <w:t xml:space="preserve"> (Ontario), and are permitted clients, as defined in National Instrument 31-103 </w:t>
      </w:r>
      <w:r>
        <w:rPr>
          <w:rFonts w:ascii="Times New Roman" w:hAnsi="Times New Roman"/>
          <w:i/>
          <w:sz w:val="20"/>
        </w:rPr>
        <w:t>Registration Requirements, Exemptions and Ongoing Registrant Obligations</w:t>
      </w:r>
      <w:r>
        <w:rPr>
          <w:rFonts w:ascii="Times New Roman" w:hAnsi="Times New Roman"/>
          <w:sz w:val="20"/>
        </w:rPr>
        <w:t xml:space="preserve">. Any resale of the notes must be made in accordance with an exemption from, or in a transaction not subject to, the prospectus requirements of applicable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w:t>
      </w:r>
      <w:r>
        <w:rPr>
          <w:rFonts w:ascii="Times New Roman" w:hAnsi="Times New Roman"/>
          <w:i/>
          <w:sz w:val="20"/>
        </w:rPr>
        <w:t>Underwriting Conflicts</w:t>
      </w:r>
      <w:r>
        <w:rPr>
          <w:rFonts w:ascii="Times New Roman" w:hAnsi="Times New Roman"/>
          <w:sz w:val="20"/>
        </w:rPr>
        <w:t xml:space="preserve">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 </w:t>
      </w:r>
    </w:p>
    <w:p>
      <w:pPr>
        <w:pStyle w:val="TextBody"/>
        <w:bidi w:val="0"/>
        <w:spacing w:before="240" w:after="0"/>
        <w:jc w:val="left"/>
        <w:rPr>
          <w:rFonts w:ascii="Times New Roman" w:hAnsi="Times New Roman"/>
          <w:sz w:val="20"/>
        </w:rPr>
      </w:pPr>
      <w:r>
        <w:rPr>
          <w:rFonts w:ascii="Times New Roman" w:hAnsi="Times New Roman"/>
          <w:i/>
          <w:sz w:val="20"/>
        </w:rPr>
        <w:t>Singapore SFA Product Classification</w:t>
      </w:r>
      <w:r>
        <w:rPr>
          <w:rFonts w:ascii="Times New Roman" w:hAnsi="Times New Roman"/>
          <w:sz w:val="20"/>
        </w:rPr>
        <w:t xml:space="preserve"> — In connection with Section 309B of the SFA and the CMP Regulations 2018, unless otherwise specified before an offer of notes, the Company has determined, and hereby notifies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FinSA and neither this document nor any other offering or marketing material relating to the notes or the offering may be publicly distributed or otherwise made publicly available in Switzerland.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under the Financial Instruments and Exchange Law of Japan (the Financial Instruments and Exchange Law) and each underwriter has agreed that it will not offer or sell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Taiwan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with the Financial Supervisory Commission of Taiwan, the Republic of China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with or the approval of the Financial Supervisory Commission of Taiwan. No person or entity in Taiwan has been authorized to offer, sell, give advice regarding or otherwise intermediate the offering or sale of the notes in Taiwan.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offering memorandum,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notes may only be made to persons (the “Exempt Investors”) who are “sophisticated investors” (within the meaning of section 708(8) of the Corporations Act), “professional investors” (within the meaning of 708(11) of the Corporations Act) or otherwise pursuant to one or more exemptions contained in section 708 of the Corporations Act so that it is lawful to offer the notes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person acquiring securities must observe such Australian on-sale restrictions. 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or the Dubai Financial Services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Notice to Prospective Investors in the Abu Dhabi Global Market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is for distribution only to persons who (a) are outside the Abu Dhabi Global Market, (b) are Authorised Persons or Recognised Bodies (as such terms are defined in the Financial Services and Markets Regulations 2015 (“FSMR”)), or (c) are persons to whom an invitation or inducement to engage in investment activity (within the meaning of section 18 of FSMR)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 This document relates to an “Exempt Offer” within the meaning of section 61(3)(a) of the FSMR and Rule 4.3.1 of the Market Rules of the Financial Services Regulatory Authority or otherwise in circumstances which do not require the publication of an “Approved Prospectus” (as defined in section 61(2) of the FSMR).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relates to an Exempt Offer in accordance with the Offered Securities Rules of the Dubai Financial Services Authority (“DFSA”). This prospectus supplement is for distribution only to persons who (a) are outside the Dubai International Financial Centre, (b) are Professional Clients (as such term is defined under Rule 2.3.4 of the Conduct of Business Module of the DFSA), or (c) are persons to whom an invitation or inducement to: (a) enter into an agreement in relation to the provision of a financial services or (b) exercise any rights conferred by a financial product or acquire, dispose of, underwrite or convert a financial product (within the meaning of Article 41A of the Regulatory Law)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 </w:t>
      </w:r>
    </w:p>
    <w:p>
      <w:pPr>
        <w:pStyle w:val="TextBody"/>
        <w:bidi w:val="0"/>
        <w:spacing w:before="240" w:after="0"/>
        <w:jc w:val="left"/>
        <w:rPr>
          <w:rFonts w:ascii="Times New Roman" w:hAnsi="Times New Roman"/>
          <w:sz w:val="20"/>
        </w:rPr>
      </w:pPr>
      <w:r>
        <w:rPr>
          <w:rFonts w:ascii="Times New Roman" w:hAnsi="Times New Roman"/>
          <w:sz w:val="20"/>
        </w:rPr>
        <w:t xml:space="preserve">The DFSA has no responsibility for reviewing or verifying any documents in connection with Exempt Offers. The DFSA has not approved this prospectus supplement nor taken steps to verify the information set forth herein and has no responsibility for the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Korea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under the Financial Investments Services and Capital Markets Act of Korea and the decrees and regulations thereunder (the “FSCMA”), and the notes have been and will be offered in Korea as a private placement under the FSCMA. None of the notes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notes have not been listed on any securities exchanges in the world including, without limitation, the Korea Exchange in Korea. Furthermore, the purchaser of the notes shall comply with all applicable regulatory requirements (including, but not limited to, requirements under the FETL) in connection with the purchase of the notes. By the purchase of the notes, the relevant holder thereof will be deemed to represent and warrant that if it is in Korea or is a resident of Korea, it purchased the notes pursuant to the applicable laws and regulations of Korea.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Notice to Prospective Investors in Luxembourg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not been approved by and will not be submitted for approval to the Luxembourg Financial Sector Authority (Commission de Surveillance du Secteur Financier) (the “CSSF”), or a competent authority of another Member State of the EEA for notification to the CSSF, for purposes of public offering or sale in Luxembourg. Accordingly, the notes may not be offered or sold to the public in Luxembourg, directly or indirectly, and neither this prospectus supplement, the indenture nor any other circular, prospectus, form of application, advertisement or other material related to such offer may be distributed, or otherwise be made available in or from, or published in, Luxembourg except in circumstances where the offer benefits from an exemption to or constitutes a transaction otherwise not subject to the requirement to publish a prospectus for the purposes of the Prospectus Regulation and the Luxembourg law of 16 July 2019 on prospectuses for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Italy </w:t>
      </w:r>
    </w:p>
    <w:p>
      <w:pPr>
        <w:pStyle w:val="TextBody"/>
        <w:bidi w:val="0"/>
        <w:spacing w:before="120" w:after="0"/>
        <w:jc w:val="left"/>
        <w:rPr>
          <w:rFonts w:ascii="Times New Roman" w:hAnsi="Times New Roman"/>
          <w:sz w:val="20"/>
        </w:rPr>
      </w:pPr>
      <w:r>
        <w:rPr>
          <w:rFonts w:ascii="Times New Roman" w:hAnsi="Times New Roman"/>
          <w:sz w:val="20"/>
        </w:rPr>
        <w:t xml:space="preserve">The offering of the notes has not been registered with the Italian Securities and Exchange Commission (Commissione Nazionale per le Società e la Borsa, the “CONSOB”) pursuant to Italian securities legislation and, accordingly, no notes may be offered, sold or delivered, nor may copies of this prospectus supplement, the accompanying prospectus, or any other document relating to the notes be distributed in the Republic of Italy (“Italy”), except: (i) to qualified investors (investitori qualificati), pursuant to Article 100 of Legislative Decree no. 58 of February 24, 1998 (the “Consolidated Financial Services Act”) and Article 34-ter, paragraph 1, letter (b) of CONSOB regulation No. 11971 of May 14, 1999 (the “CONSOB Regulation”), all as amended; or (ii) in any other circumstances where an express exemption from compliance with the restrictions on offers to the public applies, as provided under Article 100 of the Consolidated Financial Services Act and Article 34-ter of the CONSOB Regulation. Moreover, and subject to the foregoing, any offer, sale or delivery of the notes or distribution of copies of this prospectus supplement, the accompanying prospectus, or any other document relating to the notes in Italy under (i) or (ii) above must be: (i) made by an investment firm, bank or financial intermediary permitted to conduct such activities in Italy in accordance with the Consolidated Financial Services Act, Legislative Decree No. 385 of September 1, 1993 (the “Banking Act”), CONSOB Regulation No. 20307 of February 15, 2018, all as amended; (ii) in compliance with Article 129 of the Banking Act, as amended from time to time, and the implementing guidelines of the Bank of Italy, as amended from time to time, pursuant to which the Bank of Italy may request information on the offering or issue of securities in Italy; and (iii) in compliance with any securities, tax, exchange control and any other applicable laws and regulations, including any limitation or requirement which may be imposed from time to time, inter alia, by CONSOB or the Bank of Italy. Any investor purchasing the notes in the offering is solely responsible for ensuring that any offer or resale of the notes it purchased in the offering occurs in compliance with applicable Italian laws and regulations.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Ireland </w:t>
      </w:r>
    </w:p>
    <w:p>
      <w:pPr>
        <w:pStyle w:val="TextBody"/>
        <w:bidi w:val="0"/>
        <w:spacing w:before="120" w:after="0"/>
        <w:jc w:val="left"/>
        <w:rPr>
          <w:rFonts w:ascii="Times New Roman" w:hAnsi="Times New Roman"/>
          <w:sz w:val="20"/>
        </w:rPr>
      </w:pPr>
      <w:r>
        <w:rPr>
          <w:rFonts w:ascii="Times New Roman" w:hAnsi="Times New Roman"/>
          <w:sz w:val="20"/>
        </w:rPr>
        <w:t xml:space="preserve">No action may be taken with respect to the notes in or involving Ireland otherwise than in conformity with the provisions of (a) the European Union (Markets in Financial Instruments) Regulations 2017 (S.I. No. 375 of 2017) (as amended) of Ireland (the “MiFID Regulations”), including, without limitation, Regulation 5 (Regulation for authorisation (and certain provisions concerning MTFs and OTFs)) thereof, or any corresponding provision of any replacement legislation, or any codes of conduct used in connection therewith and the provisions of the Investor Compensation Act 1998 of Ireland, (b) the Companies Act 2014 of Ireland (as amended, the “Companies Act”), the Central Bank Acts 1942 to 2018 of Ireland (as amended) and any codes of conduct rules made under Section 117(1) of the Central Bank Act 1989 of Ireland (as amended), (c) the Prospectus Regulation and any rules or guidance issued under Section 1363 of the Companies Act by the Central Bank of Ireland, and (d) the Market Abuse Regulation (EU 596/2014) (as amended), the European Union (Market Abuse) Regulations 2016 (as amended) of Ireland and any rules and guidance issued by the Central Bank of Ireland under Section 1370 of the Companies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Notice to Prospective Investors in France </w:t>
      </w:r>
    </w:p>
    <w:p>
      <w:pPr>
        <w:pStyle w:val="TextBody"/>
        <w:bidi w:val="0"/>
        <w:spacing w:before="120" w:after="0"/>
        <w:jc w:val="left"/>
        <w:rPr>
          <w:rFonts w:ascii="Times New Roman" w:hAnsi="Times New Roman"/>
          <w:sz w:val="20"/>
        </w:rPr>
      </w:pPr>
      <w:r>
        <w:rPr>
          <w:rFonts w:ascii="Times New Roman" w:hAnsi="Times New Roman"/>
          <w:sz w:val="20"/>
        </w:rPr>
        <w:t xml:space="preserve">Neither this prospectus supplement nor any other offering material relating to the notes described in this prospectus supplement has been submitted to the clearance procedures of the Autorité des Marchés Financiers or of the competent authority of another member state of the European Economic Area and notified to the Autorité des Marchés Financiers. The notes have not been offered or sold and will not be offered or sold, directly or indirectly, to the public in France. Neither this prospectus supplement nor any other offering material relating to the notes has been or will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released, issued, distributed or caused to be released, issued or distributed to the public in France;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used in connection with any offer for subscription or sale of the notes to the public in France.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offers, sales and distributions will be made in France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qualified investors (investisseurs qualifiés) and/or to a restricted circle of investors (cercle restraint d’investisseurs), in each case investing for their own account, all as defined in, and in accordance with, articles L.411-2, D.411-1, D.411-2, D.734-1, D.744-1, D.754-1 and D.764-1 of the French Code monétaire et financier;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investment services providers authorized to engage in portfolio management on behalf of third parties;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 transaction that, in accordance with article L.411-2-II-1o-or-2o-or 3o of the French Code monétaire et financier and article 211-2 of the General Regulations (Règlement Général) of the Autorité des Marchés Financiers, does not constitute a public offer (appel public à l’épargne).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may be resold directly or indirectly, only in compliance with articles L.411-1, L.411-2, L.412-1 and L.621-8 through L.621-8-3 of the French Code monétaire et financier.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Germany </w:t>
      </w:r>
    </w:p>
    <w:p>
      <w:pPr>
        <w:pStyle w:val="TextBody"/>
        <w:bidi w:val="0"/>
        <w:spacing w:before="120" w:after="0"/>
        <w:jc w:val="left"/>
        <w:rPr>
          <w:rFonts w:ascii="Times New Roman" w:hAnsi="Times New Roman"/>
          <w:sz w:val="20"/>
        </w:rPr>
      </w:pPr>
      <w:r>
        <w:rPr>
          <w:rFonts w:ascii="Times New Roman" w:hAnsi="Times New Roman"/>
          <w:sz w:val="20"/>
        </w:rPr>
        <w:t xml:space="preserve">Each person who is in possession of this prospectus supplement is aware of the fact that no German securities prospectus (wertpapierprospekt) within the meaning of the German Securities Prospectus Act (Wertpapier-prospektgesetz, or the Act) of the Federal Republic of Germany has been or will be published with respect to the shares of our common stock. In particular, each underwriter has represented that it has not engaged and has agreed that it will not engage in a public offering in the Federal Republic of Germany within the meaning of the Act with respect to any of the shares of our common stock otherwise than in accordance with the Act and all other applicable legal and regulatory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3" w:name="supptoc110651_11"/>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matters with respect to the issuance and sale of the notes offered hereby will be passed upon for us by Gibson, Dunn &amp; Crutcher LLP. Certain legal matters in connection with the notes offered hereby will be passed upon for the underwriters by Weil, Gotshal &amp; Manges LLP, New York, New York. </w:t>
      </w:r>
    </w:p>
    <w:p>
      <w:pPr>
        <w:pStyle w:val="TextBody"/>
        <w:bidi w:val="0"/>
        <w:spacing w:before="480" w:after="0"/>
        <w:jc w:val="center"/>
        <w:rPr>
          <w:rFonts w:ascii="Times New Roman" w:hAnsi="Times New Roman"/>
          <w:b/>
          <w:sz w:val="20"/>
        </w:rPr>
      </w:pPr>
      <w:bookmarkStart w:id="14" w:name="supptoc110651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The Williams Companies, Inc. appearing in The Williams Companies, Inc.’s Annual Report (Form 10-K) for the year ended December 31, 2025, including the schedule appearing therein, and the effectiveness of The Williams Companies, Inc.’s internal control over financial reporting as of December 31, 2025, have been audited by Ernst &amp; Young LLP, independent registered public accounting firm, as set forth in their reports thereon, included therein, and incorporated herein by reference. Such consolidated financial statements and The Williams Companies, Inc.’s management’s assessment of the effectiveness of internal control over financial reporting as of December 31, 2025 are incorporated herein by reference in reliance upon such reports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Transcontinental Gas Pipe Line Company, LLC and Northwest Pipeline LLC appearing in The Williams Companies, Inc.’s Annual Report (Form 10-K) for the year ended December 31, 2025, have been audited by Ernst &amp; Young LLP, independent registered public accounting firm, as set forth in their reports thereon, included therein, and incorporated herein by reference. Such financial statements are incorporated herein by reference in reliance upon such reports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5" w:name="supptoc110651_13"/>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registration statement with the SEC under the Securities Act that registers the offer and sale of the notes covered by this prospectus supplement. The registration statement, including the attached exhibits, contains additional relevant information about us. In addition, we file annual, quarterly and other reports, proxy statements and other information with the SEC. The SEC maintains a website that contains reports, proxy and information statements and other information regarding issuers that file electronically with the SEC. Our SEC filings are available on the SEC’s website at http://www.sec.gov. Unless specifically listed below, the information contained on the SEC website is not intended to be incorporated by reference in this prospectus supplement and you should not consider that information a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6" w:name="supptoc110651_14"/>
      <w:bookmarkEnd w:id="16"/>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we have filed with the SEC. This means that we can disclose important information to you without actually including the specific information in this prospectus supplement or the accompanying base prospectus by referring you to other documents filed separately with the SEC. The information incorporated by reference is an important part of this prospectus supplement and the accompanying base prospectus. Information that we later provide to the SEC, and which is deemed to be “filed” with the SEC, will automatically update information previously filed with the SEC, and may replace information in this prospectus supplement and the accompanying base prospectus and information previously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 this prospectus supplement the following documents that we have previously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(File No. 1-04174) for the year ended December 31, 2025, filed on February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Form 10-Q (File No. 1-04174) for the three month period ended March  31, 2026, filed on </w:t>
            </w:r>
            <w:hyperlink r:id="rId4">
              <w:r>
                <w:rPr>
                  <w:rStyle w:val="InternetLink"/>
                  <w:rFonts w:ascii="Times New Roman" w:hAnsi="Times New Roman"/>
                  <w:sz w:val="20"/>
                </w:rPr>
                <w:t>May 4, 2026</w:t>
              </w:r>
            </w:hyperlink>
            <w:r>
              <w:rPr>
                <w:rFonts w:ascii="Times New Roman" w:hAnsi="Times New Roman"/>
                <w:sz w:val="20"/>
              </w:rPr>
              <w:t xml:space="preserve">, and our Quarterly Report on Form 10-Q (File No. 1-04174) for the three and six month periods ended June  30, 2026, filed on </w:t>
            </w:r>
            <w:hyperlink r:id="rId5">
              <w:r>
                <w:rPr>
                  <w:rStyle w:val="InternetLink"/>
                  <w:rFonts w:ascii="Times New Roman" w:hAnsi="Times New Roman"/>
                  <w:sz w:val="20"/>
                </w:rPr>
                <w:t>August 3,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sections included in our </w:t>
            </w:r>
            <w:hyperlink r:id="rId6">
              <w:r>
                <w:rPr>
                  <w:rStyle w:val="InternetLink"/>
                  <w:rFonts w:ascii="Times New Roman" w:hAnsi="Times New Roman"/>
                  <w:sz w:val="20"/>
                </w:rPr>
                <w:t>definitive proxy statement</w:t>
              </w:r>
            </w:hyperlink>
            <w:r>
              <w:rPr>
                <w:rFonts w:ascii="Times New Roman" w:hAnsi="Times New Roman"/>
                <w:sz w:val="20"/>
              </w:rPr>
              <w:t xml:space="preserve"> filed on March 18, 2026 that are incorporated by reference into our Annual Report on Form 10-K for the year ended December 31,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 No. 1-04174) filed on </w:t>
            </w:r>
            <w:hyperlink r:id="rId7">
              <w:r>
                <w:rPr>
                  <w:rStyle w:val="InternetLink"/>
                  <w:rFonts w:ascii="Times New Roman" w:hAnsi="Times New Roman"/>
                  <w:sz w:val="20"/>
                </w:rPr>
                <w:t>January  8, 2026</w:t>
              </w:r>
            </w:hyperlink>
            <w:r>
              <w:rPr>
                <w:rFonts w:ascii="Times New Roman" w:hAnsi="Times New Roman"/>
                <w:sz w:val="20"/>
              </w:rPr>
              <w:t xml:space="preserve"> (Item 8.01 only), </w:t>
            </w:r>
            <w:hyperlink r:id="rId8">
              <w:r>
                <w:rPr>
                  <w:rStyle w:val="InternetLink"/>
                  <w:rFonts w:ascii="Times New Roman" w:hAnsi="Times New Roman"/>
                  <w:sz w:val="20"/>
                </w:rPr>
                <w:t>January  8, 2026</w:t>
              </w:r>
            </w:hyperlink>
            <w:r>
              <w:rPr>
                <w:rFonts w:ascii="Times New Roman" w:hAnsi="Times New Roman"/>
                <w:sz w:val="20"/>
              </w:rPr>
              <w:t xml:space="preserve">, </w:t>
            </w:r>
            <w:hyperlink r:id="rId9">
              <w:r>
                <w:rPr>
                  <w:rStyle w:val="InternetLink"/>
                  <w:rFonts w:ascii="Times New Roman" w:hAnsi="Times New Roman"/>
                  <w:sz w:val="20"/>
                </w:rPr>
                <w:t>March  26, 2026</w:t>
              </w:r>
            </w:hyperlink>
            <w:r>
              <w:rPr>
                <w:rFonts w:ascii="Times New Roman" w:hAnsi="Times New Roman"/>
                <w:sz w:val="20"/>
              </w:rPr>
              <w:t xml:space="preserve">, </w:t>
            </w:r>
            <w:hyperlink r:id="rId10">
              <w:r>
                <w:rPr>
                  <w:rStyle w:val="InternetLink"/>
                  <w:rFonts w:ascii="Times New Roman" w:hAnsi="Times New Roman"/>
                  <w:sz w:val="20"/>
                </w:rPr>
                <w:t>May  4, 2026</w:t>
              </w:r>
            </w:hyperlink>
            <w:r>
              <w:rPr>
                <w:rFonts w:ascii="Times New Roman" w:hAnsi="Times New Roman"/>
                <w:sz w:val="20"/>
              </w:rPr>
              <w:t xml:space="preserve"> (Item 5.02 and Item 5.07 only), </w:t>
            </w:r>
            <w:hyperlink r:id="rId11">
              <w:r>
                <w:rPr>
                  <w:rStyle w:val="InternetLink"/>
                  <w:rFonts w:ascii="Times New Roman" w:hAnsi="Times New Roman"/>
                  <w:sz w:val="20"/>
                </w:rPr>
                <w:t>May  20, 2026</w:t>
              </w:r>
            </w:hyperlink>
            <w:r>
              <w:rPr>
                <w:rFonts w:ascii="Times New Roman" w:hAnsi="Times New Roman"/>
                <w:sz w:val="20"/>
              </w:rPr>
              <w:t xml:space="preserve">, </w:t>
            </w:r>
            <w:hyperlink r:id="rId12">
              <w:r>
                <w:rPr>
                  <w:rStyle w:val="InternetLink"/>
                  <w:rFonts w:ascii="Times New Roman" w:hAnsi="Times New Roman"/>
                  <w:sz w:val="20"/>
                </w:rPr>
                <w:t>July  1, 2026</w:t>
              </w:r>
            </w:hyperlink>
            <w:r>
              <w:rPr>
                <w:rFonts w:ascii="Times New Roman" w:hAnsi="Times New Roman"/>
                <w:sz w:val="20"/>
              </w:rPr>
              <w:t xml:space="preserve"> (Item 5.02 only), </w:t>
            </w:r>
            <w:hyperlink r:id="rId13">
              <w:r>
                <w:rPr>
                  <w:rStyle w:val="InternetLink"/>
                  <w:rFonts w:ascii="Times New Roman" w:hAnsi="Times New Roman"/>
                  <w:sz w:val="20"/>
                </w:rPr>
                <w:t>August  21, 2026</w:t>
              </w:r>
            </w:hyperlink>
            <w:r>
              <w:rPr>
                <w:rFonts w:ascii="Times New Roman" w:hAnsi="Times New Roman"/>
                <w:sz w:val="20"/>
              </w:rPr>
              <w:t xml:space="preserve"> and </w:t>
            </w:r>
            <w:hyperlink r:id="rId14">
              <w:r>
                <w:rPr>
                  <w:rStyle w:val="InternetLink"/>
                  <w:rFonts w:ascii="Times New Roman" w:hAnsi="Times New Roman"/>
                  <w:sz w:val="20"/>
                </w:rPr>
                <w:t>September 3, 2026</w:t>
              </w:r>
            </w:hyperlink>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These reports contain important information about us, our financial condition and our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All documents that we file with the SEC under Sections 13(a), 13(c), 14 or 15(d) of the Exchange Act after the date of this prospectus supplement and prior to the termination of this offering will also be deemed to be incorporated herein by reference and will automatically update and supersede information in this prospectus supplement. Nothing in this prospectus supplement shall be deemed to incorporate information furnished to, but not filed with, the SEC pursuant to Item 2.02 or Item 7.01 of Form 8-K (or corresponding information furnished under Item 9.01 or included as an exhibit). </w:t>
      </w:r>
    </w:p>
    <w:p>
      <w:pPr>
        <w:pStyle w:val="TextBody"/>
        <w:bidi w:val="0"/>
        <w:spacing w:before="240" w:after="0"/>
        <w:jc w:val="left"/>
        <w:rPr>
          <w:rFonts w:ascii="Times New Roman" w:hAnsi="Times New Roman"/>
          <w:sz w:val="20"/>
        </w:rPr>
      </w:pPr>
      <w:r>
        <w:rPr>
          <w:rFonts w:ascii="Times New Roman" w:hAnsi="Times New Roman"/>
          <w:sz w:val="20"/>
        </w:rPr>
        <w:t xml:space="preserve">We make available free of charge on or through our Internet website, http://www.williams.com,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 Information contained on our Internet website is not part of this prospectus supplement and does not constitute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may obtain any of the documents incorporated by reference in this prospectus supplement from the SEC through the SEC’s website at the address provided above. You also may request a copy of any document incorporated by reference in this prospectus supplement (excluding any exhibits to those documents, unless the exhibit is specifically incorporated by reference in this document), at no cost, by visiting our Internet website at http://www.williams.com, or by writing or calling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The Williams Companies, Inc. </w:t>
      </w:r>
    </w:p>
    <w:p>
      <w:pPr>
        <w:pStyle w:val="TextBody"/>
        <w:bidi w:val="0"/>
        <w:spacing w:before="0" w:after="0"/>
        <w:jc w:val="center"/>
        <w:rPr>
          <w:rFonts w:ascii="Times New Roman" w:hAnsi="Times New Roman"/>
          <w:sz w:val="20"/>
        </w:rPr>
      </w:pPr>
      <w:r>
        <w:rPr>
          <w:rFonts w:ascii="Times New Roman" w:hAnsi="Times New Roman"/>
          <w:sz w:val="20"/>
        </w:rPr>
        <w:t xml:space="preserve">One Williams Center </w:t>
      </w:r>
    </w:p>
    <w:p>
      <w:pPr>
        <w:pStyle w:val="TextBody"/>
        <w:bidi w:val="0"/>
        <w:spacing w:before="0" w:after="0"/>
        <w:jc w:val="center"/>
        <w:rPr>
          <w:rFonts w:ascii="Times New Roman" w:hAnsi="Times New Roman"/>
          <w:sz w:val="20"/>
        </w:rPr>
      </w:pPr>
      <w:r>
        <w:rPr>
          <w:rFonts w:ascii="Times New Roman" w:hAnsi="Times New Roman"/>
          <w:sz w:val="20"/>
        </w:rPr>
        <w:t xml:space="preserve">Tulsa, Oklahoma 74172-0172 </w:t>
      </w:r>
    </w:p>
    <w:p>
      <w:pPr>
        <w:pStyle w:val="TextBody"/>
        <w:bidi w:val="0"/>
        <w:spacing w:before="0" w:after="0"/>
        <w:jc w:val="center"/>
        <w:rPr>
          <w:rFonts w:ascii="Times New Roman" w:hAnsi="Times New Roman"/>
          <w:sz w:val="20"/>
        </w:rPr>
      </w:pPr>
      <w:r>
        <w:rPr>
          <w:rFonts w:ascii="Times New Roman" w:hAnsi="Times New Roman"/>
          <w:sz w:val="20"/>
        </w:rPr>
        <w:t xml:space="preserve">Telephone: (918) 573-2078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Neither we nor the underwriters have authorized anyone to provide you with additional or different information or to make representations other than those contained in this prospectus. Neither we nor the underwriters take any responsibility for, and can provide no assurance as to the reliability of, any other information that others may give you. We are offering to sell the notes, and seeking offers to buy the notes, only in jurisdictions where offers and sales are permitted. You should not assume that the information contained in this prospectus supplement, the accompanying base prospectus or any free writing prospectus is accurate as of any date other than the dates shown in these documents or that any information we have incorporated by reference herein is accurate as of any date other than the date of the document incorporated by reference. Our business, financial condition, results of operations and prospects may have changed since such dates. </w:t>
      </w:r>
    </w:p>
    <w:p>
      <w:pPr>
        <w:pStyle w:val="TextBody"/>
        <w:bidi w:val="0"/>
        <w:spacing w:before="240" w:after="0"/>
        <w:jc w:val="left"/>
        <w:rPr>
          <w:rFonts w:ascii="Times New Roman" w:hAnsi="Times New Roman"/>
          <w:sz w:val="20"/>
        </w:rPr>
      </w:pPr>
      <w:r>
        <w:rPr>
          <w:rFonts w:ascii="Times New Roman" w:hAnsi="Times New Roman"/>
          <w:sz w:val="20"/>
        </w:rPr>
        <w:t xml:space="preserve">Williams is subject to the information requirements of the Exchange Act, and in accordance therewith files reports and other information with the SEC. You may read Williams’ filings on the SEC’s website described above. Unless otherwise listed or referenced above, documents that Williams files with the SEC are not incorporated into, and are not considered a part of, this prospectus supplement or the accompanying base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center"/>
        <w:rPr/>
      </w:pPr>
      <w:r>
        <w:rPr/>
        <w:drawing>
          <wp:inline distT="0" distB="0" distL="0" distR="0">
            <wp:extent cx="1408430" cy="7537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1408430" cy="7537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THE WILLIAMS COMPANIES, INC. </w:t>
      </w:r>
    </w:p>
    <w:p>
      <w:pPr>
        <w:pStyle w:val="TextBody"/>
        <w:bidi w:val="0"/>
        <w:spacing w:before="24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PURCHASE CONTRACTS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or selling securityholders to be named in a prospectus supplement may from time to time offer to sell debt securities, preferred stock, common stock, purchase contracts, warrants, or units. This prospectus describes some of the general terms that may apply to these securities and the general manner in which they may be offered. Each time we or a selling securityholder sells securities pursuant to this prospectus, we will provide a supplement to this prospectus that contains specific information about the offering and the specific terms of the securities offered. You should read this prospectus, the applicable prospectus supplement and the documents incorporated by reference herein and therein carefully before you invest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under the ticker symbol “WMB.” </w:t>
      </w:r>
    </w:p>
    <w:p>
      <w:pPr>
        <w:pStyle w:val="TextBody"/>
        <w:bidi w:val="0"/>
        <w:spacing w:before="240" w:after="0"/>
        <w:jc w:val="left"/>
        <w:rPr>
          <w:rFonts w:ascii="Times New Roman" w:hAnsi="Times New Roman"/>
          <w:sz w:val="20"/>
        </w:rPr>
      </w:pPr>
      <w:r>
        <w:rPr>
          <w:rFonts w:ascii="Times New Roman" w:hAnsi="Times New Roman"/>
          <w:sz w:val="20"/>
        </w:rPr>
        <w:t xml:space="preserve">We or selling securityholders will sell these securities directly to investors, or through agents, dealers, or underwriters as designated from time to time, or through a combination of these methods, on a continuous or delayed basis.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not be used to sell our securities unless it is accompanied by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 that is different from, or in addition to, the information contained in this prospectus or any prospectus supplement. We take no responsibility for, and can provide no assurances as to the reliability of, any other information that others may give you or representations that others may make. We are not making an offer to sell or soliciting an offer to buy any securities other than the securities described in this prospectus and any applicable prospectus supplement. We are not making an offer to sell or soliciting an offer to buy any of these securities in any state or jurisdiction where the offer is not permitted or in any circumstances in which such offer or solicitation is unlawful. You should not assume that the information contained or incorporated by reference in this prospectus or any prospectus supplement is accurate as of any date other than the date on the front of those documents.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a high degree of risk. See “</w:t>
      </w:r>
      <w:hyperlink w:anchor="toc110651_3">
        <w:r>
          <w:rPr>
            <w:rStyle w:val="InternetLink"/>
            <w:rFonts w:ascii="Times New Roman" w:hAnsi="Times New Roman"/>
            <w:b/>
            <w:sz w:val="24"/>
          </w:rPr>
          <w:t>Risk Factors</w:t>
        </w:r>
      </w:hyperlink>
      <w:r>
        <w:rPr>
          <w:rFonts w:ascii="Times New Roman" w:hAnsi="Times New Roman"/>
          <w:b/>
          <w:sz w:val="24"/>
        </w:rPr>
        <w:t xml:space="preserve">” contained in Page 2 herein, in the applicable prospectus supplement and in the documents incorporated by reference herein and therein.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representations to the contrary are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February 21, 2024.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7" w:name="toc1"/>
      <w:bookmarkEnd w:id="17"/>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10651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10651_2">
              <w:r>
                <w:rPr>
                  <w:rStyle w:val="InternetLink"/>
                  <w:rFonts w:ascii="Times New Roman" w:hAnsi="Times New Roman"/>
                  <w:sz w:val="20"/>
                </w:rPr>
                <w:t>About The Williams Companies, Inc.</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10651_3">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10651_4">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10651_5">
              <w:r>
                <w:rPr>
                  <w:rStyle w:val="InternetLink"/>
                  <w:rFonts w:ascii="Times New Roman" w:hAnsi="Times New Roman"/>
                  <w:sz w:val="20"/>
                </w:rPr>
                <w:t>Incorporation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10651_6">
              <w:r>
                <w:rPr>
                  <w:rStyle w:val="InternetLink"/>
                  <w:rFonts w:ascii="Times New Roman" w:hAnsi="Times New Roman"/>
                  <w:sz w:val="20"/>
                </w:rPr>
                <w:t>Special Note Regarding 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10651_7">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10651_8">
              <w:r>
                <w:rPr>
                  <w:rStyle w:val="InternetLink"/>
                  <w:rFonts w:ascii="Times New Roman" w:hAnsi="Times New Roman"/>
                  <w:sz w:val="20"/>
                </w:rPr>
                <w:t>Description of Debt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10651_9">
              <w:r>
                <w:rPr>
                  <w:rStyle w:val="InternetLink"/>
                  <w:rFonts w:ascii="Times New Roman" w:hAnsi="Times New Roman"/>
                  <w:sz w:val="20"/>
                </w:rPr>
                <w:t>Description of Capital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10651_10">
              <w:r>
                <w:rPr>
                  <w:rStyle w:val="InternetLink"/>
                  <w:rFonts w:ascii="Times New Roman" w:hAnsi="Times New Roman"/>
                  <w:sz w:val="20"/>
                </w:rPr>
                <w:t>Description of Purchase Contracts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10651_11">
              <w:r>
                <w:rPr>
                  <w:rStyle w:val="InternetLink"/>
                  <w:rFonts w:ascii="Times New Roman" w:hAnsi="Times New Roman"/>
                  <w:sz w:val="20"/>
                </w:rPr>
                <w:t>Description of Warrants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10651_12">
              <w:r>
                <w:rPr>
                  <w:rStyle w:val="InternetLink"/>
                  <w:rFonts w:ascii="Times New Roman" w:hAnsi="Times New Roman"/>
                  <w:sz w:val="20"/>
                </w:rPr>
                <w:t>Description of Units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10651_13">
              <w:r>
                <w:rPr>
                  <w:rStyle w:val="InternetLink"/>
                  <w:rFonts w:ascii="Times New Roman" w:hAnsi="Times New Roman"/>
                  <w:sz w:val="20"/>
                </w:rPr>
                <w:t>Selling Securityholders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10651_14">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10651_15">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8" w:name="toc110651_1"/>
      <w:bookmarkEnd w:id="18"/>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we filed with the Securities and Exchange Commission (“SEC”) using a “shelf” registration process. We or selling securityholders to be named in a prospectus supplement may sell any combination of the securities described in this prospectus from time to time, either separately or in units, in one or more offerings. </w:t>
      </w:r>
    </w:p>
    <w:p>
      <w:pPr>
        <w:pStyle w:val="TextBody"/>
        <w:bidi w:val="0"/>
        <w:spacing w:before="240" w:after="0"/>
        <w:jc w:val="left"/>
        <w:rPr>
          <w:rFonts w:ascii="Times New Roman" w:hAnsi="Times New Roman"/>
          <w:sz w:val="20"/>
        </w:rPr>
      </w:pPr>
      <w:r>
        <w:rPr>
          <w:rFonts w:ascii="Times New Roman" w:hAnsi="Times New Roman"/>
          <w:sz w:val="20"/>
        </w:rPr>
        <w:t xml:space="preserve">Each time we or selling securityholders sell securities pursuant to this prospectus, we will describe in a prospectus supplement, which will be delivered with this prospectus, specific information about the offering and the terms of the particular securities offered.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prospectus supplement may also add, update, or change the information contained in this prospectus. If there is any inconsistency between the information contained in this prospectus and any information incorporated by reference herein, on the one hand, and the information contained in any applicable prospectus supplement or incorporated by reference therein, on the other hand, you should rely on the information in the applicable prospectus supplement or incorporated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by means of a post-effective amendment to the registration statement of which this prospectus is a part, through filings we make with the SEC that are incorporated by reference into this prospectus or by any other method as may then be permitted under applicable law, rules, or regulations. </w:t>
      </w:r>
    </w:p>
    <w:p>
      <w:pPr>
        <w:pStyle w:val="TextBody"/>
        <w:bidi w:val="0"/>
        <w:spacing w:before="240" w:after="0"/>
        <w:jc w:val="left"/>
        <w:rPr>
          <w:rFonts w:ascii="Times New Roman" w:hAnsi="Times New Roman"/>
          <w:sz w:val="20"/>
        </w:rPr>
      </w:pPr>
      <w:r>
        <w:rPr>
          <w:rFonts w:ascii="Times New Roman" w:hAnsi="Times New Roman"/>
          <w:sz w:val="20"/>
        </w:rPr>
        <w:t xml:space="preserve">Statements made in this prospectus, in any prospectus supplement, or in any document incorporated by reference in this prospectus or any prospectus supplement as to the contents of any contract or other document are not necessarily complete. In each instance we refer you to the copy of the contract or other document filed as an exhibit to the registration statement of which this prospectus is a part or as an exhibit to the documents incorporated by reference. You may obtain copies of those documents as described below under “Where You Can Find More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delivery of this prospectus nor any sale made under it implies that there has been no change in our affairs or that the information in this prospectus is correct as of any date after the date of this prospectus. You should not assume that the information in this prospectus, including any information incorporated in this prospectus by reference, the accompanying prospectus supplement, or any free writing prospectus prepared by us, is accurate as of any date other than the date on the front of those documents.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 that is different from, or in addition to, the information contained or incorporated by reference in this prospectus or any prospectus supplement. We take no responsibility for, and can provide no assurances as to the reliability of, any other information that others may give you or representations that others may make. We are not making an offer to sell securities in any jurisdiction where the offer or sale of such securities is not permitted.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Williams (which includes The Williams Companies, Inc. and, unless the context otherwise requires, all of our subsidiaries) is at times referred to in the first person as “we,” “us,” or “our.” We also sometimes refer to Williams as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9" w:name="toc110651_2"/>
      <w:bookmarkEnd w:id="19"/>
      <w:r>
        <w:rPr>
          <w:rFonts w:ascii="Times New Roman" w:hAnsi="Times New Roman"/>
          <w:b/>
          <w:sz w:val="20"/>
        </w:rPr>
        <w:t xml:space="preserve">ABOUT THE WILLIAMS COMPANIES, INC. </w:t>
      </w:r>
    </w:p>
    <w:p>
      <w:pPr>
        <w:pStyle w:val="TextBody"/>
        <w:bidi w:val="0"/>
        <w:spacing w:before="240" w:after="0"/>
        <w:jc w:val="left"/>
        <w:rPr>
          <w:rFonts w:ascii="Times New Roman" w:hAnsi="Times New Roman"/>
          <w:sz w:val="20"/>
        </w:rPr>
      </w:pPr>
      <w:r>
        <w:rPr>
          <w:rFonts w:ascii="Times New Roman" w:hAnsi="Times New Roman"/>
          <w:sz w:val="20"/>
        </w:rPr>
        <w:t xml:space="preserve">We are an energy company committed to being the leader in providing infrastructure that safely delivers natural gas products to reliably fuel the clean energy economy. Our operations are located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We were founded in 1908, originally incorporated under the laws of the state of Nevada in 1949 and reincorporated under the laws of the state of Delaware in 1987. Our principal executive offices are located at One Williams Center, Tulsa, Oklahoma 74172, and our telephone number is 800-945-5426 (800-WILLIAMS). </w:t>
      </w:r>
    </w:p>
    <w:p>
      <w:pPr>
        <w:pStyle w:val="TextBody"/>
        <w:bidi w:val="0"/>
        <w:spacing w:before="480" w:after="0"/>
        <w:jc w:val="center"/>
        <w:rPr>
          <w:rFonts w:ascii="Times New Roman" w:hAnsi="Times New Roman"/>
          <w:b/>
          <w:sz w:val="20"/>
        </w:rPr>
      </w:pPr>
      <w:bookmarkStart w:id="20" w:name="toc110651_3"/>
      <w:bookmarkEnd w:id="20"/>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the securities described herein involves risk. We urge you to carefully consider the risk factors described in our filings with the SEC that are incorporated by reference in this prospectus and any prospectus supplement or free writing prospectus used in connection with an offering of our securities, as well as the information relating to us identified below under “Special Note Regarding Forward-Looking Statements,” before making an investment decision. </w:t>
      </w:r>
    </w:p>
    <w:p>
      <w:pPr>
        <w:pStyle w:val="TextBody"/>
        <w:bidi w:val="0"/>
        <w:spacing w:before="480" w:after="0"/>
        <w:jc w:val="center"/>
        <w:rPr>
          <w:rFonts w:ascii="Times New Roman" w:hAnsi="Times New Roman"/>
          <w:b/>
          <w:sz w:val="20"/>
        </w:rPr>
      </w:pPr>
      <w:bookmarkStart w:id="21" w:name="toc110651_4"/>
      <w:bookmarkEnd w:id="21"/>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requirements of the Securities Exchange Act of 1934, as amended (the “Exchange Act”), and file reports and other information with the SEC. Our SEC filings are available to the public from commercial document retrieval services and at the website maintained by the SEC at </w:t>
      </w:r>
      <w:r>
        <w:rPr>
          <w:rFonts w:ascii="Times New Roman" w:hAnsi="Times New Roman"/>
          <w:i/>
          <w:sz w:val="20"/>
        </w:rPr>
        <w:t>http://www.sec.gov.</w:t>
      </w:r>
      <w:r>
        <w:rPr>
          <w:rFonts w:ascii="Times New Roman" w:hAnsi="Times New Roman"/>
          <w:sz w:val="20"/>
        </w:rPr>
        <w:t xml:space="preserve"> Unless specifically listed under “Incorporation by Reference” below, the information contained on the SEC website is not intended to be incorporated by reference into this prospectus and you should not consider that information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also provide to you, at no cost, a copy of any document incorporated by reference in this prospectus and the applicable prospectus supplement and any exhibits specifically incorporated by reference into those documents. You may request copies of these filings from us by mail at the following address, or by telephone at the following telephone number: </w:t>
      </w:r>
    </w:p>
    <w:p>
      <w:pPr>
        <w:pStyle w:val="TextBody"/>
        <w:bidi w:val="0"/>
        <w:spacing w:before="480" w:after="0"/>
        <w:jc w:val="center"/>
        <w:rPr>
          <w:rFonts w:ascii="Times New Roman" w:hAnsi="Times New Roman"/>
          <w:b/>
          <w:sz w:val="20"/>
        </w:rPr>
      </w:pPr>
      <w:r>
        <w:rPr>
          <w:rFonts w:ascii="Times New Roman" w:hAnsi="Times New Roman"/>
          <w:b/>
          <w:sz w:val="20"/>
        </w:rPr>
        <w:t xml:space="preserve">The Williams Companies, Inc. </w:t>
      </w:r>
    </w:p>
    <w:p>
      <w:pPr>
        <w:pStyle w:val="TextBody"/>
        <w:bidi w:val="0"/>
        <w:spacing w:before="0" w:after="0"/>
        <w:jc w:val="center"/>
        <w:rPr>
          <w:rFonts w:ascii="Times New Roman" w:hAnsi="Times New Roman"/>
          <w:b/>
          <w:sz w:val="20"/>
        </w:rPr>
      </w:pPr>
      <w:r>
        <w:rPr>
          <w:rFonts w:ascii="Times New Roman" w:hAnsi="Times New Roman"/>
          <w:b/>
          <w:sz w:val="20"/>
        </w:rPr>
        <w:t xml:space="preserve">Investor Relations </w:t>
      </w:r>
    </w:p>
    <w:p>
      <w:pPr>
        <w:pStyle w:val="TextBody"/>
        <w:bidi w:val="0"/>
        <w:spacing w:before="0" w:after="0"/>
        <w:jc w:val="center"/>
        <w:rPr>
          <w:rFonts w:ascii="Times New Roman" w:hAnsi="Times New Roman"/>
          <w:b/>
          <w:sz w:val="20"/>
        </w:rPr>
      </w:pPr>
      <w:r>
        <w:rPr>
          <w:rFonts w:ascii="Times New Roman" w:hAnsi="Times New Roman"/>
          <w:b/>
          <w:sz w:val="20"/>
        </w:rPr>
        <w:t xml:space="preserve">One Williams Center </w:t>
      </w:r>
    </w:p>
    <w:p>
      <w:pPr>
        <w:pStyle w:val="TextBody"/>
        <w:bidi w:val="0"/>
        <w:spacing w:before="0" w:after="0"/>
        <w:jc w:val="center"/>
        <w:rPr>
          <w:rFonts w:ascii="Times New Roman" w:hAnsi="Times New Roman"/>
          <w:b/>
          <w:sz w:val="20"/>
        </w:rPr>
      </w:pPr>
      <w:r>
        <w:rPr>
          <w:rFonts w:ascii="Times New Roman" w:hAnsi="Times New Roman"/>
          <w:b/>
          <w:sz w:val="20"/>
        </w:rPr>
        <w:t xml:space="preserve">Tulsa, Oklahoma 74172-0172 </w:t>
      </w:r>
    </w:p>
    <w:p>
      <w:pPr>
        <w:pStyle w:val="TextBody"/>
        <w:bidi w:val="0"/>
        <w:spacing w:before="0" w:after="0"/>
        <w:jc w:val="center"/>
        <w:rPr>
          <w:rFonts w:ascii="Times New Roman" w:hAnsi="Times New Roman"/>
          <w:b/>
          <w:sz w:val="20"/>
        </w:rPr>
      </w:pPr>
      <w:r>
        <w:rPr>
          <w:rFonts w:ascii="Times New Roman" w:hAnsi="Times New Roman"/>
          <w:b/>
          <w:sz w:val="20"/>
        </w:rPr>
        <w:t xml:space="preserve">Telephone Number: 800-945-5426 (800-WILLIAMS) </w:t>
      </w:r>
    </w:p>
    <w:p>
      <w:pPr>
        <w:pStyle w:val="TextBody"/>
        <w:bidi w:val="0"/>
        <w:spacing w:before="240" w:after="0"/>
        <w:jc w:val="left"/>
        <w:rPr>
          <w:rFonts w:ascii="Times New Roman" w:hAnsi="Times New Roman"/>
          <w:sz w:val="20"/>
        </w:rPr>
      </w:pPr>
      <w:r>
        <w:rPr>
          <w:rFonts w:ascii="Times New Roman" w:hAnsi="Times New Roman"/>
          <w:sz w:val="20"/>
        </w:rPr>
        <w:t xml:space="preserve">We make available free of charge on or through our Internet website, </w:t>
      </w:r>
      <w:r>
        <w:rPr>
          <w:rFonts w:ascii="Times New Roman" w:hAnsi="Times New Roman"/>
          <w:i/>
          <w:sz w:val="20"/>
        </w:rPr>
        <w:t>http://www.williams.com</w:t>
      </w:r>
      <w:r>
        <w:rPr>
          <w:rFonts w:ascii="Times New Roman" w:hAnsi="Times New Roman"/>
          <w:sz w:val="20"/>
        </w:rPr>
        <w:t xml:space="preserve">, our reports and other information filed with or furnished to the SEC as referred to above and amendments to those reports filed or furnished pursuant to Section 13(a) or 15(d) of the Exchange Act as soon as reasonably practicable after we electronically file such material with, or furnish it to, the SEC. Information contained on our website is not intended to be incorporated by reference into this prospectus and you should not consider that information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2" w:name="toc110651_5"/>
      <w:bookmarkEnd w:id="22"/>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incorporating by reference into this prospectus information we file with the SEC, which means we are disclosing important information to you by referring you to those documents. The information we incorporate by reference is considered to be part of this prospectus, unless we update or supersede that information by the information contained in this prospectus or the information we file subsequently that is incorporated by reference into this prospectus or any prospectus supplement. Information that we later provide to the SEC, and that is deemed to be “filed” with the SEC, automatically will update information previously filed with the SEC, and may replace information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incorporating by reference the following documents that we have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6">
              <w:r>
                <w:rPr>
                  <w:rStyle w:val="InternetLink"/>
                  <w:rFonts w:ascii="Times New Roman" w:hAnsi="Times New Roman"/>
                  <w:sz w:val="20"/>
                </w:rPr>
                <w:t>Form 10-K</w:t>
              </w:r>
            </w:hyperlink>
            <w:r>
              <w:rPr>
                <w:rFonts w:ascii="Times New Roman" w:hAnsi="Times New Roman"/>
                <w:sz w:val="20"/>
              </w:rPr>
              <w:t xml:space="preserve"> (File No. 1-04174) for the fiscal year ended December 31, 2023 filed with the SEC on February 21, 2024 (the “2023 Form 10-K”);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portions of our Preliminary Proxy Statement on </w:t>
            </w:r>
            <w:hyperlink r:id="rId17">
              <w:r>
                <w:rPr>
                  <w:rStyle w:val="InternetLink"/>
                  <w:rFonts w:ascii="Times New Roman" w:hAnsi="Times New Roman"/>
                  <w:sz w:val="20"/>
                </w:rPr>
                <w:t>Schedule 14A</w:t>
              </w:r>
            </w:hyperlink>
            <w:r>
              <w:rPr>
                <w:rFonts w:ascii="Times New Roman" w:hAnsi="Times New Roman"/>
                <w:sz w:val="20"/>
              </w:rPr>
              <w:t xml:space="preserve"> filed with the SEC on February  21, 2024 that correspond to the portions of our Definitive Proxy Statement (other than information furnished rather than filed) for the 2024 Annual Meeting of Stockholders that, when filed on or about March  20, 2024, will be incorporated by reference into our Annual Report on Form 10-K for the fiscal year ended December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 No. 1-04174) filed with the SEC on </w:t>
            </w:r>
            <w:hyperlink r:id="rId18">
              <w:r>
                <w:rPr>
                  <w:rStyle w:val="InternetLink"/>
                  <w:rFonts w:ascii="Times New Roman" w:hAnsi="Times New Roman"/>
                  <w:sz w:val="20"/>
                </w:rPr>
                <w:t>January 5, 2024</w:t>
              </w:r>
            </w:hyperlink>
            <w:r>
              <w:rPr>
                <w:rFonts w:ascii="Times New Roman" w:hAnsi="Times New Roman"/>
                <w:sz w:val="20"/>
              </w:rPr>
              <w:t xml:space="preserve"> (Item 8.01 only) and </w:t>
            </w:r>
            <w:hyperlink r:id="rId19">
              <w:r>
                <w:rPr>
                  <w:rStyle w:val="InternetLink"/>
                  <w:rFonts w:ascii="Times New Roman" w:hAnsi="Times New Roman"/>
                  <w:sz w:val="20"/>
                </w:rPr>
                <w:t>January 5,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description of our common stock, par value $1.00 per share, contained in our Registration Statement on Form 8-B filed on August 20, 1987 (File No. 001-04174), as updated by the description of our common stock filed as Exhibit 4.35 to our Annual Report on Form 10-K for the fiscal year ended December 31, 2022, and any amendments or reports filed for the purpose of updating the description of our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description of our Series B Preferred Stock contained in our Current Report on </w:t>
            </w:r>
            <w:hyperlink r:id="rId20">
              <w:r>
                <w:rPr>
                  <w:rStyle w:val="InternetLink"/>
                  <w:rFonts w:ascii="Times New Roman" w:hAnsi="Times New Roman"/>
                  <w:sz w:val="20"/>
                </w:rPr>
                <w:t>Form 8-K</w:t>
              </w:r>
            </w:hyperlink>
            <w:r>
              <w:rPr>
                <w:rFonts w:ascii="Times New Roman" w:hAnsi="Times New Roman"/>
                <w:sz w:val="20"/>
              </w:rPr>
              <w:t xml:space="preserve"> filed with the SEC on July 17, 2018 (File No. 001-04174).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documents contain important information about us, our financial condition and our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All documents that we file with the SEC under Sections 13(a), 13(c), 14 or 15(d) of the Exchange Act after the date of this prospectus and prior to the termination of all offerings made pursuant to this prospectus and the applicable prospectus supplement also will be deemed to be incorporated herein by reference. Nothing in this prospectus shall be deemed to incorporate information furnished to but not filed with the SEC, including pursuant to Item 2.02 or Item 7.01 of Form 8-K (or corresponding information furnished under Item 9.01 or included as an exhibit).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3" w:name="toc110651_6"/>
      <w:bookmarkEnd w:id="23"/>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Certain matters contained or incorporated by reference in this prospectus and the applicable prospectus supplement include “forward-looking statements” within the meaning of Section 27A of the Securities Act of 1933, as amended (the “Securities Act”), and Section 21E of the Exchange Act. These forward-looking statements relate to anticipated financial performance, management’s plans and objectives for future operations, business prospects, outcomes of regulatory proceedings, market conditions, and other matters. We make these forward-looking statements in reliance on the safe harbor protections provided under the Private Securities Litigation Reform Act of 1995. </w:t>
      </w:r>
    </w:p>
    <w:p>
      <w:pPr>
        <w:pStyle w:val="TextBody"/>
        <w:bidi w:val="0"/>
        <w:spacing w:before="240" w:after="0"/>
        <w:jc w:val="left"/>
        <w:rPr>
          <w:rFonts w:ascii="Times New Roman" w:hAnsi="Times New Roman"/>
          <w:sz w:val="20"/>
        </w:rPr>
      </w:pPr>
      <w:r>
        <w:rPr>
          <w:rFonts w:ascii="Times New Roman" w:hAnsi="Times New Roman"/>
          <w:sz w:val="20"/>
        </w:rPr>
        <w:t xml:space="preserve">All statements, other than statements of historical facts, included in this prospectus that address activities, events, or developments that we expect, believe, or anticipate will exist or may occur in the future, are forward-looking statements. Forward-looking statements can be identified by various forms of words such as “anticipates,” “believes,” “seeks,” “could,” “may,” “should,” “continues,” “estimates,” “expects,” “forecasts,” “intends,” “might,” “goals,” “objectives,” “targets,” “planned,” “potential,” “projects,” “scheduled,” “will,” “assumes,” “guidance,” “outlook,” “in-service date,” or other similar expressions. These forward-looking statements are based on management’s beliefs and assumptions and on information currently available to management and include, among others, statements regarding: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levels of dividends to Williams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credit ratings of Williams and its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and nature of future 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expansion and growth of our business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expected in-service dates for capital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condition and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flow from operations or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seasonality of certain business components;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natural gas, natural gas liquids, and crude oil prices, supply, and demand;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demand for our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based on numerous assumptions, uncertainties, and risks that could cause future events or results to be materially different from those stated or implied in this prospectus or in the documents incorporated herein by reference. Many of the factors that will determine these results are beyond our ability to control or predict. Specific factors that could cause actual results to differ from results contemplated by the forward-looking statements include, among others,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of supplies, market demand, and volatility of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 and rate of adoption of alternative energy 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existing and future laws and regulations, the regulatory environment, environmental matters, and litigation, as well as our ability and the ability of other energy companies with whom we conduct or seek to conduct business, to obtain necessary permits and approvals, and our ability to achieve favorable rate proceeding outcomes;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exposure to the credit risk of our customers and counterparties;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acquire new businesses and assets and successfully integrate those operations and assets into existing businesses as well as successfully expand our facilities, and to consummate asset sales on acceptable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are able to successfully identify, evaluate, and timely execute our capital projects and investment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strength and financial resources of our competitors and the effects of competition;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cash distributions from and capital requirements of our investments and joint ventures in which we participate;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will be able to effectively execute our financing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scrutiny and changing expectations from stakeholders with respect to our environmental, social, and governance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physical and financial risks associated with climate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operational and developmental hazards and unforeseen interruptions;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resulting from outbreaks or other public health crises;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weather and natural phenomena, including climate conditions and physical damage to our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acts of terrorism, cybersecurity incidents, and related disruptions;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costs and funding obligations for defined benefit pension plans and other postretirement benefit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maintenance and construction costs, as well as our ability to obtain sufficient construction-related inputs, including skilled labor;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inflation, interest rates, and general economic conditions (including future disruptions and volatility in the global credit markets and the impact of these events on customers and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financing, including restrictions stemming from debt agreements, future changes in credit ratings as determined by nationally recognized credit rating agencies, and the availability and cost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members of the Organization of Petroleum Exporting Countries and other oil exporting nations to agree to and maintain oil price and production controls and the impact on domestic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current geopolitical situation, including the Russian invasion of Ukraine and conflicts in the Middle East including between Israel and Hamas and conflicts involving Iran and its proxy forces;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U.S. governmental administration and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are able to pay current and expected levels of dividends;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risks described in our filings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Given the uncertainties and risk factors that could cause our actual results to differ materially from those contained in any forward-looking statement, we caution investors not to unduly rely on our forward-looking statements. We disclaim any obligations to and do not intend to update the above list or announce publicly the result of any revisions to any of the forward-looking statements to reflect future events or developments.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causing our actual results to differ, the factors listed above and described in the documents incorporated by reference herein may cause our intentions to change from those statements of intention set forth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incorporated by reference in this prospectus and the applicable prospectus supplement. Such changes in our intentions may also cause our results to differ. We may change our intentions, at any time and without notice, based upon changes in such factors, our assumptions, or otherwise. </w:t>
      </w:r>
    </w:p>
    <w:p>
      <w:pPr>
        <w:pStyle w:val="TextBody"/>
        <w:bidi w:val="0"/>
        <w:spacing w:before="240" w:after="0"/>
        <w:jc w:val="left"/>
        <w:rPr>
          <w:rFonts w:ascii="Times New Roman" w:hAnsi="Times New Roman"/>
          <w:sz w:val="20"/>
        </w:rPr>
      </w:pPr>
      <w:r>
        <w:rPr>
          <w:rFonts w:ascii="Times New Roman" w:hAnsi="Times New Roman"/>
          <w:sz w:val="20"/>
        </w:rPr>
        <w:t xml:space="preserve">Because forward-looking statements involve risks and uncertainties, we caution that there are important factors, in addition to those listed above and described in the documents incorporated by reference herein, that may cause actual results to differ materially from those contained in the forward-looking statements. These factors include the risks set forth under the caption “Risk Factors” in this prospectus and in the documents incorporated by reference in this prospectus and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4" w:name="toc110651_7"/>
      <w:bookmarkEnd w:id="24"/>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we receive from the sale of securities by us as set forth in the applicable prospectus supplement. We will not receive any proceeds from the sale of securities by selling securityholders.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5" w:name="toc110651_8"/>
      <w:bookmarkEnd w:id="25"/>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sets forth certain general terms and provisions of the base indenture under which the debt securities are to be issued, unless otherwise specified in a prospectus supplement. The particular terms of the debt securities to be sold will be set forth in a prospectus supplement relating to such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represent unsecured general obligations of the Company, unless otherwise provided in the prospectus supplement. As indicated in the applicable prospectus supplement, the debt securities will either be senior debt or subordinated debt. Unless otherwise specified in the applicable prospectus supplement, the debt securities will be issued under an indenture, dated as of December 18, 2012, between us and The Bank of New York Mellon Trust Company, N.A. that has been filed as an exhibit to the registration statement of which this prospectus is a part, subject to such amendments or supplemental indentures as are adopted from time to time. The following summary of certain provisions of that indenture does not purport to be complete and is subject to, and qualified in its entirety by, reference to all the provisions of that indenture, including the definitions therein of certain terms. Wherever particular sections or defined terms of the indenture are referred to, it is intended that such sections or defined terms shall be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securities that may be issued thereunder. The applicable prospectus supplement with respect to any debt securities will set forth the following terms of the debt securities offered pursuant thereto: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series of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of such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such debt securities will be in global or other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and method or methods by which principal and any premium on such debt securities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(or method by which such rate will be determined),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any such interest will be payable and the method of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any additional amounts are payable with respect to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notice, if any, to holders of such debt securities regarding the determination of interest on a floating rate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basis upon which interest on such debt securities shall be calculated, if other than that of a 360 day year of twelve 30-day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principal of and interest or additional amounts, if any, on such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sinking fund provisions, or the terms of any repurchase at the option of the holder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of such debt securities, if other than $1,000 and integral multiples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rights of the holders of such debt securities to convert the debt securities into other securities or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on which payment of principal or any premium, interest or additional amounts on such debt securities will be payable in a currency other than U.S. dollars;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by which the amount of payments of principal or any premium, interest or additional amounts on such debt securities may be determined by reference to an index, formula, financial or economic measure or other methods;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principal amount thereof, the portion of the principal amount of such debt securities that will be payable upon declaration of acceleration of the maturity thereof or provable in bankruptcy;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of default or covenants in addition to or in lieu of those described herein and remedies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such debt securities will be subject to defeasance or covenant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upon which such debt securities are to be issuable upon the exercise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trustees other than The Bank of New York Mellon Trust Company, N.A., and any authenticating or paying agents, transfer agents or registrars or any other agents with respect to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on which such debt securities will be subordinate to other debt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such debt securities will be guaranteed and the terms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such debt securities will be secured by collateral and the terms of such security;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of such debt securities and any other deletions from or additions to or modifications of the indenture with respect to such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Debt securities may be presented for exchange, conversion or transfer in the manner, at the places and subject to the restrictions set forth in the debt securities and the prospectus supplement. Such services will be provided without charge, other than any tax or other governmental charge payable in connection therewith, but subject to the limitations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contain any covenant or other specific provision affording protection to holders of the debt securities in the event of a highly leveraged transaction or a change in control of the Company, except to the limited extent described below under “— Consolidation, Merger and Sale of Assets.”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supplements to the indenture and the applicable supplemental indentures may be made by the Company and the trustee for the purpose of adding any provisions to or changing in any manner or eliminating any of the provisions of the indenture or of modifying in any manner the rights of the holders of debt securities of a series under the indenture or the debt securities of such series, with the consent of the holders of a majority (or such greater amount as is provided for a particular series of debt securities) in principal amount of the outstanding debt securities issued under such indenture that are affected by the supplemental indenture, voting as a single class; provided that no such supplemental indenture may, without the consent of the holder of each such debt security affected thereby,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any premium or installment of interest on or any additional amounts with respect to, any such debt securities, or reduce the principal amount thereof, or reduce the rate or extend the time of payment of interest or any additional amounts thereon, or reduce any premium payable on redemption thereof or otherwise, or reduce the amount of the principal of debt securities issued with original issue discount that would be due and payable upon an acceleration of the maturity thereof or the amount thereof provable in bankruptcy, or change the redemption provisions or adversely affect the right of repayment at the option of the holder, or change the place of payment or the currency in which the principal of, or any premium, interest or additional amounts with respect to any debt security is payable, or impair the right of any holder of debt securities to institute suit for the payment after such payment is due (except a rescission and annulment of acceleration with respect to a series of debt securities by the holders of at least a majority in aggregate principal amount of the then outstanding debt securities of such series and a waiver of the payment default that resulted from such acceleration);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of the outstanding debt securities of any series, the consent of the holders of which is required for any such supplemental indenture, or the consent of whose holders is required for any waiver or reduce the quorum required for voting;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of the provisions of the sections of such indenture relating to supplemental indentures with the consent of the holders, waivers of past defaults or securities redeemed in part, except to increase any percentage set forth in such sections or to provide that certain other provisions of such indenture cannot be modified or waived without the consent of each holder affected thereby;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adversely affects the right to convert or exchange any security into or for common stock or other securities, cash or other property in accordance with the terms of the applicable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a supplemental indenture that changes or eliminates any covenant or other provision of the indenture that has expressly been included solely for the benefit of one or more particular series of debt securities, or that modifies the rights of the holders of such series with respect to such covenant or other provision, shall be deemed not to affect the rights under the indenture of the holders of debt securities of any other series.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Company and the applicable trustee may, without the consent of the holders of any series of debt securities issued thereunder, enter into additional supplemental indentures for one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person to the Company and the assumption by any such successor of the covenants of the Company in such indenture and in the debt securities issued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the covenants of the Company for the benefit of the holders of all or any series of debt securities or to surrender any right or power conferred on the Company pursuant to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 and terms of debt securities issued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a successor trustee under such indenture with respect to one or more series of debt securities issued thereunder or to provide for or facilitate the administration of the trusts under such indenture by more than one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to correct or supplement any provision in the indenture that may be defective or inconsistent with any other provision of the indenture or to make any other provisions with respect to matters or questions arising under such indenture; provided that no such action pursuant to this clause (e) shall adversely affect the interests of the holders of any series of debt securities issued thereunder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securities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any additional events of default with respect to all or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supplement any of the provisions of the indenture as may be necessary to permit or facilitate the defeasance and discharge of any series of debt securities, provided that such action does not adversely affect the interests of any holder of an outstanding debt security of such series or any other security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provisions with respect to the conversion or exchange rights of holders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(j)</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convey, transfer, assign, mortgage or pledge to the trustee as security for the debt securities of any series any property or assets;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(k)</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in respect of the debt securities of one or more series and to provide for the terms and conditions of release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(l)</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or eliminate any of the provisions of the indenture, provided that any such change or elimination become effective only when there is no security of any series outstanding created prior to the execution of such supplemental indenture which is entitled to the benefit of such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(m)</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certificated securities in addition to or in place of global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(n)</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qualify such indenture under the Trust Indenture Act of 1939,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(o)</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debt securities of any series, to conform the text of the indenture or the debt securities of such series to any provision of the description thereof in the Company’s offering memorandum or prospectus relating to the initial offering of such debt securities, to the extent that such provision, in the good faith judgment of the Company, was intended to be a verbatim recitation of a provision of the indenture or such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(p)</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other change that does not adversely affect the rights of holders of any series of debt securities issued thereunder in any material respect.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provided in any prospectus supplement, the following will be events of default under the indenture with respect to each series of debt securities issued thereunder: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for 30 days in the payment when due of interest on, or any additional amount in respect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or any premium on any series of the debt securities outstanding under the indenture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deposit, if any, of any sinking fund payment when and as due by the terms of any debt security of such series, subject to any cure period that may be specified in any debt security of such series;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the Company to observe or perform any other of the covenants or agreements with respect to that series contained in such debt securities for 60 days after receipt of written notice from the trustee upon instruction from holders of at least 25% in principal amount of the then outstanding debt securities of such series to comply with any of the other agreements in the indenture and stating that such notice is a “Notice of Default” under the indenture; provided, that if such failure cannot be remedied within such 60-day period, such period shall be automatically extended by another 60 days so long as (i) such failure is subject to cure and (ii) the Company is using commercially reasonable efforts to cure such failure; and provided, further, that a failure to comply with any such other agreement in the indenture that results from a change in generally accepted accounting principles shall not be deemed to be an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or reorganization of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in or pursuant to the indenture with respect to a particular series of debt securities, provided that such event of default that results from a change in generally accepted accounting principles shall not be deemed to be an event of default.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case an event of default specified in clause (a) or (b) above shall occur and be continuing with respect to any series of debt securities, holders of at least 25%, and in case an event of default specified in any clause other than clause (a), (b) or (e) above shall occur and be continuing with respect to any series of debt securities, holders of at least a majority, in aggregate principal amount of the debt securities of such series then outstanding may declare the principal (or, in the case of discounted debt securities, the amount specified in the terms thereof) of such series to be due and payable immediately. If an event of default described in (e) above shall occur and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continuing then the principal (or, in the case of discounted debt securities, the amount specified in the terms thereof) of all the debt securities outstanding shall automatically become due and payable, without notice or other action by any holder or the applicable trustee, to the full extent permitted by law. Any past or existing default or event of default with respect to particular series of debt securities and its consequences under such indenture may be waived by the holders of a majority in principal amount of the outstanding debt securities of such series, except in each case a continuing default (1) in the payment of the principal of, any premium or interest on, or any additional amounts with respect to, any debt security of such series, or (2) in respect of a covenant or provision which cannot be modified or amended without the consent of each holder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applicable trustee may withhold notice to the holders of any default with respect to any series of debt securities (except in payment of principal of or interest or premium on, or additional amounts or sinking fund or purchase fund installment in respect of, the debt securities) if the board of directors, the executive committee or a trust committee of directors or responsible officers of the applicable trustee considers it in the interest of holders to do so.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a provision entitling the applicable trustee to be indemnified by the holders before proceeding to exercise any trust or power under the indenture at the request of such holders. The indenture provides that the holders of a majority in aggregate principal amount of the then outstanding debt securities of any series may direct the time, method and place of conducting any proceedings for any remedy available to the applicable trustee or exercising any trust or power conferred upon the applicable trustee with respect to the debt securities of such series; provided, however, that the applicable trustee may decline to follow any such direction if, among other reasons, the applicable trustee determines in good faith that the actions or proceedings as directed may not lawfully be taken or would be unduly prejudicial to the holders of the debt securities of such series not joining in such direction. The right of a holder to institute a proceeding with respect to a series of debt securities will be subject to certain conditions precedent including, without limitation, that in case of an event of default specified in clause (a), (b) or (e) of the first paragraph above under “— Events of Default,” holders of at least 25%, or in case of an event of default other than specified in clause (a), (b) or (e) of the first paragraph above under “— Events of Default”, holders of at least a majority, in aggregate principal amount of the debt securities of such series then outstanding make a written request upon the applicable trustee to exercise its powers under such indenture, indemnify the applicable trustee and afford the applicable trustee reasonable opportunity to act. Notwithstanding the foregoing, the holder has an absolute right to receipt of the principal of, premium, if any, and interest or additional amounts when due on the debt securities, to require conversion of debt securities if such indenture provides for convertibility at the option of the holder and to institute suit for the enforcement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the Company may not directly or indirectly consolidate with or merge with or into, or sell, assign, transfer, lease, convey or otherwise dispose of all or substantially all of its assets and properties and the assets and properties of its subsidiaries (taken as a whole) to another person in one or more related transactions unless the successor person is a person organized under the laws of any domestic jurisdiction and assumes the Company’s obligations on the debt securities issued thereunder, and under the indenture, and after giving effect thereto no event of default, and no event that, after notice or lapse of time or both, would become an event of default, shall have occurred and be continuing, and that certain other conditions are met.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i/>
          <w:sz w:val="20"/>
        </w:rPr>
      </w:pPr>
      <w:r>
        <w:rPr>
          <w:rFonts w:ascii="Times New Roman" w:hAnsi="Times New Roman"/>
          <w:i/>
          <w:sz w:val="20"/>
        </w:rPr>
        <w:t xml:space="preserve">Payment of Principal, any Premium, Interest or Additional Amounts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duly and punctually pay the principal of, and premium and interest on or any additional amounts payable with respect to, any debt securities of any series in accordance with their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Maintenance of Office or Agency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be required to maintain an office or agency in each place of payment for each series of debt securities for notice and demand purposes and for the purposes of presenting or surrendering debt securities for payment, registration of transfer, or exchange. </w:t>
      </w:r>
    </w:p>
    <w:p>
      <w:pPr>
        <w:pStyle w:val="TextBody"/>
        <w:bidi w:val="0"/>
        <w:spacing w:before="360" w:after="0"/>
        <w:jc w:val="left"/>
        <w:rPr>
          <w:rFonts w:ascii="Times New Roman" w:hAnsi="Times New Roman"/>
          <w:i/>
          <w:sz w:val="20"/>
        </w:rPr>
      </w:pPr>
      <w:r>
        <w:rPr>
          <w:rFonts w:ascii="Times New Roman" w:hAnsi="Times New Roman"/>
          <w:i/>
          <w:sz w:val="20"/>
        </w:rPr>
        <w:t xml:space="preserve">Reports </w:t>
      </w:r>
    </w:p>
    <w:p>
      <w:pPr>
        <w:pStyle w:val="TextBody"/>
        <w:bidi w:val="0"/>
        <w:spacing w:before="120" w:after="0"/>
        <w:jc w:val="left"/>
        <w:rPr>
          <w:rFonts w:ascii="Times New Roman" w:hAnsi="Times New Roman"/>
          <w:sz w:val="20"/>
        </w:rPr>
      </w:pPr>
      <w:r>
        <w:rPr>
          <w:rFonts w:ascii="Times New Roman" w:hAnsi="Times New Roman"/>
          <w:sz w:val="20"/>
        </w:rPr>
        <w:t xml:space="preserve">So long as any debt securities of a particular series are outstanding, the Company will file with the Trustee, within 30 days after the Company has filed the same with the Commission, unless such reports are available on the Commission’s EDGAR filing system (or any successor thereto),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Exchange Act; or, if the Company is not required to file information, documents or reports pursuant to either of said Sections, then it shall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 </w:t>
      </w:r>
    </w:p>
    <w:p>
      <w:pPr>
        <w:pStyle w:val="TextBody"/>
        <w:bidi w:val="0"/>
        <w:spacing w:before="360" w:after="0"/>
        <w:jc w:val="left"/>
        <w:rPr>
          <w:rFonts w:ascii="Times New Roman" w:hAnsi="Times New Roman"/>
          <w:i/>
          <w:sz w:val="20"/>
        </w:rPr>
      </w:pPr>
      <w:r>
        <w:rPr>
          <w:rFonts w:ascii="Times New Roman" w:hAnsi="Times New Roman"/>
          <w:i/>
          <w:sz w:val="20"/>
        </w:rPr>
        <w:t xml:space="preserve">Additional Covenants </w:t>
      </w:r>
    </w:p>
    <w:p>
      <w:pPr>
        <w:pStyle w:val="TextBody"/>
        <w:bidi w:val="0"/>
        <w:spacing w:before="120" w:after="0"/>
        <w:jc w:val="left"/>
        <w:rPr>
          <w:rFonts w:ascii="Times New Roman" w:hAnsi="Times New Roman"/>
          <w:sz w:val="20"/>
        </w:rPr>
      </w:pPr>
      <w:r>
        <w:rPr>
          <w:rFonts w:ascii="Times New Roman" w:hAnsi="Times New Roman"/>
          <w:sz w:val="20"/>
        </w:rPr>
        <w:t xml:space="preserve">Any additional covenants of the Company with respect to any series of debt securities will be set forth in the prospectus supplement relating thereto.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The terms and conditions, if any, upon which the debt securities are convertible into common stock or preferred stock will be set forth in the applicable prospectus supplement relating thereto. Such terms will include the conversion price (or manner of calculation thereof), the conversion period, provisions as to whether conversion will be at the option of the holders or the Company, the events requiring an adjustment of the conversion price and provisions affecting conversion in the event of redemption of such debt securities and any restrictions on conversion.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Repurchase at the Option of the Holder; Sinking Fund </w:t>
      </w:r>
    </w:p>
    <w:p>
      <w:pPr>
        <w:pStyle w:val="TextBody"/>
        <w:bidi w:val="0"/>
        <w:spacing w:before="120" w:after="0"/>
        <w:jc w:val="left"/>
        <w:rPr>
          <w:rFonts w:ascii="Times New Roman" w:hAnsi="Times New Roman"/>
          <w:sz w:val="20"/>
        </w:rPr>
      </w:pPr>
      <w:r>
        <w:rPr>
          <w:rFonts w:ascii="Times New Roman" w:hAnsi="Times New Roman"/>
          <w:sz w:val="20"/>
        </w:rPr>
        <w:t xml:space="preserve">The terms and conditions, if any, upon which (a) the debt securities are redeemable at the option of the Company, (b) the holder of debt securities may cause the Company to repurchase such debt securities or (c) the debt securities are subject to any sinking fund will be set forth in the applicable prospectus supplement relating thereto. </w:t>
      </w:r>
    </w:p>
    <w:p>
      <w:pPr>
        <w:pStyle w:val="TextBody"/>
        <w:bidi w:val="0"/>
        <w:spacing w:before="360" w:after="0"/>
        <w:jc w:val="left"/>
        <w:rPr>
          <w:rFonts w:ascii="Times New Roman" w:hAnsi="Times New Roman"/>
          <w:b/>
          <w:sz w:val="20"/>
        </w:rPr>
      </w:pPr>
      <w:r>
        <w:rPr>
          <w:rFonts w:ascii="Times New Roman" w:hAnsi="Times New Roman"/>
          <w:b/>
          <w:sz w:val="20"/>
        </w:rPr>
        <w:t xml:space="preserve">Repurchases on the Open Market </w:t>
      </w:r>
    </w:p>
    <w:p>
      <w:pPr>
        <w:pStyle w:val="TextBody"/>
        <w:bidi w:val="0"/>
        <w:spacing w:before="120" w:after="0"/>
        <w:jc w:val="left"/>
        <w:rPr>
          <w:rFonts w:ascii="Times New Roman" w:hAnsi="Times New Roman"/>
          <w:sz w:val="20"/>
        </w:rPr>
      </w:pPr>
      <w:r>
        <w:rPr>
          <w:rFonts w:ascii="Times New Roman" w:hAnsi="Times New Roman"/>
          <w:sz w:val="20"/>
        </w:rPr>
        <w:t xml:space="preserve">The Company or any affiliate of the Company may at any time or from time to time repurchase any debt security in the open market or otherwise. Such debt securities may, at the option of the Company or the relevant affiliate of the Company, be held, resold or surrendered to the trustee for cancellation. </w:t>
      </w:r>
    </w:p>
    <w:p>
      <w:pPr>
        <w:pStyle w:val="TextBody"/>
        <w:bidi w:val="0"/>
        <w:spacing w:before="360" w:after="0"/>
        <w:jc w:val="left"/>
        <w:rPr>
          <w:rFonts w:ascii="Times New Roman" w:hAnsi="Times New Roman"/>
          <w:b/>
          <w:sz w:val="20"/>
        </w:rPr>
      </w:pPr>
      <w:r>
        <w:rPr>
          <w:rFonts w:ascii="Times New Roman" w:hAnsi="Times New Roman"/>
          <w:b/>
          <w:sz w:val="20"/>
        </w:rPr>
        <w:t xml:space="preserve">Discharge, Defeasance and 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with respect to each series of debt securities issued thereunder, that the Company may satisfy and discharge its obligations under such debt securities of a series and such indenture with respect to debt securities of such series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debt securities of such series previously authenticated and delivered, with certain exceptions, have been accepted by the applicable trustee for cancellation;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the debt securities of such series have become due and payable, will become due and payable at their stated maturity within one year, or are to be called for redemption within one year under arrangements satisfactory to the applicable trustee for giving the notice of redemption and the Company irrevocably deposits in trust with the applicable trustee, as trust funds solely for the benefit of the holders of such debt securities, for that purpose, money or governmental obligations or a combination thereof sufficient (in the opinion of a nationally recognized independent registered public accounting firm expressed in a written certification thereof delivered to the applicable trustee) to pay and discharge the entire indebtedness on the debt securities of such series to the date of such deposit or to the maturity, as the case may be, and pays all other sums payable by it under such indenture; and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(ii) the Company delivers to the applicable trustee an officers’ certificate and an opinion of counsel, in each case stating that all conditions precedent provided for in such indenture relating to the satisfaction and discharge of such indenture with respect to the debt securities of such series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such satisfaction and discharge, the obligations of the Company to compensate and indemnify the trustee, to pay additional amounts, if any, in respect of debt securities in certain circumstances and to convert or exchange debt securities pursuant to the terms thereof and the obligations of the Company and the trustee to hold funds in trust and to apply such funds pursuant to the terms of the indenture, with respect to issuing temporary debt securities, with respect to the registration, transfer and exchange of debt securities, with respect to the replacement of mutilated, destroyed, lost or stolen debt securities and with respect to the maintenance of an office or agency for payment, shall in each case survive such satisfaction and discharge. </w:t>
      </w:r>
    </w:p>
    <w:p>
      <w:pPr>
        <w:pStyle w:val="TextBody"/>
        <w:bidi w:val="0"/>
        <w:spacing w:before="240" w:after="0"/>
        <w:jc w:val="left"/>
        <w:rPr>
          <w:rFonts w:ascii="Times New Roman" w:hAnsi="Times New Roman"/>
          <w:sz w:val="20"/>
        </w:rPr>
      </w:pPr>
      <w:r>
        <w:rPr>
          <w:rFonts w:ascii="Times New Roman" w:hAnsi="Times New Roman"/>
          <w:sz w:val="20"/>
        </w:rPr>
        <w:t xml:space="preserve">Unless inapplicable to debt securities of a series pursuant to the terms thereof, the indenture provides that (i) the Company will be deemed to have paid and will be discharged from any and all obligations in respect of the debt securities issued thereunder of any series, and the provisions of such indenture will, except as noted below, no longer be in effect with respect to the debt securities of such series (“defeasance”) and (ii) (1) the Company may omit to comply with the covenant under “— Consolidation, Merger and Sale of Assets” and any other additional covenants established pursuant to the terms of such series, and such omission shall be deemed not to be an event of default under clause (d) or (f) of the first paragraph of “— Events of Default” and (2) the occurrence of any event described in clause (f) of the first paragraph of “— Events of Default” shall not be deemed to be an event of default, in each case with respect to the outstanding debt securities of such series ((1) and (2) of this clause (ii), “covenant defeasance”); provided that the following conditions shall have been satisfied with respect to such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irrevocably deposited in trust with the applicable trustee as trust funds solely for the benefit of the holders of the debt securities of such series, for the purpose of making the following payments, money or government obligations or a combination thereof sufficient (in the opinion of a nationally recognized independent registered public accounting firm expressed in a written certification thereof delivered to the applicable trustee), without consideration of any reinvestment, to pay and discharge (i) the principal of and accrued interest or additional amounts on the outstanding debt securities of such series to maturity or earlier redemption (irrevocably provided for under arrangements satisfactory to the applicable trustee), as the case may be or (ii) any mandatory sinking fund payments applicable to the outstanding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defeasance or covenant defeasance will not result in a breach or violation of, or constitute a default under, such indenture or any other material agreement or instrument to which the Company is a party or by which it is bound;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of default or event which with notice or lapse of time would become an event of default with respect to such debt securities of such series shall have occurred and be continuing on the date of such deposit;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have delivered to such trustee an opinion of counsel as described in the indenture to the effect that the holders of the debt securities of such series will not recognize income, gain or loss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for Federal income tax purposes as a result of the Company’s exercise of its option under this provision of such indenture and will be subject to federal income tax on the same amount and in the same manner and at the same times as would have been the case if such deposit and defeasance or covenant defeasance had not occurred;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delivered to the applicable trustee an officers’ certificate and an opinion of counsel, in each case stating that all conditions precedent provided for in such indenture relating to the defeasance contemplated have been complied 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to be redeemed prior to their maturity, notice of such redemption shall have been duly given or in another manner satisfactory to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such defeasance or covenant defeasance shall comply with any additional or substitute terms provided for by the terms of such debt securities of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 defeasance or covenant defeasance, the Company’s obligations with respect to the following in respect of debt securities of such series will survive with respect to such securities until otherwise terminated or discharged under the terms of the indenture or no debt securities of such series are outstanding: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holders of outstanding debt securities of such series to receive payments in respect of the principal of, interest on or premium or additional amounts, if any, payable in respect of, such debt securities when such payments are due from the trust referred in clause (a) in the preceding paragraph;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temporary debt securities, the registration, transfer and exchange of debt securities, the replacement of mutilated, destroyed, lost or stolen debt securities and the maintenance of an office or agency for payment and holding payments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powers, trusts, duties and immunities of the trustee, and the Company’s obligations in connection therewith;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defeasance or covenant defeasance provisions of the indenture.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Applicable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the debt securities and the indenture will be governed by and construed in accordance with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About the Trustee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the applicable prospectus supplement, The Bank of New York Mellon Trust Company, N.A. is the trustee under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6" w:name="toc110651_9"/>
      <w:bookmarkEnd w:id="26"/>
      <w:r>
        <w:rPr>
          <w:rFonts w:ascii="Times New Roman" w:hAnsi="Times New Roman"/>
          <w:b/>
          <w:sz w:val="20"/>
        </w:rPr>
        <w:t xml:space="preserve">DESCRIPTION OF CAPITAL STOCK </w:t>
      </w:r>
    </w:p>
    <w:p>
      <w:pPr>
        <w:pStyle w:val="TextBody"/>
        <w:bidi w:val="0"/>
        <w:spacing w:before="12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our amended and restated certificate of incorporation, as amended and supplemented, we are authorized to issue up to 30,000,000 shares of preferred stock, par value $1.00 per share,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As of February 19, 2024, there were 35,000 shares of Series B Non-Voting Perpetual Preferred Stock, par value $1.00 per share, issued and outstanding. The Certificate of Designations for the Series B Non-Voting Perpetual Preferred Stock has been filed as Exhibit 4.5 to the registration statement of which this prospectus is a part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preferred stock sets forth certain general terms and provisions of the series of preferred stock to which any prospectus supplement may relate. The prospectus supplement relating to a particular series of preferred stock will describe certain other terms of such series of preferred stock. If so indicated in the prospectus supplement relating to a particular series of preferred stock, the terms of any such series of preferred stock may differ from the terms set forth below. The description of preferred stock set forth below and the description of the terms of a particular series of preferred stock set forth in the related prospectus supplement are not complete and are qualified in their entirety by reference to the certificate of incorporation and to the certificate of designation relating to that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rights of the holders of each series of preferred stock will be subordinate to those of our general creditors.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Terms of the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will set forth the designations, preferences, and relative, participating, optional and other special rights, and the qualifications, limitations, and restrictions of the preferred stock of each series. To the extent the certificate of incorporation does not set forth the rights and limitations, they will be fixed by the certificate of designation relating to the series. A prospectus supplement relating to each series will specify the terms of the preferred stock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distinctive designation of the series and the number of shares which shall constitute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of dividends, if any, payable on shares of the series, the date, if any, from which the dividends shall accrue, the conditions upon which and the date when the dividends shall be payable, and whether the dividends shall be cumulative or noncumulative;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which the holders of the preferred stock of the series shall be entitled to be paid in the event of a voluntary or involuntary liquidation, dissolution, or winding up of Williams;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preferred stock of the series shall be redeemable and at what times and under what conditions and the amount or amounts payable thereon in the event of redemption.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may, in a manner not inconsistent with the provisions of the certificate of incorporation: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the number of shares of the series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a sinking fund for the purchase or redemption or a purchase fund for the purchase of shares of the series, set forth the terms and provisions governing the operation of any fund, and establish the status as to reissue of shares of preferred stock purchased or otherwise reacquired or redeemed or retired through the operation of the sinking or purchase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voting rights to the holder of shares of the series, in addition to and not inconsistent with those granted by the certificate of incorporation to the holders of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impose conditions or restrictions upon the creation of indebtedness of Williams or upon the issue of additional preferred stock or other capital stock ranking equally with or prior to the preferred stock or capital stock as to dividends or distribution of assets on liquidation;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impose conditions or restrictions upon the payment of dividends upon, the making of other distributions to, or the acquisition of junior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to the holders of the preferred stock of the series the right to convert the preferred stock into shares of another series or class of capital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other special rights to the holders of shares of the series as the board of directors may determine and as shall not be inconsistent with the provisions of the certificate of incorporation.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Holders of the preferred stock of any series shall be entitled to receive, when, as and if declared by the board of directors, preferential dividends in cash at the annual rate, if any, fixed for the series. Their entitlement will be subject to any limitations specified in the certificate of incorporation and in the certificate of designation providing for the issuance of a particular series of preferred stock. The certificate of designation providing for the issuance of preferred stock of the series may specify the date on which the preferential dividends are payable. The preferential dividends shall further be payable to stockholders of record on a date which precedes each dividend payment date which the board of directors has fixed in advance of each particular dividend. </w:t>
      </w:r>
    </w:p>
    <w:p>
      <w:pPr>
        <w:pStyle w:val="TextBody"/>
        <w:bidi w:val="0"/>
        <w:spacing w:before="240" w:after="0"/>
        <w:jc w:val="left"/>
        <w:rPr>
          <w:rFonts w:ascii="Times New Roman" w:hAnsi="Times New Roman"/>
          <w:sz w:val="20"/>
        </w:rPr>
      </w:pPr>
      <w:r>
        <w:rPr>
          <w:rFonts w:ascii="Times New Roman" w:hAnsi="Times New Roman"/>
          <w:sz w:val="20"/>
        </w:rPr>
        <w:t xml:space="preserve">Each share of preferred stock shall rank on a parity with each other share of preferred stock, irrespective of series, with respect to preferential dividends accrued on the shares of the series. We will not declare or pay any dividend nor will we set apart a dividend for payment for the preferred stock of any series unless at the same time we declare, pay, or set apart a dividend in like proportion to the dividends accrued upon the preferred stock of each other series. This does not, however, prevent us from authorizing or issuing one or more series of preferred stock bearing dividends subject to contingencies as to the existence or amount of our earnings during one or more fiscal periods, or as to other events, to which dividends on other series of preferred stock are not subject.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shares of preferred stock remain outstanding, we will not, unless all dividends accrued on outstanding shares of preferred stock for all past dividend periods shall have been paid or declared and a sum sufficient for the payment of the dividends set apart: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or declare any dividends whatsoever, whether in cash, stock,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distribution on any class of junior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retire, or otherwise acquire for valuable consideration any shares of preferred stock (subject to certain limitations) or junior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holding company, our ability to pay dividends on the preferred stock will depend upon the payment of dividends, interest, or other charges by our subsidiaries to us. Debt instruments of certain of our subsidiaries may limit the amount of payments to us, which could affect the amount of funds available to us to pay dividends on the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registrar, transfer agent, and dividend disbursing agent for the preferred stock will be named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With the approval of our board of directors, we may redeem all or any part of the preferred stock of any series that by its terms is redeemable. Redemption will take place at the time or times and on the terms and conditions fixed for the series. We must duly give notice in the manner provided in the certificate of designation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providing for the series. We must pay for preferred stock in cash the sum fixed for the series, together, in each case, with an amount equal to accrued and unpaid dividends on the series of preferred stock. The certificate of designation providing for a series of preferred stock that is subject to redemption may provide, upon the two conditions discussed below, that the shares will no longer be deemed outstanding, and all rights with respect to the shares will cease, including the accrual of further dividends, other than the right to receive the redemption price of the shares without interest, 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given notice of redemption of all or part of the shares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set aside or deposited with a suitable depositary for the proportionate benefit of the shares called for redemption the redemption price of the shares, together with accrued dividends to the date fixed as the redemption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Redemption will terminate the right of holders of the preferred stock to accrual of further dividends. Redemption will not, however, terminate the right of holders of the shares redeemed to receive the redemption price for the shares without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will have no right or power to vote on any question or in any proceeding or to be represented at or to receive notice of any meeting of stockholders, except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stated in this prospectus or the applicable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expressly provided by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provided in the certificate of designation of the series of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any matters on which the holders of the preferred stock or any series thereof shall be entitled to vote separately as a class or series, they shall be entitled to one vote for each share held.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shares of preferred stock are outstanding, we must not, during the continuance of any default in the payment of dividends on the preferred stock, redeem or otherwise acquire for value any shares of the preferred stock or of any other stock ranking on a parity with the preferred stock concerning dividends or distribution of assets on liquidation. Holders of a majority of the number of shares of preferred stock outstanding at the time may, however, permit such a redemption by giving their consent in person or by proxy, either in writing or by vote at any annual meeting or any special meeting called for the purpose.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voluntary or involuntary liquidation, dissolution, or winding up of the affairs of Williams, the holders of the preferred stock of the respective series are entitled to be paid in full the following amounts: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fixed in the certificate of designation providing for the issue of shares of the series; plus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sum equal to all accrued and unpaid dividends on the shares of preferred stock to the date of payment of the dividends.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must have made this payment in full to the holders of the preferred stock before we may make any distribution or payment to the holders of any class of stock ranking junior to the preferred stock as to dividends or distribution of assets on liquidation. After we have made this payment in full to the holders of the preferred stock, our remaining assets and funds will be distributed among the holders of our stock ranking junior to the preferred stock according to their rights. If our assets available for distribution to holders of preferred stock are insufficient to make the payment required to be made in full, these assets will be distributed to the holders of shares of preferred stock proportionately to the amounts payable upon each share of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we are authorized to issue up to 1,470,000,000 shares of common stock, par value $1.00 per share. As of February 19, 2024, we had 1,216,750,172 issued and outstanding shares of common stock. As of February 19, 2024, 20,543,438 shares of our common stock were reserved for issuance pursuant to existing and future stock awards under our stock incentive plans, of which 11,256,634 shares were available for future grants. As of February 19, 2024, 909,425 shares of our common stock were reserved for issuance pursuant to our employee stock purchase plan. The outstanding shares of common stock are fully paid and nonassessable. The holders of common stock are not entitled to preemptive or redemption rights. Shares of common stock are not convertible into shares of any other class of capital stock. Computershare Trust Company, N.A. (“Computershare”) is the transfer agent and registrar for our common stock. Our common stock is listed on the New York Stock Exchange under the ticker symbol “WMB.”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receive dividends when, as, and if declared by our board of directors, out of funds legally available for their payment subject to the rights of holders of any outstanding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one vote per share on all matters submitted to a vote of stockholders. Except as otherwise provided by law, our charter or our bylaws, at each meeting of the stockholders, all corporate actions to be taken by vote of the stockholders shall be authorized by a majority of the votes cast by the stockholders entitled to vote thereon, present in person or represented by proxy. Director nominees in uncontested elections must receive a majority of the votes cast to be elected, and director nominees in contested elections must receive a plurality of the votes cast to be elected. A vote of 75% of the outstanding shares of our common stock is required to amend certain provisions of our charter and for stockholders to amend our bylaws.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Upon 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voluntary or involuntary liquidation, dissolution, or winding up of the affairs of Williams, the holders of our common stock will be entitled to share equally in any assets available for distribution after the payment in full of all debts and distributions and after the holders of all series of outstanding preferred stock have received their liquidation preferences in full.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sz w:val="20"/>
        </w:rPr>
      </w:pPr>
      <w:r>
        <w:rPr>
          <w:rFonts w:ascii="Times New Roman" w:hAnsi="Times New Roman"/>
          <w:sz w:val="20"/>
        </w:rPr>
        <w:t xml:space="preserve">We currently have the following provisions in our charter or bylaws that could be considered to be “anti-takeover”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article in our charter requiring the affirmative vote of three-fourths of the outstanding shares of common stock for certain merger and asset sale transactions with holders of more than five percent of the voting power of Williams;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bylaw that only permits our chairman of the board, chief executive officer or a majority of the board to call a special meeting of the stockholders;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bylaw requiring stockholders to provide prior notice for nominations for election to the board of directors or for proposing matters which can be acted upon at stockholders meetings.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a Delaware corporation and are subject to Section 203 of the Delaware General Corporation Law (“DGCL”). In general, Section 203 prevents an interested stockholder, which is defined generally as a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owning 15% or more of our outstanding voting stock, from engaging in a business combination with us for three years following the date that person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that person became an interested stockholder, our board of directors approved the transaction in which the interested stockholder became an interested stockholder or approved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transaction that resulted in the interested stockholder becoming an interested stockholder, the interested stockholder owned at least 85% of our voting stock outstanding at the time the transaction commenced (excluding stock held by persons who are both directors and officers of Williams or by certain employee stock plans);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following the date on which that person became an interested stockholder, the business combination is approved by our board of directors and authorized at a meeting of stockholders by the affirmative vote of the holders of at least 662/3% of our outstanding voting stock (excluding shares held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business combination includes mergers, asset sales and other transactions resulting in a financial benefit to the interested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7" w:name="toc110651_10"/>
      <w:bookmarkEnd w:id="27"/>
      <w:r>
        <w:rPr>
          <w:rFonts w:ascii="Times New Roman" w:hAnsi="Times New Roman"/>
          <w:b/>
          <w:sz w:val="20"/>
        </w:rPr>
        <w:t xml:space="preserve">DESCRIPTION OF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purchase contracts for the purchase or sale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 or equity securities issued by us or securities of third parties, a basket of such securities, an index or indices of such securities or any combination of the above as specified in the applicable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currencies;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commodities.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 </w:t>
      </w:r>
    </w:p>
    <w:p>
      <w:pPr>
        <w:pStyle w:val="TextBody"/>
        <w:bidi w:val="0"/>
        <w:spacing w:before="240" w:after="0"/>
        <w:jc w:val="left"/>
        <w:rPr>
          <w:rFonts w:ascii="Times New Roman" w:hAnsi="Times New Roman"/>
          <w:sz w:val="20"/>
        </w:rPr>
      </w:pPr>
      <w:r>
        <w:rPr>
          <w:rFonts w:ascii="Times New Roman" w:hAnsi="Times New Roman"/>
          <w:sz w:val="20"/>
        </w:rPr>
        <w:t xml:space="preserve">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the indenture, a copy of which is filed as an exhibit to the registration statement of which this prospectus is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8" w:name="toc110651_11"/>
      <w:bookmarkEnd w:id="28"/>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describe the following terms of any warrants in respect of which this prospectus is being delivered: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such warrants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 which the price of such warrants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or other rights, including rights to receive payment in cash or securities based on the value, rate or price of one or more specified commodities, currencies, securities or indices, or any combination of the foregoing, purchasable upon exercise of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and the currency or currencies, in which the securities or other rights purchasable upon exercise of such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such warrants shall commence and the date on which such right shall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such warrants which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such warrants are issued and the number of such warrants issued with each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such warrants and the related securities will be separately transferable;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such warrants, including terms, procedures and limitations relating to the exchange and exercise of such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9" w:name="toc110651_12"/>
      <w:bookmarkEnd w:id="29"/>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As specified in the applicable prospectus supplement, we may issue units consisting of one or more purchase contracts, warrants, debt securities, shares of preferred stock, shares of common stock, or any combination of such securities. The applicable prospectus supplement will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units and of the purchase contracts, warrants, debt securities, preferred stock, and common stock comprising the units, including whether and under what circumstances the securities comprising the units may be traded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terms of any unit agreement governing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provisions for the payment, settlement, transfer or exchange of the units.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0" w:name="toc110651_13"/>
      <w:bookmarkEnd w:id="30"/>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selling securityholders, where applicable, will be set forth in a prospectus supplement, in a post-effective amendment, or in filings we make with the SEC under the Exchange Act that are incorporated by reference. </w:t>
      </w:r>
    </w:p>
    <w:p>
      <w:pPr>
        <w:pStyle w:val="TextBody"/>
        <w:bidi w:val="0"/>
        <w:spacing w:before="480" w:after="0"/>
        <w:jc w:val="center"/>
        <w:rPr>
          <w:rFonts w:ascii="Times New Roman" w:hAnsi="Times New Roman"/>
          <w:b/>
          <w:sz w:val="20"/>
        </w:rPr>
      </w:pPr>
      <w:bookmarkStart w:id="31" w:name="toc110651_14"/>
      <w:bookmarkEnd w:id="3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will be passed upon for us by Gibson, Dunn &amp; Crutcher LLP. Any agents or underwriters will be represented by their own legal counsel named in the applicable prospectus supplement. </w:t>
      </w:r>
    </w:p>
    <w:p>
      <w:pPr>
        <w:pStyle w:val="TextBody"/>
        <w:bidi w:val="0"/>
        <w:spacing w:before="480" w:after="0"/>
        <w:jc w:val="center"/>
        <w:rPr>
          <w:rFonts w:ascii="Times New Roman" w:hAnsi="Times New Roman"/>
          <w:b/>
          <w:sz w:val="20"/>
        </w:rPr>
      </w:pPr>
      <w:bookmarkStart w:id="32" w:name="toc110651_15"/>
      <w:bookmarkEnd w:id="3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The Williams Companies, Inc. appearing in The Williams Companies, Inc.’s Annual Report (Form 10-K) for the year ended December 31, 2023, including the schedule appearing therein, and the effectiveness of The Williams Companies, Inc.’s internal control over financial reporting as of December 31, 2023, have been audited by Ernst &amp; Young LLP, independent registered public accounting firm, as set forth in their reports thereon, included therein, and incorporated herein by reference. Such consolidated financial statements and The Williams Companies, Inc. management’s assessment of the effectiveness of internal control over financial reporting as of December 31, 2023 are, and audited financial statements and The Williams Companies, Inc. management’s assessment of internal control over financial reporting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00" w:after="0"/>
        <w:jc w:val="center"/>
        <w:rPr>
          <w:rFonts w:ascii="Times New Roman" w:hAnsi="Times New Roman"/>
          <w:b/>
          <w:sz w:val="36"/>
        </w:rPr>
      </w:pPr>
      <w:r>
        <w:rPr>
          <w:rFonts w:ascii="Times New Roman" w:hAnsi="Times New Roman"/>
          <w:b/>
          <w:sz w:val="36"/>
        </w:rPr>
        <w:t xml:space="preserve">$2,750,000,000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388745" cy="7283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1"/>
                    <a:stretch>
                      <a:fillRect/>
                    </a:stretch>
                  </pic:blipFill>
                  <pic:spPr bwMode="auto">
                    <a:xfrm>
                      <a:off x="0" y="0"/>
                      <a:ext cx="1388745" cy="72834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$500,000,000 5.000% Senior Notes due 2029 </w:t>
      </w:r>
    </w:p>
    <w:p>
      <w:pPr>
        <w:pStyle w:val="TextBody"/>
        <w:bidi w:val="0"/>
        <w:spacing w:before="0" w:after="0"/>
        <w:jc w:val="center"/>
        <w:rPr>
          <w:rFonts w:ascii="Times New Roman" w:hAnsi="Times New Roman"/>
          <w:b/>
          <w:sz w:val="28"/>
        </w:rPr>
      </w:pPr>
      <w:r>
        <w:rPr>
          <w:rFonts w:ascii="Times New Roman" w:hAnsi="Times New Roman"/>
          <w:b/>
          <w:sz w:val="28"/>
        </w:rPr>
        <w:t xml:space="preserve">$1,000,000,000 5.600% Senior Notes due 2033 </w:t>
      </w:r>
    </w:p>
    <w:p>
      <w:pPr>
        <w:pStyle w:val="TextBody"/>
        <w:bidi w:val="0"/>
        <w:spacing w:before="0" w:after="0"/>
        <w:jc w:val="center"/>
        <w:rPr>
          <w:rFonts w:ascii="Times New Roman" w:hAnsi="Times New Roman"/>
          <w:b/>
          <w:sz w:val="28"/>
        </w:rPr>
      </w:pPr>
      <w:r>
        <w:rPr>
          <w:rFonts w:ascii="Times New Roman" w:hAnsi="Times New Roman"/>
          <w:b/>
          <w:sz w:val="28"/>
        </w:rPr>
        <w:t xml:space="preserve">$750,000,000 5.800% Senior Notes due 2036 </w:t>
      </w:r>
    </w:p>
    <w:p>
      <w:pPr>
        <w:pStyle w:val="TextBody"/>
        <w:bidi w:val="0"/>
        <w:spacing w:before="0" w:after="0"/>
        <w:jc w:val="center"/>
        <w:rPr>
          <w:rFonts w:ascii="Times New Roman" w:hAnsi="Times New Roman"/>
          <w:b/>
          <w:sz w:val="28"/>
        </w:rPr>
      </w:pPr>
      <w:r>
        <w:rPr>
          <w:rFonts w:ascii="Times New Roman" w:hAnsi="Times New Roman"/>
          <w:b/>
          <w:sz w:val="28"/>
        </w:rPr>
        <w:t xml:space="preserve">$500,000,000 6.400% Senior Notes due 2056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0" w:after="0"/>
        <w:jc w:val="center"/>
        <w:rPr>
          <w:rFonts w:ascii="Times New Roman" w:hAnsi="Times New Roman"/>
          <w:b/>
          <w:i/>
          <w:sz w:val="20"/>
        </w:rPr>
      </w:pPr>
      <w:r>
        <w:rPr>
          <w:rFonts w:ascii="Times New Roman" w:hAnsi="Times New Roman"/>
          <w:b/>
          <w:i/>
          <w:sz w:val="20"/>
        </w:rPr>
        <w:t xml:space="preserve">Joint Book-Running Managers </w:t>
      </w:r>
    </w:p>
    <w:p>
      <w:pPr>
        <w:pStyle w:val="TextBody"/>
        <w:bidi w:val="0"/>
        <w:spacing w:before="120" w:after="0"/>
        <w:jc w:val="center"/>
        <w:rPr>
          <w:rFonts w:ascii="Times New Roman" w:hAnsi="Times New Roman"/>
          <w:b/>
          <w:sz w:val="28"/>
        </w:rPr>
      </w:pPr>
      <w:r>
        <w:rPr>
          <w:rFonts w:ascii="Times New Roman" w:hAnsi="Times New Roman"/>
          <w:b/>
          <w:sz w:val="28"/>
        </w:rPr>
        <w:t xml:space="preserve">Citigroup </w:t>
      </w:r>
    </w:p>
    <w:p>
      <w:pPr>
        <w:pStyle w:val="TextBody"/>
        <w:bidi w:val="0"/>
        <w:spacing w:before="120" w:after="0"/>
        <w:jc w:val="center"/>
        <w:rPr>
          <w:rFonts w:ascii="Times New Roman" w:hAnsi="Times New Roman"/>
          <w:b/>
          <w:sz w:val="28"/>
        </w:rPr>
      </w:pPr>
      <w:r>
        <w:rPr>
          <w:rFonts w:ascii="Times New Roman" w:hAnsi="Times New Roman"/>
          <w:b/>
          <w:sz w:val="28"/>
        </w:rPr>
        <w:t xml:space="preserve">Mizuho </w:t>
      </w:r>
    </w:p>
    <w:p>
      <w:pPr>
        <w:pStyle w:val="TextBody"/>
        <w:bidi w:val="0"/>
        <w:spacing w:before="120" w:after="0"/>
        <w:jc w:val="center"/>
        <w:rPr>
          <w:rFonts w:ascii="Times New Roman" w:hAnsi="Times New Roman"/>
          <w:b/>
          <w:sz w:val="28"/>
        </w:rPr>
      </w:pPr>
      <w:r>
        <w:rPr>
          <w:rFonts w:ascii="Times New Roman" w:hAnsi="Times New Roman"/>
          <w:b/>
          <w:sz w:val="28"/>
        </w:rPr>
        <w:t xml:space="preserve">Morgan Stanley </w:t>
      </w:r>
    </w:p>
    <w:p>
      <w:pPr>
        <w:pStyle w:val="TextBody"/>
        <w:bidi w:val="0"/>
        <w:spacing w:before="120" w:after="0"/>
        <w:jc w:val="center"/>
        <w:rPr>
          <w:rFonts w:ascii="Times New Roman" w:hAnsi="Times New Roman"/>
          <w:b/>
          <w:sz w:val="28"/>
        </w:rPr>
      </w:pPr>
      <w:r>
        <w:rPr>
          <w:rFonts w:ascii="Times New Roman" w:hAnsi="Times New Roman"/>
          <w:b/>
          <w:sz w:val="28"/>
        </w:rPr>
        <w:t xml:space="preserve">SMBC Nikko </w:t>
      </w:r>
    </w:p>
    <w:p>
      <w:pPr>
        <w:pStyle w:val="TextBody"/>
        <w:bidi w:val="0"/>
        <w:spacing w:before="120" w:after="0"/>
        <w:jc w:val="center"/>
        <w:rPr>
          <w:rFonts w:ascii="Times New Roman" w:hAnsi="Times New Roman"/>
          <w:b/>
          <w:sz w:val="24"/>
        </w:rPr>
      </w:pPr>
      <w:r>
        <w:rPr>
          <w:rFonts w:ascii="Times New Roman" w:hAnsi="Times New Roman"/>
          <w:b/>
          <w:sz w:val="24"/>
        </w:rPr>
        <w:t xml:space="preserve">BofA Securities </w:t>
      </w:r>
    </w:p>
    <w:p>
      <w:pPr>
        <w:pStyle w:val="TextBody"/>
        <w:bidi w:val="0"/>
        <w:spacing w:before="120" w:after="0"/>
        <w:jc w:val="center"/>
        <w:rPr>
          <w:rFonts w:ascii="Times New Roman" w:hAnsi="Times New Roman"/>
          <w:b/>
          <w:sz w:val="24"/>
        </w:rPr>
      </w:pPr>
      <w:r>
        <w:rPr>
          <w:rFonts w:ascii="Times New Roman" w:hAnsi="Times New Roman"/>
          <w:b/>
          <w:sz w:val="24"/>
        </w:rPr>
        <w:t xml:space="preserve">PNC Capital Markets LLC </w:t>
      </w:r>
    </w:p>
    <w:p>
      <w:pPr>
        <w:pStyle w:val="TextBody"/>
        <w:bidi w:val="0"/>
        <w:spacing w:before="120" w:after="0"/>
        <w:jc w:val="center"/>
        <w:rPr>
          <w:rFonts w:ascii="Times New Roman" w:hAnsi="Times New Roman"/>
          <w:b/>
          <w:sz w:val="24"/>
        </w:rPr>
      </w:pPr>
      <w:r>
        <w:rPr>
          <w:rFonts w:ascii="Times New Roman" w:hAnsi="Times New Roman"/>
          <w:b/>
          <w:sz w:val="24"/>
        </w:rPr>
        <w:t xml:space="preserve">RBC Capital Markets </w:t>
      </w:r>
    </w:p>
    <w:p>
      <w:pPr>
        <w:pStyle w:val="TextBody"/>
        <w:bidi w:val="0"/>
        <w:spacing w:before="120" w:after="0"/>
        <w:jc w:val="center"/>
        <w:rPr>
          <w:rFonts w:ascii="Times New Roman" w:hAnsi="Times New Roman"/>
          <w:b/>
          <w:sz w:val="24"/>
        </w:rPr>
      </w:pPr>
      <w:r>
        <w:rPr>
          <w:rFonts w:ascii="Times New Roman" w:hAnsi="Times New Roman"/>
          <w:b/>
          <w:sz w:val="24"/>
        </w:rPr>
        <w:t xml:space="preserve">Truist Securities </w:t>
      </w:r>
    </w:p>
    <w:p>
      <w:pPr>
        <w:pStyle w:val="TextBody"/>
        <w:bidi w:val="0"/>
        <w:spacing w:before="120" w:after="0"/>
        <w:jc w:val="center"/>
        <w:rPr>
          <w:rFonts w:ascii="Times New Roman" w:hAnsi="Times New Roman"/>
          <w:b/>
          <w:sz w:val="24"/>
        </w:rPr>
      </w:pPr>
      <w:r>
        <w:rPr>
          <w:rFonts w:ascii="Times New Roman" w:hAnsi="Times New Roman"/>
          <w:b/>
          <w:sz w:val="24"/>
        </w:rPr>
        <w:t xml:space="preserve">US Bancorp </w:t>
      </w:r>
    </w:p>
    <w:p>
      <w:pPr>
        <w:pStyle w:val="TextBody"/>
        <w:bidi w:val="0"/>
        <w:spacing w:before="120" w:after="0"/>
        <w:jc w:val="center"/>
        <w:rPr>
          <w:rFonts w:ascii="Times New Roman" w:hAnsi="Times New Roman"/>
          <w:b/>
          <w:sz w:val="24"/>
        </w:rPr>
      </w:pPr>
      <w:r>
        <w:rPr>
          <w:rFonts w:ascii="Times New Roman" w:hAnsi="Times New Roman"/>
          <w:b/>
          <w:sz w:val="24"/>
        </w:rPr>
        <w:t xml:space="preserve">Wells Fargo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Co-Managers </w:t>
      </w:r>
    </w:p>
    <w:p>
      <w:pPr>
        <w:pStyle w:val="TextBody"/>
        <w:bidi w:val="0"/>
        <w:spacing w:before="120" w:after="0"/>
        <w:jc w:val="center"/>
        <w:rPr>
          <w:rFonts w:ascii="Times New Roman" w:hAnsi="Times New Roman"/>
          <w:b/>
          <w:sz w:val="20"/>
        </w:rPr>
      </w:pPr>
      <w:r>
        <w:rPr>
          <w:rFonts w:ascii="Times New Roman" w:hAnsi="Times New Roman"/>
          <w:b/>
          <w:sz w:val="20"/>
        </w:rPr>
        <w:t xml:space="preserve">Barclays </w:t>
      </w:r>
    </w:p>
    <w:p>
      <w:pPr>
        <w:pStyle w:val="TextBody"/>
        <w:bidi w:val="0"/>
        <w:spacing w:before="120" w:after="0"/>
        <w:jc w:val="center"/>
        <w:rPr>
          <w:rFonts w:ascii="Times New Roman" w:hAnsi="Times New Roman"/>
          <w:b/>
          <w:sz w:val="20"/>
        </w:rPr>
      </w:pPr>
      <w:r>
        <w:rPr>
          <w:rFonts w:ascii="Times New Roman" w:hAnsi="Times New Roman"/>
          <w:b/>
          <w:sz w:val="20"/>
        </w:rPr>
        <w:t xml:space="preserve">BBVA </w:t>
      </w:r>
    </w:p>
    <w:p>
      <w:pPr>
        <w:pStyle w:val="TextBody"/>
        <w:bidi w:val="0"/>
        <w:spacing w:before="120" w:after="0"/>
        <w:jc w:val="center"/>
        <w:rPr>
          <w:rFonts w:ascii="Times New Roman" w:hAnsi="Times New Roman"/>
          <w:b/>
          <w:sz w:val="20"/>
        </w:rPr>
      </w:pPr>
      <w:r>
        <w:rPr>
          <w:rFonts w:ascii="Times New Roman" w:hAnsi="Times New Roman"/>
          <w:b/>
          <w:sz w:val="20"/>
        </w:rPr>
        <w:t xml:space="preserve">BOK Financial Securities, Inc. </w:t>
      </w:r>
    </w:p>
    <w:p>
      <w:pPr>
        <w:pStyle w:val="TextBody"/>
        <w:bidi w:val="0"/>
        <w:spacing w:before="120" w:after="0"/>
        <w:jc w:val="center"/>
        <w:rPr>
          <w:rFonts w:ascii="Times New Roman" w:hAnsi="Times New Roman"/>
          <w:b/>
          <w:sz w:val="20"/>
        </w:rPr>
      </w:pPr>
      <w:r>
        <w:rPr>
          <w:rFonts w:ascii="Times New Roman" w:hAnsi="Times New Roman"/>
          <w:b/>
          <w:sz w:val="20"/>
        </w:rPr>
        <w:t xml:space="preserve">CIBC Capital Markets </w:t>
      </w:r>
    </w:p>
    <w:p>
      <w:pPr>
        <w:pStyle w:val="TextBody"/>
        <w:bidi w:val="0"/>
        <w:spacing w:before="120" w:after="0"/>
        <w:jc w:val="center"/>
        <w:rPr>
          <w:rFonts w:ascii="Times New Roman" w:hAnsi="Times New Roman"/>
          <w:b/>
          <w:sz w:val="20"/>
        </w:rPr>
      </w:pPr>
      <w:r>
        <w:rPr>
          <w:rFonts w:ascii="Times New Roman" w:hAnsi="Times New Roman"/>
          <w:b/>
          <w:sz w:val="20"/>
        </w:rPr>
        <w:t xml:space="preserve">Deutsche Bank Securities </w:t>
      </w:r>
    </w:p>
    <w:p>
      <w:pPr>
        <w:pStyle w:val="TextBody"/>
        <w:bidi w:val="0"/>
        <w:spacing w:before="120" w:after="0"/>
        <w:jc w:val="center"/>
        <w:rPr>
          <w:rFonts w:ascii="Times New Roman" w:hAnsi="Times New Roman"/>
          <w:b/>
          <w:sz w:val="20"/>
        </w:rPr>
      </w:pPr>
      <w:r>
        <w:rPr>
          <w:rFonts w:ascii="Times New Roman" w:hAnsi="Times New Roman"/>
          <w:b/>
          <w:sz w:val="20"/>
        </w:rPr>
        <w:t xml:space="preserve">J.P. Morgan </w:t>
      </w:r>
    </w:p>
    <w:p>
      <w:pPr>
        <w:pStyle w:val="TextBody"/>
        <w:bidi w:val="0"/>
        <w:spacing w:before="120" w:after="0"/>
        <w:jc w:val="center"/>
        <w:rPr>
          <w:rFonts w:ascii="Times New Roman" w:hAnsi="Times New Roman"/>
          <w:b/>
          <w:sz w:val="20"/>
        </w:rPr>
      </w:pPr>
      <w:r>
        <w:rPr>
          <w:rFonts w:ascii="Times New Roman" w:hAnsi="Times New Roman"/>
          <w:b/>
          <w:sz w:val="20"/>
        </w:rPr>
        <w:t xml:space="preserve">MUFG </w:t>
      </w:r>
    </w:p>
    <w:p>
      <w:pPr>
        <w:pStyle w:val="TextBody"/>
        <w:bidi w:val="0"/>
        <w:spacing w:before="120" w:after="0"/>
        <w:jc w:val="center"/>
        <w:rPr>
          <w:rFonts w:ascii="Times New Roman" w:hAnsi="Times New Roman"/>
          <w:b/>
          <w:sz w:val="20"/>
        </w:rPr>
      </w:pPr>
      <w:r>
        <w:rPr>
          <w:rFonts w:ascii="Times New Roman" w:hAnsi="Times New Roman"/>
          <w:b/>
          <w:sz w:val="20"/>
        </w:rPr>
        <w:t xml:space="preserve">Scotiabank </w:t>
      </w:r>
    </w:p>
    <w:p>
      <w:pPr>
        <w:pStyle w:val="TextBody"/>
        <w:bidi w:val="0"/>
        <w:spacing w:before="120" w:after="0"/>
        <w:jc w:val="center"/>
        <w:rPr>
          <w:rFonts w:ascii="Times New Roman" w:hAnsi="Times New Roman"/>
          <w:b/>
          <w:sz w:val="20"/>
        </w:rPr>
      </w:pPr>
      <w:r>
        <w:rPr>
          <w:rFonts w:ascii="Times New Roman" w:hAnsi="Times New Roman"/>
          <w:b/>
          <w:sz w:val="20"/>
        </w:rPr>
        <w:t xml:space="preserve">TD Securities </w:t>
      </w:r>
    </w:p>
    <w:p>
      <w:pPr>
        <w:pStyle w:val="TextBody"/>
        <w:bidi w:val="0"/>
        <w:spacing w:before="120" w:after="0"/>
        <w:jc w:val="center"/>
        <w:rPr>
          <w:rFonts w:ascii="Times New Roman" w:hAnsi="Times New Roman"/>
          <w:b/>
          <w:sz w:val="20"/>
        </w:rPr>
      </w:pPr>
      <w:r>
        <w:rPr>
          <w:rFonts w:ascii="Times New Roman" w:hAnsi="Times New Roman"/>
          <w:b/>
          <w:sz w:val="20"/>
        </w:rPr>
        <w:t xml:space="preserve">Tuohy Brothers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September 8,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3" w:name="d110651dexfilingfees.htm"/>
      <w:bookmarkStart w:id="34" w:name="ksd110651dexfilingfees"/>
      <w:bookmarkStart w:id="35" w:name="d110651dexfilingfees.htm"/>
      <w:bookmarkStart w:id="36" w:name="ksd110651dexfilingfees"/>
      <w:bookmarkEnd w:id="35"/>
      <w:bookmarkEnd w:id="36"/>
      <w:r>
        <w:br w:type="page"/>
      </w:r>
    </w:p>
    <w:tbl>
      <w:tblPr>
        <w:tblW w:w="3800" w:type="dxa"/>
        <w:jc w:val="left"/>
        <w:tblInd w:w="0" w:type="dxa"/>
        <w:tblLayout w:type="fixed"/>
        <w:tblCellMar>
          <w:top w:w="28" w:type="dxa"/>
          <w:left w:w="28" w:type="dxa"/>
          <w:bottom w:w="28" w:type="dxa"/>
          <w:right w:w="28" w:type="dxa"/>
        </w:tblCellMar>
      </w:tblPr>
      <w:tblGrid>
        <w:gridCol w:w="3646"/>
        <w:gridCol w:w="154"/>
      </w:tblGrid>
      <w:tr>
        <w:trPr/>
        <w:tc>
          <w:tcPr>
            <w:tcW w:w="380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64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646" w:type="dxa"/>
            <w:tcBorders/>
            <w:vAlign w:val="center"/>
          </w:tcPr>
          <w:p>
            <w:pPr>
              <w:pStyle w:val="TableContents"/>
              <w:bidi w:val="0"/>
              <w:spacing w:before="0" w:after="283"/>
              <w:jc w:val="left"/>
              <w:rPr>
                <w:b/>
              </w:rPr>
            </w:pPr>
            <w:r>
              <w:rPr>
                <w:b/>
              </w:rPr>
              <w:t xml:space="preserve">WILLIAMS COMPANIES,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004" w:type="dxa"/>
        <w:jc w:val="left"/>
        <w:tblInd w:w="0" w:type="dxa"/>
        <w:tblLayout w:type="fixed"/>
        <w:tblCellMar>
          <w:top w:w="28" w:type="dxa"/>
          <w:left w:w="28" w:type="dxa"/>
          <w:bottom w:w="28" w:type="dxa"/>
          <w:right w:w="28" w:type="dxa"/>
        </w:tblCellMar>
      </w:tblPr>
      <w:tblGrid>
        <w:gridCol w:w="1126"/>
        <w:gridCol w:w="226"/>
        <w:gridCol w:w="946"/>
        <w:gridCol w:w="946"/>
        <w:gridCol w:w="1276"/>
        <w:gridCol w:w="148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4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00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5.000% Senior Notes due 2029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500,000,000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$ 499,655,000.00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$ 69,002.36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5.600% Senior Notes due 2033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1,000,000,000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$ 999,990,000.00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$ 138,098.62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5.800% Senior Notes due 2036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750,000,000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$ 748,642,500.00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$ 103,387.53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6.400% Senior Notes due 2056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500,000,000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$ 499,000,000.00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$ 68,911.90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00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37" w:name="MaxAggtOfferingPrice"/>
            <w:bookmarkEnd w:id="37"/>
            <w:r>
              <w:rPr/>
              <w:t xml:space="preserve">$ 2,747,287,500.00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8" w:name="TotalFeeAmt"/>
            <w:bookmarkEnd w:id="38"/>
            <w:r>
              <w:rPr/>
              <w:t xml:space="preserve">$ 379,400.41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9" w:name="TotalPreviouslyPaidAmt"/>
            <w:bookmarkEnd w:id="3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0" w:name="TotalOffsetAmt"/>
            <w:bookmarkEnd w:id="4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1" w:name="NetFeeAmt"/>
            <w:bookmarkEnd w:id="41"/>
            <w:r>
              <w:rPr/>
              <w:t xml:space="preserve">$ 379,400.41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1"/>
        <w:gridCol w:w="1293"/>
        <w:gridCol w:w="8701"/>
      </w:tblGrid>
      <w:tr>
        <w:trPr/>
        <w:tc>
          <w:tcPr>
            <w:tcW w:w="21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4" w:type="dxa"/>
            <w:gridSpan w:val="2"/>
            <w:tcBorders/>
            <w:vAlign w:val="center"/>
          </w:tcPr>
          <w:p>
            <w:pPr>
              <w:pStyle w:val="TableContents"/>
              <w:bidi w:val="0"/>
              <w:spacing w:before="0" w:after="283"/>
              <w:jc w:val="left"/>
              <w:rPr/>
            </w:pPr>
            <w:r>
              <w:rPr/>
              <w:t xml:space="preserve">This registration fee table shall be deemed to update the "Calculation of Registration Fee" in the Company's Registration Statement on Form S-3 (File No. 333-277232) in accordance with Rules 456(b) and 457(r) under the Securities Act of 1933, as amended. The prospectus supplement to which this registration fee table is attached is a final prospectus for the related offering. </w:t>
            </w:r>
          </w:p>
        </w:tc>
      </w:tr>
      <w:tr>
        <w:trPr/>
        <w:tc>
          <w:tcPr>
            <w:tcW w:w="1504" w:type="dxa"/>
            <w:gridSpan w:val="2"/>
            <w:tcBorders/>
            <w:vAlign w:val="center"/>
          </w:tcPr>
          <w:p>
            <w:pPr>
              <w:pStyle w:val="HorizontalLine"/>
              <w:pBdr>
                <w:bottom w:val="double" w:sz="2" w:space="0" w:color="808080"/>
              </w:pBdr>
              <w:bidi w:val="0"/>
              <w:spacing w:before="0" w:after="283"/>
              <w:jc w:val="left"/>
              <w:rPr/>
            </w:pPr>
            <w:r>
              <w:rPr/>
            </w:r>
          </w:p>
        </w:tc>
        <w:tc>
          <w:tcPr>
            <w:tcW w:w="8701" w:type="dxa"/>
            <w:tcBorders/>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94" w:type="dxa"/>
            <w:gridSpan w:val="2"/>
            <w:tcBorders/>
            <w:vAlign w:val="center"/>
          </w:tcPr>
          <w:p>
            <w:pPr>
              <w:pStyle w:val="TableContents"/>
              <w:bidi w:val="0"/>
              <w:spacing w:before="0" w:after="283"/>
              <w:jc w:val="left"/>
              <w:rPr/>
            </w:pPr>
            <w:r>
              <w:rPr/>
              <w:t xml:space="preserve">This registration fee table shall be deemed to update the "Calculation of Registration Fee" in the Company's Registration Statement on Form S-3 (File No. 333-277232) in accordance with Rules 456(b) and 457(r) under the Securities Act of 1933, as amended. The prospectus supplement to which this registration fee table is attached is a final prospectus for the related offering. </w:t>
            </w:r>
          </w:p>
        </w:tc>
      </w:tr>
      <w:tr>
        <w:trPr/>
        <w:tc>
          <w:tcPr>
            <w:tcW w:w="1504" w:type="dxa"/>
            <w:gridSpan w:val="2"/>
            <w:tcBorders/>
            <w:vAlign w:val="center"/>
          </w:tcPr>
          <w:p>
            <w:pPr>
              <w:pStyle w:val="HorizontalLine"/>
              <w:pBdr>
                <w:bottom w:val="double" w:sz="2" w:space="0" w:color="808080"/>
              </w:pBdr>
              <w:bidi w:val="0"/>
              <w:spacing w:before="0" w:after="283"/>
              <w:jc w:val="left"/>
              <w:rPr/>
            </w:pPr>
            <w:r>
              <w:rPr/>
            </w:r>
          </w:p>
        </w:tc>
        <w:tc>
          <w:tcPr>
            <w:tcW w:w="8701" w:type="dxa"/>
            <w:tcBorders/>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9994" w:type="dxa"/>
            <w:gridSpan w:val="2"/>
            <w:tcBorders/>
            <w:vAlign w:val="center"/>
          </w:tcPr>
          <w:p>
            <w:pPr>
              <w:pStyle w:val="TableContents"/>
              <w:bidi w:val="0"/>
              <w:spacing w:before="0" w:after="283"/>
              <w:jc w:val="left"/>
              <w:rPr/>
            </w:pPr>
            <w:r>
              <w:rPr/>
              <w:t xml:space="preserve">This registration fee table shall be deemed to update the "Calculation of Registration Fee" in the Company's Registration Statement on Form S-3 (File No. 333-277232) in accordance with Rules 456(b) and 457(r) under the Securities Act of 1933, as amended. The prospectus supplement to which this registration fee table is attached is a final prospectus for the related offering. </w:t>
            </w:r>
          </w:p>
        </w:tc>
      </w:tr>
      <w:tr>
        <w:trPr/>
        <w:tc>
          <w:tcPr>
            <w:tcW w:w="1504" w:type="dxa"/>
            <w:gridSpan w:val="2"/>
            <w:tcBorders/>
            <w:vAlign w:val="center"/>
          </w:tcPr>
          <w:p>
            <w:pPr>
              <w:pStyle w:val="HorizontalLine"/>
              <w:pBdr>
                <w:bottom w:val="double" w:sz="2" w:space="0" w:color="808080"/>
              </w:pBdr>
              <w:bidi w:val="0"/>
              <w:spacing w:before="0" w:after="283"/>
              <w:jc w:val="left"/>
              <w:rPr/>
            </w:pPr>
            <w:r>
              <w:rPr/>
            </w:r>
          </w:p>
        </w:tc>
        <w:tc>
          <w:tcPr>
            <w:tcW w:w="8701" w:type="dxa"/>
            <w:tcBorders/>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9994" w:type="dxa"/>
            <w:gridSpan w:val="2"/>
            <w:tcBorders/>
            <w:vAlign w:val="center"/>
          </w:tcPr>
          <w:p>
            <w:pPr>
              <w:pStyle w:val="TableContents"/>
              <w:bidi w:val="0"/>
              <w:spacing w:before="0" w:after="283"/>
              <w:jc w:val="left"/>
              <w:rPr/>
            </w:pPr>
            <w:r>
              <w:rPr/>
              <w:t xml:space="preserve">This registration fee table shall be deemed to update the "Calculation of Registration Fee" in the Company's Registration Statement on Form S-3 (File No. 333-277232) in accordance with Rules 456(b) and 457(r) under the Securities Act of 1933, as amended. The prospectus supplement to which this registration fee table is attached is a final prospectus for the related offering. </w:t>
            </w:r>
          </w:p>
        </w:tc>
      </w:tr>
      <w:tr>
        <w:trPr/>
        <w:tc>
          <w:tcPr>
            <w:tcW w:w="1504" w:type="dxa"/>
            <w:gridSpan w:val="2"/>
            <w:tcBorders/>
            <w:vAlign w:val="center"/>
          </w:tcPr>
          <w:p>
            <w:pPr>
              <w:pStyle w:val="HorizontalLine"/>
              <w:pBdr>
                <w:bottom w:val="double" w:sz="2" w:space="0" w:color="808080"/>
              </w:pBdr>
              <w:bidi w:val="0"/>
              <w:spacing w:before="0" w:after="283"/>
              <w:jc w:val="left"/>
              <w:rPr/>
            </w:pPr>
            <w:r>
              <w:rPr/>
            </w:r>
          </w:p>
        </w:tc>
        <w:tc>
          <w:tcPr>
            <w:tcW w:w="870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$2,747,287,500.00.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0107263/000010726326000006/wmb-20251231.htm" TargetMode="External"/><Relationship Id="rId4" Type="http://schemas.openxmlformats.org/officeDocument/2006/relationships/hyperlink" Target="http://www.sec.gov/Archives/edgar/data/../../../ix?doc=/Archives/edgar/data/0000107263/000010726326000017/wmb-20260331.htm" TargetMode="External"/><Relationship Id="rId5" Type="http://schemas.openxmlformats.org/officeDocument/2006/relationships/hyperlink" Target="http://www.sec.gov/Archives/edgar/data/../../../ix?doc=/Archives/edgar/data/0000107263/000010726326000026/wmb-20260630.htm" TargetMode="External"/><Relationship Id="rId6" Type="http://schemas.openxmlformats.org/officeDocument/2006/relationships/hyperlink" Target="http://www.sec.gov/Archives/edgar/data/../../../ix?doc=/Archives/edgar/data/0000107263/000119312526112643/wmb-20260317.htm" TargetMode="External"/><Relationship Id="rId7" Type="http://schemas.openxmlformats.org/officeDocument/2006/relationships/hyperlink" Target="http://www.sec.gov/Archives/edgar/data/../../../ix?doc=/Archives/edgar/data/0000107263/000119312526007085/d56301d8k.htm" TargetMode="External"/><Relationship Id="rId8" Type="http://schemas.openxmlformats.org/officeDocument/2006/relationships/hyperlink" Target="http://www.sec.gov/Archives/edgar/data/../../../ix?doc=/Archives/edgar/data/0000107263/000119312526007722/d33935d8k.htm" TargetMode="External"/><Relationship Id="rId9" Type="http://schemas.openxmlformats.org/officeDocument/2006/relationships/hyperlink" Target="http://www.sec.gov/Archives/edgar/data/../../../ix?doc=/Archives/edgar/data/0000107263/000010726326000008/wmb-20260326.htm" TargetMode="External"/><Relationship Id="rId10" Type="http://schemas.openxmlformats.org/officeDocument/2006/relationships/hyperlink" Target="http://www.sec.gov/Archives/edgar/data/../../../ix?doc=/Archives/edgar/data/0000107263/000010726326000013/wmb-20260504.htm" TargetMode="External"/><Relationship Id="rId11" Type="http://schemas.openxmlformats.org/officeDocument/2006/relationships/hyperlink" Target="http://www.sec.gov/Archives/edgar/data/../../../ix?doc=/Archives/edgar/data/0000107263/000119312526232714/d227957d8k.htm" TargetMode="External"/><Relationship Id="rId12" Type="http://schemas.openxmlformats.org/officeDocument/2006/relationships/hyperlink" Target="http://www.sec.gov/Archives/edgar/data/../../../ix?doc=/Archives/edgar/data/0000107263/000010726326000020/wmb-20260701.htm" TargetMode="External"/><Relationship Id="rId13" Type="http://schemas.openxmlformats.org/officeDocument/2006/relationships/hyperlink" Target="http://www.sec.gov/Archives/edgar/data/../../../ix?doc=/Archives/edgar/data/107263/000010726326000028/wmb-20260821.htm" TargetMode="External"/><Relationship Id="rId14" Type="http://schemas.openxmlformats.org/officeDocument/2006/relationships/hyperlink" Target="http://www.sec.gov/Archives/edgar/data/../../../ix?doc=/Archives/edgar/data/107263/000119312526381926/d111572d8k.htm" TargetMode="External"/><Relationship Id="rId15" Type="http://schemas.openxmlformats.org/officeDocument/2006/relationships/image" Target="media/image2.jpeg"/><Relationship Id="rId16" Type="http://schemas.openxmlformats.org/officeDocument/2006/relationships/hyperlink" Target="http://www.sec.gov/Archives/edgar/data/../../../ix?doc=/Archives/edgar/data/107263/000010726324000019/wmb-20231231.htm" TargetMode="External"/><Relationship Id="rId17" Type="http://schemas.openxmlformats.org/officeDocument/2006/relationships/hyperlink" Target="http://www.sec.gov/Archives/edgar/data/../../../ix?doc=/Archives/edgar/data/107263/000119312524041468/d538932dpre14a.htm" TargetMode="External"/><Relationship Id="rId18" Type="http://schemas.openxmlformats.org/officeDocument/2006/relationships/hyperlink" Target="http://www.sec.gov/Archives/edgar/data/../../../ix?doc=/Archives/edgar/data/107263/000119312524002923/d668036d8k.htm" TargetMode="External"/><Relationship Id="rId19" Type="http://schemas.openxmlformats.org/officeDocument/2006/relationships/hyperlink" Target="http://www.sec.gov/Archives/edgar/data/../../../ix?doc=/Archives/edgar/data/107263/000119312524003389/d697925d8k.htm" TargetMode="External"/><Relationship Id="rId20" Type="http://schemas.openxmlformats.org/officeDocument/2006/relationships/hyperlink" Target="http://www.sec.gov/Archives/edgar/data/107263/000119312518219725/d522727d8k.htm" TargetMode="External"/><Relationship Id="rId21" Type="http://schemas.openxmlformats.org/officeDocument/2006/relationships/image" Target="media/image1.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82</Pages>
  <Words>41013</Words>
  <Characters>215945</Characters>
  <CharactersWithSpaces>258116</CharactersWithSpaces>
  <Paragraphs>3358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424B2</dc:title>
</cp:coreProperties>
</file>