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732155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688975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3, 2025 (February 28,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The Williams Companies, Inc.</w:t>
      </w:r>
    </w:p>
    <w:p>
      <w:pPr>
        <w:spacing w:after="0" w:line="75" w:lineRule="exact"/>
        <w:rPr>
          <w:sz w:val="24"/>
          <w:szCs w:val="24"/>
          <w:color w:val="auto"/>
        </w:rPr>
      </w:pPr>
    </w:p>
    <w:tbl>
      <w:tblPr>
        <w:tblLayout w:type="fixed"/>
        <w:tblInd w:w="1280" w:type="dxa"/>
        <w:tblCellMar>
          <w:top w:w="0" w:type="dxa"/>
          <w:left w:w="0" w:type="dxa"/>
          <w:bottom w:w="0" w:type="dxa"/>
          <w:right w:w="0" w:type="dxa"/>
        </w:tblCellMar>
      </w:tblPr>
      <w:tr>
        <w:trPr>
          <w:trHeight w:val="233"/>
        </w:trPr>
        <w:tc>
          <w:tcPr>
            <w:tcW w:w="242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20" w:type="dxa"/>
            <w:vAlign w:val="bottom"/>
          </w:tcPr>
          <w:p>
            <w:pPr>
              <w:spacing w:after="0"/>
              <w:rPr>
                <w:sz w:val="20"/>
                <w:szCs w:val="20"/>
                <w:color w:val="auto"/>
              </w:rPr>
            </w:pPr>
          </w:p>
        </w:tc>
      </w:tr>
      <w:tr>
        <w:trPr>
          <w:trHeight w:val="238"/>
        </w:trPr>
        <w:tc>
          <w:tcPr>
            <w:tcW w:w="24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7"/>
              </w:rPr>
              <w:t>1-4174</w:t>
            </w:r>
          </w:p>
        </w:tc>
        <w:tc>
          <w:tcPr>
            <w:tcW w:w="23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73-0569878</w:t>
            </w:r>
          </w:p>
        </w:tc>
      </w:tr>
      <w:tr>
        <w:trPr>
          <w:trHeight w:val="225"/>
        </w:trPr>
        <w:tc>
          <w:tcPr>
            <w:tcW w:w="24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(Commission</w:t>
            </w:r>
          </w:p>
        </w:tc>
        <w:tc>
          <w:tcPr>
            <w:tcW w:w="23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incorporation)</w:t>
            </w:r>
          </w:p>
        </w:tc>
        <w:tc>
          <w:tcPr>
            <w:tcW w:w="40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File Number)</w:t>
            </w:r>
          </w:p>
        </w:tc>
        <w:tc>
          <w:tcPr>
            <w:tcW w:w="2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24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One Williams Center</w:t>
            </w:r>
          </w:p>
        </w:tc>
        <w:tc>
          <w:tcPr>
            <w:tcW w:w="40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92"/>
        </w:trPr>
        <w:tc>
          <w:tcPr>
            <w:tcW w:w="2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Tulsa, Oklahoma</w:t>
            </w:r>
          </w:p>
        </w:tc>
        <w:tc>
          <w:tcPr>
            <w:tcW w:w="4040" w:type="dxa"/>
            <w:vAlign w:val="bottom"/>
          </w:tcPr>
          <w:p>
            <w:pPr>
              <w:spacing w:after="0"/>
              <w:rPr>
                <w:sz w:val="24"/>
                <w:szCs w:val="24"/>
                <w:color w:val="auto"/>
              </w:rPr>
            </w:pPr>
          </w:p>
        </w:tc>
        <w:tc>
          <w:tcPr>
            <w:tcW w:w="23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74172-0172</w:t>
            </w:r>
          </w:p>
        </w:tc>
      </w:tr>
      <w:tr>
        <w:trPr>
          <w:trHeight w:val="234"/>
        </w:trPr>
        <w:tc>
          <w:tcPr>
            <w:tcW w:w="6460" w:type="dxa"/>
            <w:vAlign w:val="bottom"/>
            <w:gridSpan w:val="2"/>
          </w:tcPr>
          <w:p>
            <w:pPr>
              <w:jc w:val="center"/>
              <w:ind w:right="33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8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800-945-5426 (800-WILLIAMS)</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9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13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WMB</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0"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320"/>
        <w:spacing w:after="0" w:line="207" w:lineRule="exact"/>
        <w:tabs>
          <w:tab w:leader="none" w:pos="33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0808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Effective February 28, 2025, The Williams Companies, Inc. (the “Company”) entered into an agreement with an unnamed large, investment-grade company (the “Customer”) to provide onsite natural gas and power generation infrastructure for the Customer. The Company has agreed to invest approximately $1.6 billion to provide committed power generation and associated gas pipeline infrastructure, with anticipated completion in the second half of 2026, assuming timely receipt of permits. This is the Company’s first power innovation project to deliver speed-to-market solutions for growing demand in grid-constrained markets. The project is backed by a 10-year, primarily fixed-price power purchase agreement, with an option for the Customer to extend. The Company’s build multiple for the project is approximately 5x EBITDA.</w:t>
      </w:r>
    </w:p>
    <w:p>
      <w:pPr>
        <w:spacing w:after="0" w:line="211"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As a result of this agreement, the Company is raising its 2025 growth capex by $925 million to a new total of between $2.575 billion and $2.875 billion, which is expected to raise its leverage ratio midpoint for 2025 to 3.65x.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80" w:hanging="38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46" w:lineRule="exact"/>
        <w:rPr>
          <w:sz w:val="20"/>
          <w:szCs w:val="20"/>
          <w:color w:val="auto"/>
        </w:rPr>
      </w:pPr>
    </w:p>
    <w:p>
      <w:pPr>
        <w:ind w:left="24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5" w:lineRule="exact"/>
        <w:rPr>
          <w:sz w:val="20"/>
          <w:szCs w:val="20"/>
          <w:color w:val="auto"/>
        </w:rPr>
      </w:pPr>
    </w:p>
    <w:p>
      <w:pPr>
        <w:ind w:left="1500" w:right="40" w:hanging="952"/>
        <w:spacing w:after="0"/>
        <w:tabs>
          <w:tab w:leader="none" w:pos="1500" w:val="left"/>
        </w:tabs>
        <w:numPr>
          <w:ilvl w:val="0"/>
          <w:numId w:val="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Cover Page Interactive Data File. The cover page XBRL tags are embedded within the inline XBRL document (contained in Exhibit 101).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1" w:lineRule="exact"/>
        <w:rPr>
          <w:sz w:val="20"/>
          <w:szCs w:val="20"/>
          <w:color w:val="auto"/>
        </w:rPr>
      </w:pPr>
    </w:p>
    <w:p>
      <w:pPr>
        <w:ind w:firstLine="202"/>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ILLIAMS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77" w:lineRule="exact"/>
        <w:rPr>
          <w:sz w:val="20"/>
          <w:szCs w:val="20"/>
          <w:color w:val="auto"/>
        </w:rPr>
      </w:pPr>
    </w:p>
    <w:p>
      <w:pPr>
        <w:ind w:left="20"/>
        <w:spacing w:after="0"/>
        <w:tabs>
          <w:tab w:leader="none" w:pos="720" w:val="left"/>
          <w:tab w:leader="none" w:pos="6260" w:val="left"/>
          <w:tab w:leader="none" w:pos="6720" w:val="left"/>
        </w:tabs>
        <w:rPr>
          <w:sz w:val="20"/>
          <w:szCs w:val="20"/>
          <w:color w:val="auto"/>
        </w:rPr>
      </w:pPr>
      <w:r>
        <w:rPr>
          <w:rFonts w:ascii="Times New Roman" w:cs="Times New Roman" w:eastAsia="Times New Roman" w:hAnsi="Times New Roman"/>
          <w:sz w:val="18"/>
          <w:szCs w:val="18"/>
          <w:color w:val="auto"/>
        </w:rPr>
        <w:t>Dated:</w:t>
        <w:tab/>
        <w:t>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E. R</w:t>
      </w:r>
      <w:r>
        <w:rPr>
          <w:rFonts w:ascii="Times New Roman" w:cs="Times New Roman" w:eastAsia="Times New Roman" w:hAnsi="Times New Roman"/>
          <w:sz w:val="13"/>
          <w:szCs w:val="13"/>
          <w:color w:val="auto"/>
        </w:rPr>
        <w:t>ILEY,</w:t>
      </w:r>
      <w:r>
        <w:rPr>
          <w:rFonts w:ascii="Times New Roman" w:cs="Times New Roman" w:eastAsia="Times New Roman" w:hAnsi="Times New Roman"/>
          <w:sz w:val="17"/>
          <w:szCs w:val="17"/>
          <w:color w:val="auto"/>
        </w:rPr>
        <w:t xml:space="preserve"> J</w:t>
      </w:r>
      <w:r>
        <w:rPr>
          <w:rFonts w:ascii="Times New Roman" w:cs="Times New Roman" w:eastAsia="Times New Roman" w:hAnsi="Times New Roman"/>
          <w:sz w:val="13"/>
          <w:szCs w:val="13"/>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26035</wp:posOffset>
            </wp:positionV>
            <wp:extent cx="2846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Robert E. Riley, Jr.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2025-03-03T15:15:32Z</dcterms:created>
  <dcterms:modified xsi:type="dcterms:W3CDTF">2025-03-03T15:15:32Z</dcterms:modified>
</cp:coreProperties>
</file>