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115455.xml.htm"/>
      <w:bookmarkStart w:id="1" w:name="kswkform4_178611545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Turner Robb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WILLIAMS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TULSA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74172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WILLIAMS COMPANIES,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WMB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19"/>
        <w:gridCol w:w="936"/>
        <w:gridCol w:w="804"/>
        <w:gridCol w:w="621"/>
        <w:gridCol w:w="346"/>
        <w:gridCol w:w="824"/>
        <w:gridCol w:w="428"/>
        <w:gridCol w:w="761"/>
        <w:gridCol w:w="1134"/>
        <w:gridCol w:w="982"/>
        <w:gridCol w:w="135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1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3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1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1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2,785</w:t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71.81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8,785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1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84,000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Madava Investments, LLC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Time-based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Cheryl L. Mahon,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05444" TargetMode="External"/><Relationship Id="rId5" Type="http://schemas.openxmlformats.org/officeDocument/2006/relationships/hyperlink" Target="http://www.sec.gov/cgi-bin/browse-edgar?action=getcompany&amp;CIK=00001072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582</Words>
  <Characters>3178</Characters>
  <CharactersWithSpaces>3688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