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217d8k.htm"/>
      <w:bookmarkStart w:id="1" w:name="ksd1162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The Williams Companies,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1-4174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73-0569878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35"/>
        <w:gridCol w:w="60"/>
        <w:gridCol w:w="119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One Williams Center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Tulsa, Oklahoma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74172-0172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(918) 573-2000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WMB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675" w:type="dxa"/>
        <w:jc w:val="left"/>
        <w:tblInd w:w="0" w:type="dxa"/>
        <w:tblLayout w:type="fixed"/>
        <w:tblCellMar>
          <w:top w:w="0" w:type="dxa"/>
          <w:left w:w="0" w:type="dxa"/>
          <w:bottom w:w="0" w:type="dxa"/>
          <w:right w:w="0" w:type="dxa"/>
        </w:tblCellMar>
      </w:tblPr>
      <w:tblGrid>
        <w:gridCol w:w="1025"/>
        <w:gridCol w:w="3650"/>
      </w:tblGrid>
      <w:tr>
        <w:trPr/>
        <w:tc>
          <w:tcPr>
            <w:tcW w:w="1025" w:type="dxa"/>
            <w:tcBorders/>
            <w:vAlign w:val="center"/>
          </w:tcPr>
          <w:p>
            <w:pPr>
              <w:pStyle w:val="TableContents"/>
              <w:bidi w:val="0"/>
              <w:spacing w:before="0" w:after="283"/>
              <w:jc w:val="left"/>
              <w:rPr>
                <w:b/>
              </w:rPr>
            </w:pPr>
            <w:r>
              <w:rPr>
                <w:b/>
              </w:rPr>
              <w:t>Item 1.01.</w:t>
            </w:r>
          </w:p>
        </w:tc>
        <w:tc>
          <w:tcPr>
            <w:tcW w:w="36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10, 2026, The Williams Companies, Inc. (the “Company”) completed a registered offering (the “Offering”) of $500 million aggregate principal amount of its 5.000% Senior Notes due 2029 (the “2029 Notes”), $1.0 billion aggregate principal amount of its 5.600% Senior Notes due 2033 (the “2033 Notes”), $750 million aggregate principal amount of its 5.800% Senior Notes due 2036 (the “2036 Notes”) and $500 million aggregate principal amount of its 6.400% Senior Notes due 2056 (the “2056 Notes” and, together with the 2029 Notes, the 2033 Notes and the 2036 Notes, the “Notes”). The Offering has been registered under the Securities Act of 1933, as amended (the “Securities Act”), pursuant to a registration statement on Form S-3 (Registration No. 333-277232) of the Company (the “Registration Statement”) and the prospectus supplement dated September 8, 2026 and filed with the Securities and Exchange Commission pursuant to Rule 424(b) of the Securities Act on September 9, 2026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pursuant to an Indenture (the “Base Indenture”), dated as of December 18, 2012, between the Company and The Bank of New York Mellon Trust Company, N.A., as trustee (the “Trustee”), as supplemented by the Fourteenth Supplemental Indenture (the “Supplemental Indenture,” and together with the Base Indenture, the “Indenture”), dated as of September 10, 2026, between the Company and the Trustee. The Notes are each represented by a global security, the applicable forms of which are included as exhibits to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2029 Notes will pay interest semi-annually in cash in arrears on April 15 and October 15 of each year, beginning on April 15, 2027. The 2033 Notes, the 2036 Notes and the 2056 Notes will pay interest semi-annually in cash in arrears on March 15 and September 15 of each year, beginning on March 15, 2027. The Notes are the Company’s senior unsecured obligations and will rank equally in right of payment with all of its other senior indebtedness and senior to all of its future indebtedness that is expressly subordinated in right of payment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covenants that, among other things, restrict the Company’s ability to incur liens on assets to secure certain debt and merge, consolidate or sell, assign, transfer, lease, convey or otherwise dispose of all or substantially all of its assets, subject to certain qualifications and exceptions. The Indenture includes customary events of default, including payment defaults and certain events of bankruptcy, insolvency or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some or all of the Notes at any time or from time to time prior to September 15, 2029, in the case of the 2029 Notes, July 15, 2033, in the case of the 2033 Notes, June 15, 2036, in the case of the 2036 Notes, and March 15, 2056, in the case of the 2056 Notes, at a specified “make-whole” premium described in the Indenture. The Company also has the option at any time or from time to time on or after September 15, 2029, in the case of the 2029 Notes, July 15, 2033, in the case of the 2033 Notes, June 15, 2036, in the case of the 2036 Notes, and March 15, 2056, in the case of the 2056 Notes, to redeem the applicable Notes, in whole or in part, at a redemption price equal to 100% of the principal amount of the Notes to be redeemed, plus accrued and unpaid interest thereon to the redemption date, as more fully described in the Indenture. A copy of the Base Indenture was previously filed, and a copy of the Supplemental Indenture is filed as Exhibit 4.1 to this report. The descriptions of the terms of the Base Indenture and the Supplemental Indenture in this Item 1.01 are qualified in their entirety by reference to such exhibits.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290"/>
        <w:gridCol w:w="8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6217dex41.htm">
              <w:r>
                <w:rPr>
                  <w:rStyle w:val="InternetLink"/>
                </w:rPr>
                <w:t xml:space="preserve">Fourteenth Supplemental Indenture, dated as of September 10, 2026, between The Williams Companies, Inc. and The Bank of New York Mellon Trust Company, N.A.,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The cover page XBRL tags are embedded within the inline XBRL document (contained in Exhibit 101).</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458"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6260"/>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6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b/>
              </w:rPr>
            </w:pPr>
            <w:r>
              <w:rPr>
                <w:b/>
              </w:rPr>
              <w:t xml:space="preserve">THE WILLIAMS COMPANIES, INC.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32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E. Riley, Jr.</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Robert E. Riley, Jr.</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 and Assistant</w:t>
            </w:r>
          </w:p>
          <w:p>
            <w:pPr>
              <w:pStyle w:val="TableContents"/>
              <w:bidi w:val="0"/>
              <w:spacing w:before="0" w:after="20"/>
              <w:jc w:val="left"/>
              <w:rPr>
                <w:rFonts w:ascii="Times New Roman" w:hAnsi="Times New Roman"/>
                <w:sz w:val="20"/>
              </w:rPr>
            </w:pPr>
            <w:r>
              <w:rPr>
                <w:rFonts w:ascii="Times New Roman" w:hAnsi="Times New Roman"/>
                <w:sz w:val="20"/>
              </w:rPr>
              <w:t>General Counsel – Corporate Secretary and Labor, Employment and Benefits</w:t>
            </w:r>
          </w:p>
        </w:tc>
      </w:tr>
    </w:tbl>
    <w:p>
      <w:pPr>
        <w:pStyle w:val="TextBody"/>
        <w:bidi w:val="0"/>
        <w:spacing w:before="0" w:after="0"/>
        <w:jc w:val="right"/>
        <w:rPr>
          <w:rFonts w:ascii="Times New Roman" w:hAnsi="Times New Roman"/>
          <w:b/>
          <w:sz w:val="20"/>
        </w:rPr>
      </w:pPr>
      <w:bookmarkStart w:id="2" w:name="d116217dex41.htm"/>
      <w:bookmarkStart w:id="3" w:name="ksd116217dex41"/>
      <w:bookmarkEnd w:id="2"/>
      <w:bookmarkEnd w:id="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BANK OF NEW YORK MELLON TRUST COMPANY, N.A.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FOURTEENTH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10, 2026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December 18, 2012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5.000% Senior Notes due 2029 </w:t>
      </w:r>
    </w:p>
    <w:p>
      <w:pPr>
        <w:pStyle w:val="TextBody"/>
        <w:bidi w:val="0"/>
        <w:spacing w:before="0" w:after="0"/>
        <w:jc w:val="center"/>
        <w:rPr>
          <w:rFonts w:ascii="Times New Roman" w:hAnsi="Times New Roman"/>
          <w:sz w:val="20"/>
        </w:rPr>
      </w:pPr>
      <w:r>
        <w:rPr>
          <w:rFonts w:ascii="Times New Roman" w:hAnsi="Times New Roman"/>
          <w:sz w:val="20"/>
        </w:rPr>
        <w:t xml:space="preserve">5.600% Senior Notes due 2033 </w:t>
      </w:r>
    </w:p>
    <w:p>
      <w:pPr>
        <w:pStyle w:val="TextBody"/>
        <w:bidi w:val="0"/>
        <w:spacing w:before="0" w:after="0"/>
        <w:jc w:val="center"/>
        <w:rPr>
          <w:rFonts w:ascii="Times New Roman" w:hAnsi="Times New Roman"/>
          <w:sz w:val="20"/>
        </w:rPr>
      </w:pPr>
      <w:r>
        <w:rPr>
          <w:rFonts w:ascii="Times New Roman" w:hAnsi="Times New Roman"/>
          <w:sz w:val="20"/>
        </w:rPr>
        <w:t xml:space="preserve">5.800% Senior Notes due 2036 </w:t>
      </w:r>
    </w:p>
    <w:p>
      <w:pPr>
        <w:pStyle w:val="TextBody"/>
        <w:bidi w:val="0"/>
        <w:spacing w:before="0" w:after="0"/>
        <w:jc w:val="center"/>
        <w:rPr>
          <w:rFonts w:ascii="Times New Roman" w:hAnsi="Times New Roman"/>
          <w:sz w:val="20"/>
        </w:rPr>
      </w:pPr>
      <w:r>
        <w:rPr>
          <w:rFonts w:ascii="Times New Roman" w:hAnsi="Times New Roman"/>
          <w:sz w:val="20"/>
        </w:rPr>
        <w:t xml:space="preserve">6.400% Senior Notes due 2056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2"/>
        <w:gridCol w:w="125"/>
        <w:gridCol w:w="7468"/>
        <w:gridCol w:w="175"/>
        <w:gridCol w:w="96"/>
        <w:gridCol w:w="425"/>
        <w:gridCol w:w="64"/>
      </w:tblGrid>
      <w:tr>
        <w:trPr/>
        <w:tc>
          <w:tcPr>
            <w:tcW w:w="185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468"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45" w:type="dxa"/>
            <w:gridSpan w:val="3"/>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I    DEFINITIONS AND OTHER PROVISIONS OF GENERAL APPLICATION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Definitions; 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Relationship with Base Indenture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Effect of Headings and Table of Contents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Successors and Assigns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Separability Clause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Governing Law; Waiver of Trial by Jury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Counterparts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Submission to Jurisdiction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Foreign Account Tax Compliance Act (FATCA)</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Certain Rights of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Payments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Electronic Means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II  THE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Establishment, Form and Dating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Registrar and Paying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Execution, Authentication, Delivery and Dating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III  LEGAL DEFEASANCE AND COVENANT DEFEASANCE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IV  EVENTS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V   ADDITIONAL COVENANTS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Limitation on Liens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VI  REDEMPTION OF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Optional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Election to Redeem; Notice to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 A FORM OF 2029 NOTE </w:t>
      </w:r>
    </w:p>
    <w:p>
      <w:pPr>
        <w:pStyle w:val="TextBody"/>
        <w:bidi w:val="0"/>
        <w:spacing w:before="0" w:after="0"/>
        <w:jc w:val="left"/>
        <w:rPr>
          <w:rFonts w:ascii="Times New Roman" w:hAnsi="Times New Roman"/>
          <w:sz w:val="20"/>
        </w:rPr>
      </w:pPr>
      <w:r>
        <w:rPr>
          <w:rFonts w:ascii="Times New Roman" w:hAnsi="Times New Roman"/>
          <w:sz w:val="20"/>
        </w:rPr>
        <w:t xml:space="preserve">EXHIBIT B FORM OF 2033 NOTE </w:t>
      </w:r>
    </w:p>
    <w:p>
      <w:pPr>
        <w:pStyle w:val="TextBody"/>
        <w:bidi w:val="0"/>
        <w:spacing w:before="0" w:after="0"/>
        <w:jc w:val="left"/>
        <w:rPr>
          <w:rFonts w:ascii="Times New Roman" w:hAnsi="Times New Roman"/>
          <w:sz w:val="20"/>
        </w:rPr>
      </w:pPr>
      <w:r>
        <w:rPr>
          <w:rFonts w:ascii="Times New Roman" w:hAnsi="Times New Roman"/>
          <w:sz w:val="20"/>
        </w:rPr>
        <w:t xml:space="preserve">EXHIBIT C FORM OF 2036 NOTE </w:t>
      </w:r>
    </w:p>
    <w:p>
      <w:pPr>
        <w:pStyle w:val="TextBody"/>
        <w:bidi w:val="0"/>
        <w:spacing w:before="0" w:after="0"/>
        <w:jc w:val="left"/>
        <w:rPr>
          <w:rFonts w:ascii="Times New Roman" w:hAnsi="Times New Roman"/>
          <w:sz w:val="20"/>
        </w:rPr>
      </w:pPr>
      <w:r>
        <w:rPr>
          <w:rFonts w:ascii="Times New Roman" w:hAnsi="Times New Roman"/>
          <w:sz w:val="20"/>
        </w:rPr>
        <w:t xml:space="preserve">EXHIBIT D FORM OF 2056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FOURTEENTH SUPPLEMENTAL INDENTURE (this “</w:t>
      </w:r>
      <w:r>
        <w:rPr>
          <w:rFonts w:ascii="Times New Roman" w:hAnsi="Times New Roman"/>
          <w:sz w:val="20"/>
          <w:u w:val="single"/>
        </w:rPr>
        <w:t>Supplemental Indenture</w:t>
      </w:r>
      <w:r>
        <w:rPr>
          <w:rFonts w:ascii="Times New Roman" w:hAnsi="Times New Roman"/>
          <w:sz w:val="20"/>
        </w:rPr>
        <w:t>”), dated as of September 10, 2026, between THE WILLIAMS COMPANIES, INC., a Delaware corporation (the “</w:t>
      </w:r>
      <w:r>
        <w:rPr>
          <w:rFonts w:ascii="Times New Roman" w:hAnsi="Times New Roman"/>
          <w:sz w:val="20"/>
          <w:u w:val="single"/>
        </w:rPr>
        <w:t>Company</w:t>
      </w:r>
      <w:r>
        <w:rPr>
          <w:rFonts w:ascii="Times New Roman" w:hAnsi="Times New Roman"/>
          <w:sz w:val="20"/>
        </w:rPr>
        <w:t>”), and THE BANK OF NEW YORK MELLON TRUST COMPANY, N.A., a national banking association, duly organized and validly existing under the laws of the United States of America,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heretofore executed and delivered to the Trustee an Indenture, dated as of December 18, 2012 (the “</w:t>
      </w:r>
      <w:r>
        <w:rPr>
          <w:rFonts w:ascii="Times New Roman" w:hAnsi="Times New Roman"/>
          <w:sz w:val="20"/>
          <w:u w:val="single"/>
        </w:rPr>
        <w:t>Base Indenture</w:t>
      </w:r>
      <w:r>
        <w:rPr>
          <w:rFonts w:ascii="Times New Roman" w:hAnsi="Times New Roman"/>
          <w:sz w:val="20"/>
        </w:rPr>
        <w:t>” and, as supplemented by this Supplemental Indenture, the “</w:t>
      </w:r>
      <w:r>
        <w:rPr>
          <w:rFonts w:ascii="Times New Roman" w:hAnsi="Times New Roman"/>
          <w:sz w:val="20"/>
          <w:u w:val="single"/>
        </w:rPr>
        <w:t>Indenture</w:t>
      </w:r>
      <w:r>
        <w:rPr>
          <w:rFonts w:ascii="Times New Roman" w:hAnsi="Times New Roman"/>
          <w:sz w:val="20"/>
        </w:rPr>
        <w:t xml:space="preserve">”), between the Company and the Trustee, providing for the issuance from time to time of one or more series of Securities. </w:t>
      </w:r>
    </w:p>
    <w:p>
      <w:pPr>
        <w:pStyle w:val="TextBody"/>
        <w:bidi w:val="0"/>
        <w:spacing w:before="240" w:after="0"/>
        <w:jc w:val="left"/>
        <w:rPr>
          <w:rFonts w:ascii="Times New Roman" w:hAnsi="Times New Roman"/>
          <w:sz w:val="20"/>
        </w:rPr>
      </w:pPr>
      <w:r>
        <w:rPr>
          <w:rFonts w:ascii="Times New Roman" w:hAnsi="Times New Roman"/>
          <w:sz w:val="20"/>
        </w:rPr>
        <w:t>The Company has duly authorized the execution and delivery of this Supplemental Indenture to provide for the issuance of its 5.000% Senior Notes due 2029, 5.600% Senior Notes due 2033, 5.800% Senior Notes due 2036 and 6.400% Senior Notes due 2056 (collectively, the “</w:t>
      </w:r>
      <w:r>
        <w:rPr>
          <w:rFonts w:ascii="Times New Roman" w:hAnsi="Times New Roman"/>
          <w:sz w:val="20"/>
          <w:u w:val="single"/>
        </w:rPr>
        <w:t>Notes</w:t>
      </w:r>
      <w:r>
        <w:rPr>
          <w:rFonts w:ascii="Times New Roman" w:hAnsi="Times New Roman"/>
          <w:sz w:val="20"/>
        </w:rPr>
        <w:t xml:space="preserve">”), and the Company and the Trustee agree as follows for the benefit of each other and for the equal and ratable benefit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and has requested the Trustee to join with it in the execution and delivery of this Supplemental Indenture in order to supplement the Base Indenture and to add covenants to, remove covenants from and replace Events of Default in, the Base Indenture with respect to the Notes as and to the extent set forth herein to provide for the issuance and the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Supplemental Indenture a valid and legally binding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SUPPLEMENTAL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the purchase of the Notes by the Holders thereof, it is mutually covenanted and agreed, for the equal and proportionate benefit of all Holders of the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 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in or pursuant to this Supplemental Indenture or unless the context otherwise requires, for all purposes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(1) the terms defined in this Article have the meanings assigned to them in this Article, and include the plural as well as the singular; </w:t>
      </w:r>
    </w:p>
    <w:p>
      <w:pPr>
        <w:pStyle w:val="TextBody"/>
        <w:bidi w:val="0"/>
        <w:spacing w:before="240" w:after="0"/>
        <w:jc w:val="left"/>
        <w:rPr>
          <w:rFonts w:ascii="Times New Roman" w:hAnsi="Times New Roman"/>
          <w:sz w:val="20"/>
        </w:rPr>
      </w:pPr>
      <w:r>
        <w:rPr>
          <w:rFonts w:ascii="Times New Roman" w:hAnsi="Times New Roman"/>
          <w:sz w:val="20"/>
        </w:rPr>
        <w:t xml:space="preserve">(2) all other terms used herein which are defined in the Trust Indenture Act, either directly or by reference therein,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 xml:space="preserve">(3) all accounting terms not otherwise defined herein have the meanings assigned to them in accordance with generally accepted accounting principles and, except as otherwise herein expressly provided, the terms “generally accepted accounting principles” or “GAAP” with respect to any computation required or permitted hereunder shall mean such accounting principles as are generally accepted at the date of such computation; </w:t>
      </w:r>
    </w:p>
    <w:p>
      <w:pPr>
        <w:pStyle w:val="TextBody"/>
        <w:bidi w:val="0"/>
        <w:spacing w:before="240" w:after="0"/>
        <w:jc w:val="left"/>
        <w:rPr>
          <w:rFonts w:ascii="Times New Roman" w:hAnsi="Times New Roman"/>
          <w:sz w:val="20"/>
        </w:rPr>
      </w:pPr>
      <w:r>
        <w:rPr>
          <w:rFonts w:ascii="Times New Roman" w:hAnsi="Times New Roman"/>
          <w:sz w:val="20"/>
        </w:rPr>
        <w:t xml:space="preserve">(4) the words “herein,” “hereof,” “hereto” and “hereunder” and other words of similar import refer to this Supplemental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(5) the word “or” is always used inclusively (for example, the phrase “A or B” means “A or B or both,” not “either A or B but not both”);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provisions apply to successive events and transactions; </w:t>
      </w:r>
    </w:p>
    <w:p>
      <w:pPr>
        <w:pStyle w:val="TextBody"/>
        <w:bidi w:val="0"/>
        <w:spacing w:before="240" w:after="0"/>
        <w:jc w:val="left"/>
        <w:rPr>
          <w:rFonts w:ascii="Times New Roman" w:hAnsi="Times New Roman"/>
          <w:sz w:val="20"/>
        </w:rPr>
      </w:pPr>
      <w:r>
        <w:rPr>
          <w:rFonts w:ascii="Times New Roman" w:hAnsi="Times New Roman"/>
          <w:sz w:val="20"/>
        </w:rPr>
        <w:t xml:space="preserve">(7) any reference to gender includes the masculine, feminine and the neuter,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(8) references to agreements and other instruments include subsequent amendments thereto and restatements thereof; </w:t>
      </w:r>
    </w:p>
    <w:p>
      <w:pPr>
        <w:pStyle w:val="TextBody"/>
        <w:bidi w:val="0"/>
        <w:spacing w:before="240" w:after="0"/>
        <w:jc w:val="left"/>
        <w:rPr>
          <w:rFonts w:ascii="Times New Roman" w:hAnsi="Times New Roman"/>
          <w:sz w:val="20"/>
        </w:rPr>
      </w:pPr>
      <w:r>
        <w:rPr>
          <w:rFonts w:ascii="Times New Roman" w:hAnsi="Times New Roman"/>
          <w:sz w:val="20"/>
        </w:rPr>
        <w:t xml:space="preserve">(9)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(10) all exhibits are incorporated by reference herein and expressly made a part of this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(11) all references to articles, sections and exhibits (and subparts thereof) are to articles, sections and exhibits (and subparts thereof)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principally in certain Articles hereof are defined in those Articles. Capitalized terms used but not defined in this Supplemental Indenture shall have the meaning ascribed to them in the Base Indenture. </w:t>
      </w:r>
    </w:p>
    <w:p>
      <w:pPr>
        <w:pStyle w:val="TextBody"/>
        <w:bidi w:val="0"/>
        <w:spacing w:before="240" w:after="0"/>
        <w:jc w:val="left"/>
        <w:rPr/>
      </w:pPr>
      <w:r>
        <w:rPr/>
        <w:t>“</w:t>
      </w:r>
      <w:r>
        <w:rPr>
          <w:rFonts w:ascii="Times New Roman" w:hAnsi="Times New Roman"/>
          <w:sz w:val="20"/>
          <w:u w:val="single"/>
        </w:rPr>
        <w:t>2029 Notes</w:t>
      </w:r>
      <w:r>
        <w:rPr>
          <w:rFonts w:ascii="Times New Roman" w:hAnsi="Times New Roman"/>
          <w:sz w:val="20"/>
        </w:rPr>
        <w:t xml:space="preserve">” means the Company’s 5.000% Senior Notes due 2029. </w:t>
      </w:r>
    </w:p>
    <w:p>
      <w:pPr>
        <w:pStyle w:val="TextBody"/>
        <w:bidi w:val="0"/>
        <w:spacing w:before="240" w:after="0"/>
        <w:jc w:val="left"/>
        <w:rPr/>
      </w:pPr>
      <w:r>
        <w:rPr/>
        <w:t>“</w:t>
      </w:r>
      <w:r>
        <w:rPr>
          <w:rFonts w:ascii="Times New Roman" w:hAnsi="Times New Roman"/>
          <w:sz w:val="20"/>
          <w:u w:val="single"/>
        </w:rPr>
        <w:t>2033 Notes</w:t>
      </w:r>
      <w:r>
        <w:rPr>
          <w:rFonts w:ascii="Times New Roman" w:hAnsi="Times New Roman"/>
          <w:sz w:val="20"/>
        </w:rPr>
        <w:t xml:space="preserve">” means the Company’s 5.600% Senior Notes due 2033. </w:t>
      </w:r>
    </w:p>
    <w:p>
      <w:pPr>
        <w:pStyle w:val="TextBody"/>
        <w:bidi w:val="0"/>
        <w:spacing w:before="240" w:after="0"/>
        <w:jc w:val="left"/>
        <w:rPr/>
      </w:pPr>
      <w:r>
        <w:rPr/>
        <w:t>“</w:t>
      </w:r>
      <w:r>
        <w:rPr>
          <w:rFonts w:ascii="Times New Roman" w:hAnsi="Times New Roman"/>
          <w:sz w:val="20"/>
          <w:u w:val="single"/>
        </w:rPr>
        <w:t>2036 Notes</w:t>
      </w:r>
      <w:r>
        <w:rPr>
          <w:rFonts w:ascii="Times New Roman" w:hAnsi="Times New Roman"/>
          <w:sz w:val="20"/>
        </w:rPr>
        <w:t xml:space="preserve">” means the Company’s 5.800% Senior Notes due 2036. </w:t>
      </w:r>
    </w:p>
    <w:p>
      <w:pPr>
        <w:pStyle w:val="TextBody"/>
        <w:bidi w:val="0"/>
        <w:spacing w:before="240" w:after="0"/>
        <w:jc w:val="left"/>
        <w:rPr/>
      </w:pPr>
      <w:r>
        <w:rPr/>
        <w:t>“</w:t>
      </w:r>
      <w:r>
        <w:rPr>
          <w:rFonts w:ascii="Times New Roman" w:hAnsi="Times New Roman"/>
          <w:sz w:val="20"/>
          <w:u w:val="single"/>
        </w:rPr>
        <w:t>2056 Notes</w:t>
      </w:r>
      <w:r>
        <w:rPr>
          <w:rFonts w:ascii="Times New Roman" w:hAnsi="Times New Roman"/>
          <w:sz w:val="20"/>
        </w:rPr>
        <w:t xml:space="preserve">” means the Company’s 6.400% Senior Notes due 2056. </w:t>
      </w:r>
    </w:p>
    <w:p>
      <w:pPr>
        <w:pStyle w:val="TextBody"/>
        <w:bidi w:val="0"/>
        <w:spacing w:before="240" w:after="0"/>
        <w:jc w:val="left"/>
        <w:rPr/>
      </w:pPr>
      <w:r>
        <w:rPr/>
        <w:t>“</w:t>
      </w:r>
      <w:r>
        <w:rPr>
          <w:rFonts w:ascii="Times New Roman" w:hAnsi="Times New Roman"/>
          <w:sz w:val="20"/>
          <w:u w:val="single"/>
        </w:rPr>
        <w:t>Additional Notes</w:t>
      </w:r>
      <w:r>
        <w:rPr>
          <w:rFonts w:ascii="Times New Roman" w:hAnsi="Times New Roman"/>
          <w:sz w:val="20"/>
        </w:rPr>
        <w:t xml:space="preserve">” means any additional Notes issued under the Indenture as part of the same series as one of the series of the Notes. </w:t>
      </w:r>
    </w:p>
    <w:p>
      <w:pPr>
        <w:pStyle w:val="TextBody"/>
        <w:bidi w:val="0"/>
        <w:spacing w:before="240" w:after="0"/>
        <w:jc w:val="left"/>
        <w:rPr/>
      </w:pPr>
      <w:r>
        <w:rPr/>
        <w:t>“</w:t>
      </w:r>
      <w:r>
        <w:rPr>
          <w:rFonts w:ascii="Times New Roman" w:hAnsi="Times New Roman"/>
          <w:sz w:val="20"/>
          <w:u w:val="single"/>
        </w:rPr>
        <w:t>Base Indenture</w:t>
      </w:r>
      <w:r>
        <w:rPr>
          <w:rFonts w:ascii="Times New Roman" w:hAnsi="Times New Roman"/>
          <w:sz w:val="20"/>
        </w:rPr>
        <w:t xml:space="preserve">” has the meaning assigned to it in the recitals hereto. </w:t>
      </w:r>
    </w:p>
    <w:p>
      <w:pPr>
        <w:pStyle w:val="TextBody"/>
        <w:bidi w:val="0"/>
        <w:spacing w:before="240" w:after="0"/>
        <w:jc w:val="left"/>
        <w:rPr/>
      </w:pPr>
      <w:r>
        <w:rPr/>
        <w:t>“</w:t>
      </w:r>
      <w:r>
        <w:rPr>
          <w:rFonts w:ascii="Times New Roman" w:hAnsi="Times New Roman"/>
          <w:sz w:val="20"/>
          <w:u w:val="single"/>
        </w:rPr>
        <w:t>Business Entity</w:t>
      </w:r>
      <w:r>
        <w:rPr>
          <w:rFonts w:ascii="Times New Roman" w:hAnsi="Times New Roman"/>
          <w:sz w:val="20"/>
        </w:rPr>
        <w:t xml:space="preserve">” has the meaning assigned to it in the definition of “Non-Recourse Subsidiary”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Consolidated Net Tangible Assets</w:t>
      </w:r>
      <w:r>
        <w:rPr>
          <w:rFonts w:ascii="Times New Roman" w:hAnsi="Times New Roman"/>
          <w:sz w:val="20"/>
        </w:rPr>
        <w:t xml:space="preserve">” means at any date of determination, the total amount of assets of the Company and its Subsidiaries after deducting therefrom: </w:t>
      </w:r>
    </w:p>
    <w:p>
      <w:pPr>
        <w:pStyle w:val="TextBody"/>
        <w:bidi w:val="0"/>
        <w:spacing w:before="120" w:after="0"/>
        <w:jc w:val="left"/>
        <w:rPr>
          <w:rFonts w:ascii="Times New Roman" w:hAnsi="Times New Roman"/>
          <w:sz w:val="20"/>
        </w:rPr>
      </w:pPr>
      <w:r>
        <w:rPr>
          <w:rFonts w:ascii="Times New Roman" w:hAnsi="Times New Roman"/>
          <w:sz w:val="20"/>
        </w:rPr>
        <w:t xml:space="preserve">(1) all current liabilities (excluding (A) any current liabilities that by their terms are extendable or renewable at the option of the obligor thereon to a time more than 12 months after the time as of which the amount thereof is being computed, and (B) current maturities of long-term debt); and </w:t>
      </w:r>
    </w:p>
    <w:p>
      <w:pPr>
        <w:pStyle w:val="TextBody"/>
        <w:bidi w:val="0"/>
        <w:spacing w:before="240" w:after="0"/>
        <w:jc w:val="left"/>
        <w:rPr>
          <w:rFonts w:ascii="Times New Roman" w:hAnsi="Times New Roman"/>
          <w:sz w:val="20"/>
        </w:rPr>
      </w:pPr>
      <w:r>
        <w:rPr>
          <w:rFonts w:ascii="Times New Roman" w:hAnsi="Times New Roman"/>
          <w:sz w:val="20"/>
        </w:rPr>
        <w:t xml:space="preserve">(2) the value (net of any applicable reserves) of all goodwill, trade names, trademarks, patents and other like intangible assets, all as set forth, or on a pro forma basis would be set forth, on the consolidated balance sheet of the Company for the Company’s most recently completed fiscal quarter, prepared in accordance with GAAP.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of the Company that is incorporated or organized under the laws of the United States of America, any state thereof or the District of Columbia. </w:t>
      </w:r>
    </w:p>
    <w:p>
      <w:pPr>
        <w:pStyle w:val="TextBody"/>
        <w:bidi w:val="0"/>
        <w:spacing w:before="240" w:after="0"/>
        <w:jc w:val="left"/>
        <w:rPr/>
      </w:pPr>
      <w:r>
        <w:rPr/>
        <w:t>“</w:t>
      </w:r>
      <w:r>
        <w:rPr>
          <w:rFonts w:ascii="Times New Roman" w:hAnsi="Times New Roman"/>
          <w:sz w:val="20"/>
          <w:u w:val="single"/>
        </w:rPr>
        <w:t>Global Note</w:t>
      </w:r>
      <w:r>
        <w:rPr>
          <w:rFonts w:ascii="Times New Roman" w:hAnsi="Times New Roman"/>
          <w:sz w:val="20"/>
        </w:rPr>
        <w:t xml:space="preserve">” means a certificated Note deposited with or on behalf of and registered in the name of the Depositary or its nominee, substantially in the form of Exhibit A, Exhibit B, Exhibit C or Exhibit D hereto, as applicable, and that bears the Global Security Legend and that has the “Schedule of Adjustments” attached thereto. As of the date of this Supplemental Indenture all of the Notes are represented by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Global Security Legend</w:t>
      </w:r>
      <w:r>
        <w:rPr>
          <w:rFonts w:ascii="Times New Roman" w:hAnsi="Times New Roman"/>
          <w:sz w:val="20"/>
        </w:rPr>
        <w:t xml:space="preserve">” means the legend set forth in Section 203 of the Base Indenture and any other legend required by the Depositary.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specified Person, any obligation created or assumed by such Person, whether or not contingent, for the repayment of money borrowed from others or any guarantee thereof.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Base Indenture, as supplemented by this Supplemental Indenture, and as may be amended or further supplemented from time to time, pursuant to the applicable provisions of the Base Indenture and this Supplemental Indenture. </w:t>
      </w:r>
    </w:p>
    <w:p>
      <w:pPr>
        <w:pStyle w:val="TextBody"/>
        <w:bidi w:val="0"/>
        <w:spacing w:before="240" w:after="0"/>
        <w:jc w:val="left"/>
        <w:rPr/>
      </w:pPr>
      <w:r>
        <w:rPr/>
        <w:t>“</w:t>
      </w:r>
      <w:r>
        <w:rPr>
          <w:rFonts w:ascii="Times New Roman" w:hAnsi="Times New Roman"/>
          <w:sz w:val="20"/>
          <w:u w:val="single"/>
        </w:rPr>
        <w:t>Initial Notes</w:t>
      </w:r>
      <w:r>
        <w:rPr>
          <w:rFonts w:ascii="Times New Roman" w:hAnsi="Times New Roman"/>
          <w:sz w:val="20"/>
        </w:rPr>
        <w:t xml:space="preserve">” means the first $500,000,000 aggregate principal amount of the 2029 Notes, $1,000,000,000 aggregate principal amount of the 2033 Notes, $750,000,000 aggregate principal amount of the 2036 Notes or $500,000,000 aggregate principal amount of the 2056 Notes, as applicable, issued under the Indenture on the date hereof. </w:t>
      </w:r>
    </w:p>
    <w:p>
      <w:pPr>
        <w:pStyle w:val="TextBody"/>
        <w:bidi w:val="0"/>
        <w:spacing w:before="240" w:after="0"/>
        <w:jc w:val="left"/>
        <w:rPr/>
      </w:pPr>
      <w:r>
        <w:rPr/>
        <w:t>“</w:t>
      </w:r>
      <w:r>
        <w:rPr>
          <w:rFonts w:ascii="Times New Roman" w:hAnsi="Times New Roman"/>
          <w:sz w:val="20"/>
          <w:u w:val="single"/>
        </w:rPr>
        <w:t>International Subsidiary</w:t>
      </w:r>
      <w:r>
        <w:rPr>
          <w:rFonts w:ascii="Times New Roman" w:hAnsi="Times New Roman"/>
          <w:sz w:val="20"/>
        </w:rPr>
        <w:t xml:space="preserve">” means each Subsidiary of the Company other than a Domestic Subsidiary.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lien, security interest or other similar encumbrance. </w:t>
      </w:r>
    </w:p>
    <w:p>
      <w:pPr>
        <w:pStyle w:val="TextBody"/>
        <w:bidi w:val="0"/>
        <w:spacing w:before="240" w:after="0"/>
        <w:jc w:val="left"/>
        <w:rPr/>
      </w:pPr>
      <w:r>
        <w:rPr/>
        <w:t>“</w:t>
      </w:r>
      <w:r>
        <w:rPr>
          <w:rFonts w:ascii="Times New Roman" w:hAnsi="Times New Roman"/>
          <w:sz w:val="20"/>
          <w:u w:val="single"/>
        </w:rPr>
        <w:t>Non-Recourse Indebtedness</w:t>
      </w:r>
      <w:r>
        <w:rPr>
          <w:rFonts w:ascii="Times New Roman" w:hAnsi="Times New Roman"/>
          <w:sz w:val="20"/>
        </w:rPr>
        <w:t xml:space="preserve">” means any Indebtedness incurred by any Joint Venture or Non-Recourse Subsidiary which does not provide for recourse against the Company or any of its Subsidiaries (other than a Non-Recourse Subsidiary) or any property or assets of the Company or any of its Subsidiaries (other than the Capital Stock or the properties or assets of a Joint Venture or Non-Recourse Subsidiary). </w:t>
      </w:r>
    </w:p>
    <w:p>
      <w:pPr>
        <w:pStyle w:val="TextBody"/>
        <w:bidi w:val="0"/>
        <w:spacing w:before="240" w:after="0"/>
        <w:jc w:val="left"/>
        <w:rPr/>
      </w:pPr>
      <w:r>
        <w:rPr/>
        <w:t>“</w:t>
      </w:r>
      <w:r>
        <w:rPr>
          <w:rFonts w:ascii="Times New Roman" w:hAnsi="Times New Roman"/>
          <w:sz w:val="20"/>
          <w:u w:val="single"/>
        </w:rPr>
        <w:t>Non-Recourse Subsidiary</w:t>
      </w:r>
      <w:r>
        <w:rPr>
          <w:rFonts w:ascii="Times New Roman" w:hAnsi="Times New Roman"/>
          <w:sz w:val="20"/>
        </w:rPr>
        <w:t>” means any Subsidiary of the Company (1) whose principal purpose is to incur Non-Recourse Indebtedness and/or construct, lease, own or operate the assets financed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w:t>
      </w:r>
      <w:r>
        <w:rPr>
          <w:rFonts w:ascii="Times New Roman" w:hAnsi="Times New Roman"/>
          <w:sz w:val="20"/>
          <w:u w:val="single"/>
        </w:rPr>
        <w:t>Business Entity</w:t>
      </w:r>
      <w:r>
        <w:rPr>
          <w:rFonts w:ascii="Times New Roman" w:hAnsi="Times New Roman"/>
          <w:sz w:val="20"/>
        </w:rPr>
        <w:t xml:space="preserve">”), (2) who is not an obligor or otherwise bound with respect to any Indebtedness other than Non-Recourse Indebtedness, (3) substantially all the assets of which Subsidiary or Business Entity are limited to (x) those assets being financed (or to be financed), or the operation of which is being financed (or to be financed), in whole or in part by Non-Recourse Indebtedness, or (y) Capital Stock in, or Indebtedness or other obligations of, one or more other Non-Recourse Subsidiaries or Business Entities, and (4) any Subsidiary of a Non-Recourse Subsidiary; provided that such Subsidiary shall be considered to be a Non-Recourse Subsidiary only to the extent that and for so long as each of the above requirements are met.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has the meaning assigned to it in the preamble to this Supplemental Indenture. For purposes of the Indenture, all references to the notes to be issued or authenticated upon transfer or replacement of or in exchange for Notes shall be deemed to refer to Notes. In addition, unless the context otherwise requires, all references to the “Notes” shall include the Initial Notes of the applicable series and any Additional Notes with respect to such series. </w:t>
      </w:r>
    </w:p>
    <w:p>
      <w:pPr>
        <w:pStyle w:val="TextBody"/>
        <w:bidi w:val="0"/>
        <w:spacing w:before="240" w:after="0"/>
        <w:jc w:val="left"/>
        <w:rPr/>
      </w:pPr>
      <w:r>
        <w:rPr/>
        <w:t>“</w:t>
      </w:r>
      <w:r>
        <w:rPr>
          <w:rFonts w:ascii="Times New Roman" w:hAnsi="Times New Roman"/>
          <w:sz w:val="20"/>
          <w:u w:val="single"/>
        </w:rPr>
        <w:t>Par Call Date</w:t>
      </w:r>
      <w:r>
        <w:rPr>
          <w:rFonts w:ascii="Times New Roman" w:hAnsi="Times New Roman"/>
          <w:sz w:val="20"/>
        </w:rPr>
        <w:t xml:space="preserve">” means September 15, 2029, for the 2029 Notes, July 15, 2033, for the 2033 Notes, June 15, 2036, for the 2036 Notes and March 15, 2056, for the 2056 Notes. </w:t>
      </w:r>
    </w:p>
    <w:p>
      <w:pPr>
        <w:pStyle w:val="TextBody"/>
        <w:bidi w:val="0"/>
        <w:spacing w:before="240" w:after="0"/>
        <w:jc w:val="left"/>
        <w:rPr/>
      </w:pPr>
      <w:r>
        <w:rPr/>
        <w:t>“</w:t>
      </w:r>
      <w:r>
        <w:rPr>
          <w:rFonts w:ascii="Times New Roman" w:hAnsi="Times New Roman"/>
          <w:sz w:val="20"/>
          <w:u w:val="single"/>
        </w:rPr>
        <w:t>Permitted International Debt</w:t>
      </w:r>
      <w:r>
        <w:rPr>
          <w:rFonts w:ascii="Times New Roman" w:hAnsi="Times New Roman"/>
          <w:sz w:val="20"/>
        </w:rPr>
        <w:t xml:space="preserve">” means Indebtedness of any International Subsidiary for which neither the Company nor any Domestic Subsidiary, directly or indirectly, provides any guarantee or other credit support and which is secured, if at all, only by pledges of or Liens on assets (i) held by an International Subsidiary on the date of this Supplemental Indenture, (ii) acquired by an International Subsidiary from a Person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constituting an Affiliate of the Company or (iii) acquired by an International Subsidiary from the Company, any Domestic Subsidiary or other Affiliate of the Company on terms that, in the good faith judgment of the Company’s Board of Directors, are no less favorable to the Company or the relevant Domestic Subsidiary or other Affiliate of the Company than those that would have been obtained in a comparable transaction by the Company or such Domestic Subsidiary or other Affiliate of the Company with an unrelated Person or, if in the good faith judgment of the Company’s Board of Directors, no comparable transaction is available with which to compare such transaction, such transaction is otherwise fair to the Company or the relevant Domestic Subsidiary or other Affiliate of the Company from a financial point of view.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Lien existing on any property at the time of the acquisition thereof and not created in contemplation of such acquisition by the Company or any of its Subsidiaries, whether or not assumed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(2) any Lien existing on any property of a Subsidiary of the Company at the time it becomes a Subsidiary of the Company and not created in contemplation thereof and any Lien existing on any property of any Person at the time such Person is merged or liquidated into or consolidated with the Company or any Subsidiary thereof and not created in contemplation thereof; </w:t>
      </w:r>
    </w:p>
    <w:p>
      <w:pPr>
        <w:pStyle w:val="TextBody"/>
        <w:bidi w:val="0"/>
        <w:spacing w:before="240" w:after="0"/>
        <w:jc w:val="left"/>
        <w:rPr>
          <w:rFonts w:ascii="Times New Roman" w:hAnsi="Times New Roman"/>
          <w:sz w:val="20"/>
        </w:rPr>
      </w:pPr>
      <w:r>
        <w:rPr>
          <w:rFonts w:ascii="Times New Roman" w:hAnsi="Times New Roman"/>
          <w:sz w:val="20"/>
        </w:rPr>
        <w:t xml:space="preserve">(3) purchase money and analogous Liens incurred in connection with the acquisition, development, construction, improvement, repair, or replacement of property (including such Liens securing Indebtedness incurred within 12 months of the date on which such property was acquired, developed, constructed, improved, repaired or replaced); provided that all such Liens attach only to the property acquired, developed, constructed, improved, repaired or replaced and the principal amount of the Indebtedness secured by such Lien shall not exceed the gross cost of the property; </w:t>
      </w:r>
    </w:p>
    <w:p>
      <w:pPr>
        <w:pStyle w:val="TextBody"/>
        <w:bidi w:val="0"/>
        <w:spacing w:before="240" w:after="0"/>
        <w:jc w:val="left"/>
        <w:rPr>
          <w:rFonts w:ascii="Times New Roman" w:hAnsi="Times New Roman"/>
          <w:sz w:val="20"/>
        </w:rPr>
      </w:pPr>
      <w:r>
        <w:rPr>
          <w:rFonts w:ascii="Times New Roman" w:hAnsi="Times New Roman"/>
          <w:sz w:val="20"/>
        </w:rPr>
        <w:t xml:space="preserve">(4) any Liens created or assumed to secure Indebtedness of the Company or any Subsidiary of the Company maturing within 12 months of the date of creation thereof and not renewable or extendible by the terms thereof at the option of the obligor beyond such 12 months; </w:t>
      </w:r>
    </w:p>
    <w:p>
      <w:pPr>
        <w:pStyle w:val="TextBody"/>
        <w:bidi w:val="0"/>
        <w:spacing w:before="240" w:after="0"/>
        <w:jc w:val="left"/>
        <w:rPr>
          <w:rFonts w:ascii="Times New Roman" w:hAnsi="Times New Roman"/>
          <w:sz w:val="20"/>
        </w:rPr>
      </w:pPr>
      <w:r>
        <w:rPr>
          <w:rFonts w:ascii="Times New Roman" w:hAnsi="Times New Roman"/>
          <w:sz w:val="20"/>
        </w:rPr>
        <w:t xml:space="preserve">(5) Liens on accounts receivable and related proceeds thereof arising in connection with a receivables financing and any Lien held by the purchaser of receivables derived from property or assets sold by the Company or any Subsidiary thereof and securing such receivables resulting from the exercise of any rights arising out of defaults on such receivables; </w:t>
      </w:r>
    </w:p>
    <w:p>
      <w:pPr>
        <w:pStyle w:val="TextBody"/>
        <w:bidi w:val="0"/>
        <w:spacing w:before="240" w:after="0"/>
        <w:jc w:val="left"/>
        <w:rPr>
          <w:rFonts w:ascii="Times New Roman" w:hAnsi="Times New Roman"/>
          <w:sz w:val="20"/>
        </w:rPr>
      </w:pPr>
      <w:r>
        <w:rPr>
          <w:rFonts w:ascii="Times New Roman" w:hAnsi="Times New Roman"/>
          <w:sz w:val="20"/>
        </w:rPr>
        <w:t xml:space="preserve">(6) leases constituting Liens existing on or after the date hereof and any renewals or extensions thereof; </w:t>
      </w:r>
    </w:p>
    <w:p>
      <w:pPr>
        <w:pStyle w:val="TextBody"/>
        <w:bidi w:val="0"/>
        <w:spacing w:before="240" w:after="0"/>
        <w:jc w:val="left"/>
        <w:rPr>
          <w:rFonts w:ascii="Times New Roman" w:hAnsi="Times New Roman"/>
          <w:sz w:val="20"/>
        </w:rPr>
      </w:pPr>
      <w:r>
        <w:rPr>
          <w:rFonts w:ascii="Times New Roman" w:hAnsi="Times New Roman"/>
          <w:sz w:val="20"/>
        </w:rPr>
        <w:t xml:space="preserve">(7) any Lien securing industrial development, pollution control or similar revenue bonds; </w:t>
      </w:r>
    </w:p>
    <w:p>
      <w:pPr>
        <w:pStyle w:val="TextBody"/>
        <w:bidi w:val="0"/>
        <w:spacing w:before="240" w:after="0"/>
        <w:jc w:val="left"/>
        <w:rPr>
          <w:rFonts w:ascii="Times New Roman" w:hAnsi="Times New Roman"/>
          <w:sz w:val="20"/>
        </w:rPr>
      </w:pPr>
      <w:r>
        <w:rPr>
          <w:rFonts w:ascii="Times New Roman" w:hAnsi="Times New Roman"/>
          <w:sz w:val="20"/>
        </w:rPr>
        <w:t xml:space="preserve">(8) Liens existing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(9) Liens in favor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(10) Liens securing Indebtedness incurred to refund, extend, refinance or otherwise replace Indebtedness (“</w:t>
      </w:r>
      <w:r>
        <w:rPr>
          <w:rFonts w:ascii="Times New Roman" w:hAnsi="Times New Roman"/>
          <w:sz w:val="20"/>
          <w:u w:val="single"/>
        </w:rPr>
        <w:t>Refinanced Indebtedness</w:t>
      </w:r>
      <w:r>
        <w:rPr>
          <w:rFonts w:ascii="Times New Roman" w:hAnsi="Times New Roman"/>
          <w:sz w:val="20"/>
        </w:rPr>
        <w:t xml:space="preserve">”) secured by a Lien permitted to be incurred under the Indenture; provided that the principal amount of such Refinanced Indebtedness does not exceed the principal amount of Indebtedness refinanced (plus the amount of penalties, premiums, fees, accrued interest and reasonable expenses incurred therewith) at the time of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Liens on any assets or properties, or pledges of the Capital Stock, of (a) any Joint Venture owned by the Company or any of its Subsidiaries or (b) any Non-Recourse Subsidiary, in each case only to the extent securing Non-Recourse Indebtedness of such Joint Venture or Non-Recourse Subsidiary; </w:t>
      </w:r>
    </w:p>
    <w:p>
      <w:pPr>
        <w:pStyle w:val="TextBody"/>
        <w:bidi w:val="0"/>
        <w:spacing w:before="240" w:after="0"/>
        <w:jc w:val="left"/>
        <w:rPr>
          <w:rFonts w:ascii="Times New Roman" w:hAnsi="Times New Roman"/>
          <w:sz w:val="20"/>
        </w:rPr>
      </w:pPr>
      <w:r>
        <w:rPr>
          <w:rFonts w:ascii="Times New Roman" w:hAnsi="Times New Roman"/>
          <w:sz w:val="20"/>
        </w:rPr>
        <w:t xml:space="preserve">(12) Liens on the products and proceeds (including insurance, condemnation and eminent domain proceeds) of and accessions to, and contract or other rights (including rights under insurance policies and product warranties) derivative of or relating to, property permitted by the Indenture to be subject to Liens but subject to the same restrictions and limitations set forth in the Indenture as to Liens on such property (including the requirement that such Liens on products, proceeds, accessions, and rights secure only obligations that such property is permitted to secure); </w:t>
      </w:r>
    </w:p>
    <w:p>
      <w:pPr>
        <w:pStyle w:val="TextBody"/>
        <w:bidi w:val="0"/>
        <w:spacing w:before="240" w:after="0"/>
        <w:jc w:val="left"/>
        <w:rPr>
          <w:rFonts w:ascii="Times New Roman" w:hAnsi="Times New Roman"/>
          <w:sz w:val="20"/>
        </w:rPr>
      </w:pPr>
      <w:r>
        <w:rPr>
          <w:rFonts w:ascii="Times New Roman" w:hAnsi="Times New Roman"/>
          <w:sz w:val="20"/>
        </w:rPr>
        <w:t xml:space="preserve">(13) any Liens securing Indebtedness neither assumed nor guaranteed by the Company or a Subsidiary of the Company nor on which the Company or a Subsidiary of the Company customarily pays interest, existing upon real estate or rights in or relating to real estate (including rights-of-way and easements) acquired by the Company or such Subsidiary, which mortgage Liens do not materially impair the use of such property for the purposes for which it is held by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(14) any Lien existing or hereafter created on any office equipment, data processing equipment (including computer and computer peripheral equipment), or transportation equipment (including motor vehicles, aircraft, and marine vessels); </w:t>
      </w:r>
    </w:p>
    <w:p>
      <w:pPr>
        <w:pStyle w:val="TextBody"/>
        <w:bidi w:val="0"/>
        <w:spacing w:before="240" w:after="0"/>
        <w:jc w:val="left"/>
        <w:rPr>
          <w:rFonts w:ascii="Times New Roman" w:hAnsi="Times New Roman"/>
          <w:sz w:val="20"/>
        </w:rPr>
      </w:pPr>
      <w:r>
        <w:rPr>
          <w:rFonts w:ascii="Times New Roman" w:hAnsi="Times New Roman"/>
          <w:sz w:val="20"/>
        </w:rPr>
        <w:t xml:space="preserve">(15) undetermined Liens and charges incidental to construction or maintenance; </w:t>
      </w:r>
    </w:p>
    <w:p>
      <w:pPr>
        <w:pStyle w:val="TextBody"/>
        <w:bidi w:val="0"/>
        <w:spacing w:before="240" w:after="0"/>
        <w:jc w:val="left"/>
        <w:rPr>
          <w:rFonts w:ascii="Times New Roman" w:hAnsi="Times New Roman"/>
          <w:sz w:val="20"/>
        </w:rPr>
      </w:pPr>
      <w:r>
        <w:rPr>
          <w:rFonts w:ascii="Times New Roman" w:hAnsi="Times New Roman"/>
          <w:sz w:val="20"/>
        </w:rPr>
        <w:t xml:space="preserve">(16) any Lien created or assumed by the Company or a Subsidiary of the Company on oil, gas, coal, or other mineral or timber property owned by the Company or a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(17) any Lien created by the Company or a Subsidiary of the Company on any contract (or any rights thereunder or proceeds therefrom) providing for advances by the Company or such Subsidiary to finance gas exploration and development, which Lien is created to secure Indebtedness incurred to finance such advances; </w:t>
      </w:r>
    </w:p>
    <w:p>
      <w:pPr>
        <w:pStyle w:val="TextBody"/>
        <w:bidi w:val="0"/>
        <w:spacing w:before="240" w:after="0"/>
        <w:jc w:val="left"/>
        <w:rPr>
          <w:rFonts w:ascii="Times New Roman" w:hAnsi="Times New Roman"/>
          <w:sz w:val="20"/>
        </w:rPr>
      </w:pPr>
      <w:r>
        <w:rPr>
          <w:rFonts w:ascii="Times New Roman" w:hAnsi="Times New Roman"/>
          <w:sz w:val="20"/>
        </w:rPr>
        <w:t xml:space="preserve">(18) any Lien granted in connection with a cash collateralization or similar arrangement to secure obligations of the Company or of any of the Company’s Subsidiaries to issuing banks in connection with letters of credits issued at the request of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(19) Liens on cash deposits in the nature of a right of setoff, banker’s lien, counterclaim or netting of cash amounts owed arising in the ordinary course of business on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(20) Liens securing Permitted International Debt; </w:t>
      </w:r>
    </w:p>
    <w:p>
      <w:pPr>
        <w:pStyle w:val="TextBody"/>
        <w:bidi w:val="0"/>
        <w:spacing w:before="240" w:after="0"/>
        <w:jc w:val="left"/>
        <w:rPr>
          <w:rFonts w:ascii="Times New Roman" w:hAnsi="Times New Roman"/>
          <w:sz w:val="20"/>
        </w:rPr>
      </w:pPr>
      <w:r>
        <w:rPr>
          <w:rFonts w:ascii="Times New Roman" w:hAnsi="Times New Roman"/>
          <w:sz w:val="20"/>
        </w:rPr>
        <w:t xml:space="preserve">(21) Liens not otherwise permitted so long as the aggregate outstanding principal amount of the Indebtedness secured thereby does not exceed $10,000,000 at any time; and </w:t>
      </w:r>
    </w:p>
    <w:p>
      <w:pPr>
        <w:pStyle w:val="TextBody"/>
        <w:bidi w:val="0"/>
        <w:spacing w:before="240" w:after="0"/>
        <w:jc w:val="left"/>
        <w:rPr>
          <w:rFonts w:ascii="Times New Roman" w:hAnsi="Times New Roman"/>
          <w:sz w:val="20"/>
        </w:rPr>
      </w:pPr>
      <w:r>
        <w:rPr>
          <w:rFonts w:ascii="Times New Roman" w:hAnsi="Times New Roman"/>
          <w:sz w:val="20"/>
        </w:rPr>
        <w:t xml:space="preserve">(22) Liens occurring in, arising from, or associated with Specified Escrow Arrangements.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means the final prospectus supplement dated September 8, 2026 relating to the offering of the Initial Notes. </w:t>
      </w:r>
    </w:p>
    <w:p>
      <w:pPr>
        <w:pStyle w:val="TextBody"/>
        <w:bidi w:val="0"/>
        <w:spacing w:before="240" w:after="0"/>
        <w:jc w:val="left"/>
        <w:rPr/>
      </w:pPr>
      <w:r>
        <w:rPr/>
        <w:t>“</w:t>
      </w:r>
      <w:r>
        <w:rPr>
          <w:rFonts w:ascii="Times New Roman" w:hAnsi="Times New Roman"/>
          <w:sz w:val="20"/>
          <w:u w:val="single"/>
        </w:rPr>
        <w:t>Refinanced Indebtedness</w:t>
      </w:r>
      <w:r>
        <w:rPr>
          <w:rFonts w:ascii="Times New Roman" w:hAnsi="Times New Roman"/>
          <w:sz w:val="20"/>
        </w:rPr>
        <w:t xml:space="preserve">” has the meaning assigned to it in the definition of “Permitted Liens”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Escrow Arrangements</w:t>
      </w:r>
      <w:r>
        <w:rPr>
          <w:rFonts w:ascii="Times New Roman" w:hAnsi="Times New Roman"/>
          <w:sz w:val="20"/>
        </w:rPr>
        <w:t xml:space="preserve">” means cash deposits at one or more financial institutions for the purpose of funding any potential shortfall in the daily net cash position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Stated Maturity</w:t>
      </w:r>
      <w:r>
        <w:rPr>
          <w:rFonts w:ascii="Times New Roman" w:hAnsi="Times New Roman"/>
          <w:sz w:val="20"/>
        </w:rPr>
        <w:t xml:space="preserve">” means October 15, 2029 for the 2029 Notes, September 15, 2033 for the 2033 Notes, September 15, 2036 for the 2036 Notes and September 15, 2056 for the 2056 Notes. </w:t>
      </w:r>
    </w:p>
    <w:p>
      <w:pPr>
        <w:pStyle w:val="TextBody"/>
        <w:bidi w:val="0"/>
        <w:spacing w:before="240" w:after="0"/>
        <w:jc w:val="left"/>
        <w:rPr/>
      </w:pPr>
      <w:r>
        <w:rPr/>
        <w:t>“</w:t>
      </w:r>
      <w:r>
        <w:rPr>
          <w:rFonts w:ascii="Times New Roman" w:hAnsi="Times New Roman"/>
          <w:sz w:val="20"/>
          <w:u w:val="single"/>
        </w:rPr>
        <w:t>Supplemental Indenture</w:t>
      </w:r>
      <w:r>
        <w:rPr>
          <w:rFonts w:ascii="Times New Roman" w:hAnsi="Times New Roman"/>
          <w:sz w:val="20"/>
        </w:rPr>
        <w:t xml:space="preserve">” has the meaning assigned to it in the preamble hereto.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Company shall select, as applicable: (1) the yield for the Treasury constant maturity on H.15 exactly equal to the period from the Redemption Date to the applicable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Relationship with Base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Base Indenture shall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the provisions of this Supplemental Indenture shall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accepts the amendment of the Base Indenture effected by this Supplemental Indenture and agrees to execute the trust created by the Base Indenture as hereby amended, but only upon the terms and conditions set forth in the Base Indenture, including the terms and provisions defining and limiting the liabilities and responsibilities of the Trustee in the performance of the trust created by the Base Indenture, and without limiting the generality of the foregoing, the Trustee shall not be responsible in any manner whatsoever for or with respect to any of the recitals or statements contained herein, all of which recitals or statements are made solely by the Company, or for or with respect to (1) the validity or sufficiency of this Supplemental Indenture or any of the terms or provisions hereof, (2) the proper authorization hereof by the Company, (3) the due execution hereof by the Company or (4) the consequences (direct or indirect and whether deliberate or inadvertent) of any amendment herein provided for, and the Trustee makes no representation with respect to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Effect of Headings and Table of Contents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Article and Section headings in this Supplemental Indenture and the Table of Contents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covenants and agreements in this Supplemental Indenture by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Separability Clause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Supplemental Indenture or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Governing Law;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and the Notes shall be governed by and construed in accordance with the laws of the State of New York applicable to agreements made or instruments entered into and, in each case, performed in said state. Each of the Company, the Trustee and Holders by purchase of their Notes hereby irrevocably waives, to the fullest extent permitted by applicable law, any and all right to trial by jury in any legal proceeding arising out of or relating to this Supplemental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may be executed in several counterparts, each of which shall be an original and all of which shall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Submission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this Indenture and the Notes, and irrevocably accepts for itself and in respect of its property, generally and unconditionally, jurisdiction of the aforesaid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Foreign Account Tax Compliance Act (FATCA)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order to comply with applicable tax laws, rules and regulations (inclusive of directives, guidelines and interpretations promulgated by competent authorities) in effect from time to time (“</w:t>
      </w:r>
      <w:r>
        <w:rPr>
          <w:rFonts w:ascii="Times New Roman" w:hAnsi="Times New Roman"/>
          <w:sz w:val="20"/>
          <w:u w:val="single"/>
        </w:rPr>
        <w:t>Applicable Law</w:t>
      </w:r>
      <w:r>
        <w:rPr>
          <w:rFonts w:ascii="Times New Roman" w:hAnsi="Times New Roman"/>
          <w:sz w:val="20"/>
        </w:rPr>
        <w:t xml:space="preserve">”), the Company agrees (i) to provide to The Bank of New York Mellon Trust Company, N.A. sufficient information about holders or other applicable parties and/or transactions (including any modification to the terms of such transactions) so The Bank of New York Mellon Trust Company, N.A. can determine whether it has tax related obligations under Applicable Law, (ii) that The Bank of New York Mellon Trust Company, N.A. shall be entitled to make any withholding or deduction from payments under the Indenture to the extent necessary to comply with Applicable Law for which The Bank of New York Mellon Trust Company, N.A. shall not have any liability, and (iii) to hold harmless The Bank of New York Mellon Trust Company, N.A. for any losses it may suffer due to the actions it takes to comply with such Applicable Law. The terms of this section shall survive the termination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Certain Rights of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not be deemed to have notice of any default or Event of Default unless written notice of any event which is in fact such a default is received by a Responsible Officer, and such notice references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not be liable for any error of judgement made in good faith by a Responsible Officer,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or the Notes, in the event the Company elects to make any payment to the Trustee pursuant to this Indenture by means of automated clearinghouse transfer, such payment must be initiated by the Company a sufficient amount of time in advance such that funds are received by the Trustee that are immediately available by 11:00 a.m. New York time on the applicable payment date, or if such payment date is not a Business Day, the Business Day immediately prior to the applicable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Electronic Means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Indenture Section 105 is hereby amended and restated by (i) deleting the final paragraph, and (ii) substituting the following: </w:t>
      </w:r>
    </w:p>
    <w:p>
      <w:pPr>
        <w:pStyle w:val="TextBody"/>
        <w:bidi w:val="0"/>
        <w:spacing w:before="120" w:after="0"/>
        <w:jc w:val="left"/>
        <w:rPr/>
      </w:pPr>
      <w:r>
        <w:rPr/>
        <w:t>“</w:t>
      </w:r>
      <w:r>
        <w:rPr>
          <w:rFonts w:ascii="Times New Roman" w:hAnsi="Times New Roman"/>
          <w:sz w:val="20"/>
        </w:rPr>
        <w:t xml:space="preserve">The Trustee and Paying Agent shall have the right to accept and act upon instructions, including funds transfer instructions (“Instructions”) given pursuant to this Indenture and related financing documents and delivered using Electronic Means (as defined herein); provided, however, that the Company, as applicable, shall provide to the Trustee and Paying Agent an incumbency certificate listing officers with the authority to provide such Instructions (“Authorized Officers”) and containing specimen signatures of such Authorized Officers, which incumbency certificate shall be amended by the Company, as applicable, whenever a person is to be added or deleted from the listing. If the Company elects to give the Trustee and Paying Agent Instructions using Electronic Means and the Trustee and Paying Agent in their discretion elect to act upon such Instructions, their understanding of such Instructions shall be deemed controlling. The Company understands and agrees that the Trustee and Paying Agent cannot determine the identity of the actual sender of such Instructions and that the Trustee and Paying Agent shall conclusively presume that directions that purport to have been sent by an Authorized Officer listed on the incumbency certificate provided to the Trustee and Paying Agent have been sent by such Authorized Officer. The Company shall be responsible for ensuring that only Authorized Officers transmit such Instructions to the Trustee and Paying Agent and that the Company, and all Authorized Officers are solely responsible to safeguard the use and confidentiality of applicable user and authorization codes, passwords and/or authentication keys upon receipt by the Company, as applicable. The Trustee and Paying Agent shall not be liable for any losses, costs or expenses arising directly or indirectly from the Trustee and Paying Agent’s reliance upon and compliance with such Instructions notwithstanding such directions conflict or are inconsistent with a subsequent written instruction. The Company agrees: (i) to assume all risks arising out of the use of Electronic Means to submit Instructions to the Trustee and Paying Agent, including without limitation the risk of the Trustee and Paying Agent acting on unauthorized Instructions, and the risk of interception and misuse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third parties; (ii) that it is fully informed of the protections and risks associated with the various methods of transmitting Instructions to the Trustee and Paying Agent and that there may be more secure methods of transmitting Instructions than the method(s) selected by the Company, as applicable; (iii) that the security procedures (if any) to be followed in connection with its transmission of Instructions provide to it a commercially reasonable degree of protection in light of its particular needs and circumstances; and (iv) to notify the Trustee and Paying Agent immediately upon learning of any compromise or unauthorized use of the security procedures. “Electronic Means” shall mean the following communications methods: e-mail, secure electronic transmission containing applicable authorization codes, passwords and/or authentication keys issued by the Trustee and Paying Agent, or another method or system specified by the Trustee and Paying Agent as available for use in connection with its services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Establishment, 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are hereby established four new series of Securities to be issued under the Base Indenture, to be designated as the Company’s 5.000% Senior Notes due 2029, 5.600% Senior Notes due 2033, 5.800% Senior Notes due 2036, and 6.400% Senior Notes due 2056. </w:t>
      </w:r>
    </w:p>
    <w:p>
      <w:pPr>
        <w:pStyle w:val="TextBody"/>
        <w:bidi w:val="0"/>
        <w:spacing w:before="240" w:after="0"/>
        <w:jc w:val="left"/>
        <w:rPr>
          <w:rFonts w:ascii="Times New Roman" w:hAnsi="Times New Roman"/>
          <w:sz w:val="20"/>
        </w:rPr>
      </w:pPr>
      <w:r>
        <w:rPr>
          <w:rFonts w:ascii="Times New Roman" w:hAnsi="Times New Roman"/>
          <w:sz w:val="20"/>
        </w:rPr>
        <w:t xml:space="preserve">There are to be authenticated and delivered $500,000,000 principal amount of the 2029 Notes, $1,000,000,000 principal amount of the 2033 Notes, $750,000,000 principal amount of the 2036 Notes and $500,000,000 principal amount of the 2056 Notes, and the principal amount of the Notes of each series may be increased from time to time pursuant to Section 301 of the Base Indenture by the issuance of Additional Notes of such series. Any such Additional Notes will have the same interest rate, maturity and other terms as the Initial Notes of the applicable series, except for their issue date, public offering price and, if applicable, the initial interest accrual date and the initial Interest Payment Date, and shall constitute a single series of Securities with the Initial Notes of such series. No Notes shall be authenticated and delivered in addition to Notes for the principal amount as so increased except as provided by Sections 304, 305, 306, 906 or 1107 of the Base Indenture. The Notes shall be senior debt securities and shall be issued in fully registered form.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Trustee’s certificate of authentication with respect thereto will be substantially in the form of Exhibit A, Exhibit B, Exhibit C or Exhibit D hereto, as applicable. The Notes may have notations, legends or endorsements required by law, stock exchange rule or usage. Each Note will be dated the date of its authentication, and except as provided in Section 305 of the Base Indenture, will be issued in the form of one or more Global Notes. The principal of, and any premium or interest on, the Notes shall be payable in Dollars. The Notes shall be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will constitute, and are hereby expressly made, a part of the Indenture and the Company and the Trustee, by their execution and delivery of the Indenture, expressly agree to such terms and provisions and to be bound thereby. However, to the extent any provision of any Note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Registrar and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maintain a Registrar and Paying Agent with respect to the Notes. The Registrar will keep a Security Register with respect to the Notes and of their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Depository Trust Company to act as Depositary with respect to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initially appoints the Trustee to act as the Registrar and Paying Agent with respect to the Notes and to act as custodian for the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Execution, Authentication, Delivery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Notes (but not any other Securities, unless provided by the terms thereof), the first, second and sixth paragraphs of Section 303 of the Base Indenture are hereby amended and restated in their entirety, respectively, to read as follows: </w:t>
      </w:r>
    </w:p>
    <w:p>
      <w:pPr>
        <w:pStyle w:val="TextBody"/>
        <w:bidi w:val="0"/>
        <w:spacing w:before="240" w:after="0"/>
        <w:jc w:val="left"/>
        <w:rPr/>
      </w:pPr>
      <w:r>
        <w:rPr/>
        <w:t>“</w:t>
      </w:r>
      <w:r>
        <w:rPr>
          <w:rFonts w:ascii="Times New Roman" w:hAnsi="Times New Roman"/>
          <w:sz w:val="20"/>
        </w:rPr>
        <w:t xml:space="preserve">Securities shall be executed on behalf of the Company by any Officer of the Company. The signature of any such Officer on the Securities may be manual, facsimile or electronic (provided that any such electronic signature shall be a true representation of the signer’s actual signature).” </w:t>
      </w:r>
    </w:p>
    <w:p>
      <w:pPr>
        <w:pStyle w:val="TextBody"/>
        <w:bidi w:val="0"/>
        <w:spacing w:before="240" w:after="0"/>
        <w:jc w:val="left"/>
        <w:rPr/>
      </w:pPr>
      <w:r>
        <w:rPr/>
        <w:t>“</w:t>
      </w:r>
      <w:r>
        <w:rPr>
          <w:rFonts w:ascii="Times New Roman" w:hAnsi="Times New Roman"/>
          <w:sz w:val="20"/>
        </w:rPr>
        <w:t xml:space="preserve">Securities bearing the manual, facsimile or electronic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pPr>
      <w:r>
        <w:rPr/>
        <w:t>“</w:t>
      </w:r>
      <w:r>
        <w:rPr>
          <w:rFonts w:ascii="Times New Roman" w:hAnsi="Times New Roman"/>
          <w:sz w:val="20"/>
        </w:rPr>
        <w:t xml:space="preserve">No Security shall be entitled to any benefit under this Indenture or be valid or obligatory for any purpose, unless there appears on such Security a certificate of authentication substantially in the form provided for in Section 202 or Section 612 executed by or on behalf of the Trustee or by the Authenticating Agent by the manual, facsimile or electronic signature of one of its authorized signatories. Such certificate upon any Security shall be conclusive evidence, and the only evidence, that such Security has been duly authenticated and delivered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Legal defeasance of the Notes under clause (2) of Section 402 of the Base Indenture and covenant defeasance of the Notes under clause (3) of Section 402 of the Base Indenture shall be applicable to the Notes of a series, and the Company may at its option by Board Resolution, at any time, with respect to the Notes, elect to have Section 402(2) or Section 402(3) of the Base Indenture be applied to the Outstanding Notes of such series upon compliance with the conditions set forth in Section 402 of the Base Indenture. In addition to Section 801 of the Base Indenture, Section 5.01 of this Supplemental Indenture as to each series of Notes shall be subject to covenant defeasance under Section 402(3) of the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Notes (but not any other Securities, unless provided by the terms thereof), paragraph (4) of Section 501 of the Base Indenture is hereby amended and restated in its entirety to read as follows: </w:t>
      </w:r>
    </w:p>
    <w:p>
      <w:pPr>
        <w:pStyle w:val="TextBody"/>
        <w:bidi w:val="0"/>
        <w:spacing w:before="120" w:after="0"/>
        <w:jc w:val="left"/>
        <w:rPr/>
      </w:pPr>
      <w:r>
        <w:rPr/>
        <w:t>“</w:t>
      </w:r>
      <w:r>
        <w:rPr>
          <w:rFonts w:ascii="Times New Roman" w:hAnsi="Times New Roman"/>
          <w:sz w:val="20"/>
        </w:rPr>
        <w:t xml:space="preserve">(4) failure on the part of the Company duly to observe or perform any other of the covenants or agreements (other than those described in clause (1), (2) or (3) above) on the part of the Company with respect to that series contained in such Securities or otherwise established with respect to that series of Securities pursuant to Section 301 hereof or contained in this Indenture (other than a covenant or agreement which has been expressly included in this Indenture solely for the benefit of one or more series of Securities other than such series), which failure continues for a period of 60 days, or in the case of such a failure with respect to Section 704 of this Indenture, 90 days, after the date on which written notice of such failure, requiring the same to be remedied and stating that such notice is a “Notice of Default” shall have been given to the Company by the Trustee, upon direction of Holders of at least 25% in principal amount of the then Outstanding Securities of that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failure is not capable of cure within such 60-day or 90-day period, as the case may be, such 60-day or 90-day period, as the case may be, shall be automatically extended by an additional 60 days so long as (i) such failure is subject to cure and (ii) the Company is using commercially reasonable efforts to cure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failure to comply with any such other agreement in the Indenture that results from a change in GAAP shall not be deemed to be an Event of Default with respect to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be subject to the following covenants in addition to the provisions of Article Ten of the Base Indenture (provided that Section 1004 of the Base Indenture shall not be applicable to the Notes): </w:t>
      </w:r>
    </w:p>
    <w:p>
      <w:pPr>
        <w:pStyle w:val="TextBody"/>
        <w:bidi w:val="0"/>
        <w:spacing w:before="12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Limitation on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and shall not permit any Subsidiary of the Company to, issue, assume, or guarantee any Indebtedness secured by a Lien, other than Permitted Liens, upon any property of the Company or any of its Subsidiaries, owned on the date of this Supplemental Indenture or thereafter acquired, unless the Notes are equally and ratably secured with such Indebtedness until such time as such Indebtedness is no longer secured by such a Lien.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paragraph, the Company may, and may permit any Subsidiary of the Company to, issue, assume or guarantee any Indebtedness secured by a Lien, other than a Permitted Lien, upon any property of the Company or any of its Subsidiaries, without securing the Notes; provided that the aggregate principal amount of all Indebtedness of the Company and any Subsidiary of the Company then outstanding secured by any such Liens (other than Permitted Liens) does not exceed 15% of Consolidated Net Tangible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of each series may be redeemed, in whole or in part, at the option of the Company pursuant to the terms set forth in Section 2 of the Notes of such series and Section 6.02 hereof. In the case of a redemption at any time prior to a Par Call Date, the Company shall give the Trustee notice of the Redemption Price promptly after the determination thereof and the Trustee shall have no responsibility for determining such Redemption Price. Other than as specifically provided in this Article VI or Section 2 of the Notes of any series, any redemption pursuant to this Article VI will be made pursuant to the provisions of Article Eleven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Election to Redeem; Notice to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election of the Company to optionally redeem any Notes of any series shall be evidenced by or pursuant to a Board Resolution. In case of any redemption of the Notes of any series, the Company shall no later than 9:00 a.m., New York City time, on the fifth Business Day prior to the date of the giving of notice of such redemption pursuant to the applicable series of Notes (unless a shorter notice shall be satisfactory to the Trustee), notify the Trustee of such Redemption Date and of the principal amount of the Notes of the applicable series to be redeemed. This Section 6.02 shall apply to the Notes instead of Section 1102 of the Base Indenture.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/s/ Peter S. Burgess</w:t>
            </w:r>
          </w:p>
        </w:tc>
      </w:tr>
      <w:tr>
        <w:trPr/>
        <w:tc>
          <w:tcPr>
            <w:tcW w:w="64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Peter S. Burgess</w:t>
            </w:r>
          </w:p>
        </w:tc>
      </w:tr>
      <w:tr>
        <w:trPr/>
        <w:tc>
          <w:tcPr>
            <w:tcW w:w="64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VP Treasury &amp; Insurance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Ann M. Dolezal</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Ann M. Dolezal</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DA5 </w:t>
      </w:r>
    </w:p>
    <w:p>
      <w:pPr>
        <w:pStyle w:val="TextBody"/>
        <w:bidi w:val="0"/>
        <w:spacing w:before="0" w:after="0"/>
        <w:jc w:val="right"/>
        <w:rPr>
          <w:rFonts w:ascii="Times New Roman" w:hAnsi="Times New Roman"/>
          <w:sz w:val="20"/>
        </w:rPr>
      </w:pPr>
      <w:r>
        <w:rPr>
          <w:rFonts w:ascii="Times New Roman" w:hAnsi="Times New Roman"/>
          <w:sz w:val="20"/>
        </w:rPr>
        <w:t xml:space="preserve">ISIN: US969457DA58 </w:t>
      </w:r>
    </w:p>
    <w:p>
      <w:pPr>
        <w:pStyle w:val="TextBody"/>
        <w:bidi w:val="0"/>
        <w:spacing w:before="240" w:after="0"/>
        <w:jc w:val="center"/>
        <w:rPr>
          <w:rFonts w:ascii="Times New Roman" w:hAnsi="Times New Roman"/>
          <w:sz w:val="20"/>
        </w:rPr>
      </w:pPr>
      <w:r>
        <w:rPr>
          <w:rFonts w:ascii="Times New Roman" w:hAnsi="Times New Roman"/>
          <w:sz w:val="20"/>
        </w:rPr>
        <w:t xml:space="preserve">5.000% Senior Note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bidi w:val="0"/>
              <w:spacing w:before="0" w:after="283"/>
              <w:jc w:val="left"/>
              <w:rPr/>
            </w:pPr>
            <w:r>
              <w:rPr/>
              <w:t>No. _____</w:t>
            </w:r>
          </w:p>
        </w:tc>
        <w:tc>
          <w:tcPr>
            <w:tcW w:w="126"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Co.]1 or registered assigns, the principal sum of _________________________ DOLLARS [or such greater or lesser amount as is indicated on the Schedule of Adjustments attached hereto]2 on October 15, 2029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April 15 and October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April 1 and October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635" w:type="dxa"/>
            <w:tcBorders>
              <w:bottom w:val="single" w:sz="2" w:space="0" w:color="000000"/>
            </w:tcBorders>
            <w:tcMar>
              <w:bottom w:w="28" w:type="dxa"/>
            </w:tcMar>
          </w:tcPr>
          <w:p>
            <w:pPr>
              <w:pStyle w:val="TableContents"/>
              <w:bidi w:val="0"/>
              <w:spacing w:before="0" w:after="283"/>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75"/>
        <w:gridCol w:w="60"/>
        <w:gridCol w:w="3547"/>
      </w:tblGrid>
      <w:tr>
        <w:trPr/>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7" w:type="dxa"/>
            <w:tcBorders>
              <w:bottom w:val="single" w:sz="2" w:space="0" w:color="000000"/>
            </w:tcBorders>
            <w:tcMar>
              <w:bottom w:w="28" w:type="dxa"/>
            </w:tcMar>
          </w:tcPr>
          <w:p>
            <w:pPr>
              <w:pStyle w:val="TableContents"/>
              <w:bidi w:val="0"/>
              <w:spacing w:before="0" w:after="283"/>
              <w:jc w:val="left"/>
              <w:rPr/>
            </w:pPr>
            <w:r>
              <w:rPr/>
              <w:t> </w:t>
            </w:r>
          </w:p>
        </w:tc>
      </w:tr>
      <w:tr>
        <w:trPr/>
        <w:tc>
          <w:tcPr>
            <w:tcW w:w="4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47"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HEREIN.]3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5.000% Senior Note due 2029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5.000% Senior Notes due 2029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$500,000,000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5.000%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April 15 and October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“April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5.000%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CX6 </w:t>
      </w:r>
    </w:p>
    <w:p>
      <w:pPr>
        <w:pStyle w:val="TextBody"/>
        <w:bidi w:val="0"/>
        <w:spacing w:before="0" w:after="0"/>
        <w:jc w:val="right"/>
        <w:rPr>
          <w:rFonts w:ascii="Times New Roman" w:hAnsi="Times New Roman"/>
          <w:sz w:val="20"/>
        </w:rPr>
      </w:pPr>
      <w:r>
        <w:rPr>
          <w:rFonts w:ascii="Times New Roman" w:hAnsi="Times New Roman"/>
          <w:sz w:val="20"/>
        </w:rPr>
        <w:t xml:space="preserve">ISIN: US969457CX60 </w:t>
      </w:r>
    </w:p>
    <w:p>
      <w:pPr>
        <w:pStyle w:val="TextBody"/>
        <w:bidi w:val="0"/>
        <w:spacing w:before="240" w:after="0"/>
        <w:jc w:val="center"/>
        <w:rPr>
          <w:rFonts w:ascii="Times New Roman" w:hAnsi="Times New Roman"/>
          <w:sz w:val="20"/>
        </w:rPr>
      </w:pPr>
      <w:r>
        <w:rPr>
          <w:rFonts w:ascii="Times New Roman" w:hAnsi="Times New Roman"/>
          <w:sz w:val="20"/>
        </w:rPr>
        <w:t xml:space="preserve">5.600% Senior Note due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4"/>
        <w:gridCol w:w="704"/>
        <w:gridCol w:w="7952"/>
        <w:gridCol w:w="704"/>
        <w:gridCol w:w="141"/>
      </w:tblGrid>
      <w:tr>
        <w:trPr/>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7952" w:type="dxa"/>
            <w:tcBorders/>
            <w:vAlign w:val="center"/>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704" w:type="dxa"/>
            <w:tcBorders/>
            <w:vAlign w:val="bottom"/>
          </w:tcPr>
          <w:p>
            <w:pPr>
              <w:pStyle w:val="TableContents"/>
              <w:bidi w:val="0"/>
              <w:spacing w:before="0" w:after="283"/>
              <w:jc w:val="left"/>
              <w:rPr/>
            </w:pPr>
            <w:r>
              <w:rPr/>
              <w:t>No._____</w:t>
            </w:r>
          </w:p>
        </w:tc>
        <w:tc>
          <w:tcPr>
            <w:tcW w:w="704" w:type="dxa"/>
            <w:tcBorders/>
            <w:vAlign w:val="bottom"/>
          </w:tcPr>
          <w:p>
            <w:pPr>
              <w:pStyle w:val="TableContents"/>
              <w:bidi w:val="0"/>
              <w:spacing w:before="0" w:after="283"/>
              <w:jc w:val="left"/>
              <w:rPr/>
            </w:pPr>
            <w:r>
              <w:rPr/>
              <w:t> </w:t>
            </w:r>
          </w:p>
        </w:tc>
        <w:tc>
          <w:tcPr>
            <w:tcW w:w="7952"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center"/>
              <w:rPr>
                <w:b/>
              </w:rPr>
            </w:pPr>
            <w:r>
              <w:rPr>
                <w:b/>
              </w:rPr>
              <w:t>$_______________</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Co.]5 or registered assigns, the principal sum of _________________________ DOLLARS [or such greater or lesser amount as is indicated on the Schedule of Adjustments attached hereto]6 on September 15, 2033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635" w:type="dxa"/>
            <w:tcBorders>
              <w:bottom w:val="single" w:sz="2" w:space="0" w:color="000000"/>
            </w:tcBorders>
            <w:tcMar>
              <w:bottom w:w="28" w:type="dxa"/>
            </w:tcMar>
          </w:tcPr>
          <w:p>
            <w:pPr>
              <w:pStyle w:val="TableContents"/>
              <w:bidi w:val="0"/>
              <w:spacing w:before="0" w:after="283"/>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75"/>
        <w:gridCol w:w="60"/>
        <w:gridCol w:w="3547"/>
      </w:tblGrid>
      <w:tr>
        <w:trPr/>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7" w:type="dxa"/>
            <w:tcBorders>
              <w:bottom w:val="single" w:sz="2" w:space="0" w:color="000000"/>
            </w:tcBorders>
            <w:tcMar>
              <w:bottom w:w="28" w:type="dxa"/>
            </w:tcMar>
          </w:tcPr>
          <w:p>
            <w:pPr>
              <w:pStyle w:val="TableContents"/>
              <w:bidi w:val="0"/>
              <w:spacing w:before="0" w:after="283"/>
              <w:jc w:val="left"/>
              <w:rPr/>
            </w:pPr>
            <w:r>
              <w:rPr/>
              <w:t> </w:t>
            </w:r>
          </w:p>
        </w:tc>
      </w:tr>
      <w:tr>
        <w:trPr/>
        <w:tc>
          <w:tcPr>
            <w:tcW w:w="4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HEREIN.]7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12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5.600% Senior Note due 2033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5.600% Senior Notes due 2033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$1,000,000,000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5.600%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March 15 and September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“March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5.600%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CY4 </w:t>
      </w:r>
    </w:p>
    <w:p>
      <w:pPr>
        <w:pStyle w:val="TextBody"/>
        <w:bidi w:val="0"/>
        <w:spacing w:before="0" w:after="0"/>
        <w:jc w:val="right"/>
        <w:rPr>
          <w:rFonts w:ascii="Times New Roman" w:hAnsi="Times New Roman"/>
          <w:sz w:val="20"/>
        </w:rPr>
      </w:pPr>
      <w:r>
        <w:rPr>
          <w:rFonts w:ascii="Times New Roman" w:hAnsi="Times New Roman"/>
          <w:sz w:val="20"/>
        </w:rPr>
        <w:t xml:space="preserve">ISIN: US969457CY44 </w:t>
      </w:r>
    </w:p>
    <w:p>
      <w:pPr>
        <w:pStyle w:val="TextBody"/>
        <w:bidi w:val="0"/>
        <w:spacing w:before="240" w:after="0"/>
        <w:jc w:val="center"/>
        <w:rPr>
          <w:rFonts w:ascii="Times New Roman" w:hAnsi="Times New Roman"/>
          <w:sz w:val="20"/>
        </w:rPr>
      </w:pPr>
      <w:r>
        <w:rPr>
          <w:rFonts w:ascii="Times New Roman" w:hAnsi="Times New Roman"/>
          <w:sz w:val="20"/>
        </w:rPr>
        <w:t xml:space="preserve">5.800% Senior Note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31"/>
        <w:gridCol w:w="701"/>
        <w:gridCol w:w="4331"/>
        <w:gridCol w:w="701"/>
        <w:gridCol w:w="141"/>
      </w:tblGrid>
      <w:tr>
        <w:trPr/>
        <w:tc>
          <w:tcPr>
            <w:tcW w:w="4331"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4331"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4331" w:type="dxa"/>
            <w:tcBorders/>
            <w:vAlign w:val="bottom"/>
          </w:tcPr>
          <w:p>
            <w:pPr>
              <w:pStyle w:val="TableContents"/>
              <w:bidi w:val="0"/>
              <w:spacing w:before="0" w:after="283"/>
              <w:jc w:val="left"/>
              <w:rPr>
                <w:b/>
              </w:rPr>
            </w:pPr>
            <w:r>
              <w:rPr>
                <w:b/>
              </w:rPr>
              <w:t>No. _____</w:t>
            </w:r>
          </w:p>
        </w:tc>
        <w:tc>
          <w:tcPr>
            <w:tcW w:w="701" w:type="dxa"/>
            <w:tcBorders/>
            <w:vAlign w:val="bottom"/>
          </w:tcPr>
          <w:p>
            <w:pPr>
              <w:pStyle w:val="TableContents"/>
              <w:bidi w:val="0"/>
              <w:spacing w:before="0" w:after="283"/>
              <w:jc w:val="left"/>
              <w:rPr/>
            </w:pPr>
            <w:r>
              <w:rPr/>
              <w:t> </w:t>
            </w:r>
          </w:p>
        </w:tc>
        <w:tc>
          <w:tcPr>
            <w:tcW w:w="4331"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center"/>
              <w:rPr>
                <w:b/>
              </w:rPr>
            </w:pPr>
            <w:r>
              <w:rPr>
                <w:b/>
              </w:rPr>
              <w:t>$_______________</w:t>
            </w:r>
          </w:p>
        </w:tc>
      </w:tr>
    </w:tbl>
    <w:p>
      <w:pPr>
        <w:pStyle w:val="TextBody"/>
        <w:bidi w:val="0"/>
        <w:spacing w:before="48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Co.]9 or registered assigns, the principal sum of _________________________ DOLLARS [or such greater or lesser amount as is indicated on the Schedule of Adjustments attached hereto]10 on September 15, 2036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635" w:type="dxa"/>
            <w:tcBorders>
              <w:bottom w:val="single" w:sz="2" w:space="0" w:color="000000"/>
            </w:tcBorders>
            <w:tcMar>
              <w:bottom w:w="28" w:type="dxa"/>
            </w:tcMar>
          </w:tcPr>
          <w:p>
            <w:pPr>
              <w:pStyle w:val="TableContents"/>
              <w:bidi w:val="0"/>
              <w:spacing w:before="0" w:after="283"/>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This is one of the Notes referred to</w:t>
            </w:r>
          </w:p>
          <w:p>
            <w:pPr>
              <w:pStyle w:val="TableContents"/>
              <w:bidi w:val="0"/>
              <w:spacing w:before="0" w:after="20"/>
              <w:jc w:val="left"/>
              <w:rPr>
                <w:rFonts w:ascii="Times New Roman" w:hAnsi="Times New Roman"/>
                <w:sz w:val="20"/>
              </w:rPr>
            </w:pPr>
            <w:r>
              <w:rPr>
                <w:rFonts w:ascii="Times New Roman" w:hAnsi="Times New Roman"/>
                <w:sz w:val="20"/>
              </w:rPr>
              <w:t>in the within-mentioned Indenture: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HEREIN.]11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5.800% Senior Note due 2036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5.800% Senior Notes due 2036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$750,000,000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5.800%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March 15 and September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“March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5.800%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ADJUSTMENTS]12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12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CZ1 </w:t>
      </w:r>
    </w:p>
    <w:p>
      <w:pPr>
        <w:pStyle w:val="TextBody"/>
        <w:bidi w:val="0"/>
        <w:spacing w:before="0" w:after="0"/>
        <w:jc w:val="right"/>
        <w:rPr>
          <w:rFonts w:ascii="Times New Roman" w:hAnsi="Times New Roman"/>
          <w:sz w:val="20"/>
        </w:rPr>
      </w:pPr>
      <w:r>
        <w:rPr>
          <w:rFonts w:ascii="Times New Roman" w:hAnsi="Times New Roman"/>
          <w:sz w:val="20"/>
        </w:rPr>
        <w:t xml:space="preserve">ISIN: US969457CZ19 </w:t>
      </w:r>
    </w:p>
    <w:p>
      <w:pPr>
        <w:pStyle w:val="TextBody"/>
        <w:bidi w:val="0"/>
        <w:spacing w:before="240" w:after="0"/>
        <w:jc w:val="center"/>
        <w:rPr>
          <w:rFonts w:ascii="Times New Roman" w:hAnsi="Times New Roman"/>
          <w:sz w:val="20"/>
        </w:rPr>
      </w:pPr>
      <w:r>
        <w:rPr>
          <w:rFonts w:ascii="Times New Roman" w:hAnsi="Times New Roman"/>
          <w:sz w:val="20"/>
        </w:rPr>
        <w:t xml:space="preserve">6.400% Senior Note due 2056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58"/>
        <w:gridCol w:w="1606"/>
        <w:gridCol w:w="141"/>
      </w:tblGrid>
      <w:tr>
        <w:trPr/>
        <w:tc>
          <w:tcPr>
            <w:tcW w:w="8458" w:type="dxa"/>
            <w:tcBorders/>
            <w:vAlign w:val="center"/>
          </w:tcPr>
          <w:p>
            <w:pPr>
              <w:pStyle w:val="TableContents"/>
              <w:bidi w:val="0"/>
              <w:spacing w:before="0" w:after="283"/>
              <w:jc w:val="left"/>
              <w:rPr>
                <w:sz w:val="4"/>
                <w:szCs w:val="4"/>
              </w:rPr>
            </w:pPr>
            <w:r>
              <w:rPr>
                <w:sz w:val="4"/>
                <w:szCs w:val="4"/>
              </w:rPr>
            </w:r>
          </w:p>
        </w:tc>
        <w:tc>
          <w:tcPr>
            <w:tcW w:w="160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8458" w:type="dxa"/>
            <w:tcBorders/>
            <w:vAlign w:val="bottom"/>
          </w:tcPr>
          <w:p>
            <w:pPr>
              <w:pStyle w:val="TableContents"/>
              <w:bidi w:val="0"/>
              <w:spacing w:before="0" w:after="283"/>
              <w:jc w:val="left"/>
              <w:rPr/>
            </w:pPr>
            <w:r>
              <w:rPr/>
              <w:t>No. _____</w:t>
            </w:r>
          </w:p>
        </w:tc>
        <w:tc>
          <w:tcPr>
            <w:tcW w:w="160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Co.]13 or registered assigns, the principal sum of _________________________ DOLLARS [or such greater or lesser amount as is indicated on the Schedule of Adjustments attached hereto]14 on September 15, 2056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68"/>
        <w:gridCol w:w="116"/>
        <w:gridCol w:w="2898"/>
      </w:tblGrid>
      <w:tr>
        <w:trPr/>
        <w:tc>
          <w:tcPr>
            <w:tcW w:w="1068"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WILLIAMS COMPANIES, INC.</w:t>
            </w:r>
          </w:p>
        </w:tc>
      </w:tr>
      <w:tr>
        <w:trPr>
          <w:trHeight w:val="240" w:hRule="atLeast"/>
        </w:trPr>
        <w:tc>
          <w:tcPr>
            <w:tcW w:w="1068" w:type="dxa"/>
            <w:tcBorders/>
            <w:vAlign w:val="center"/>
          </w:tcPr>
          <w:p>
            <w:pPr>
              <w:pStyle w:val="TableContents"/>
              <w:bidi w:val="0"/>
              <w:spacing w:before="0" w:after="283"/>
              <w:jc w:val="left"/>
              <w:rPr>
                <w:sz w:val="4"/>
                <w:szCs w:val="4"/>
              </w:rPr>
            </w:pPr>
            <w:r>
              <w:rPr>
                <w:sz w:val="4"/>
                <w:szCs w:val="4"/>
              </w:rPr>
            </w:r>
          </w:p>
        </w:tc>
        <w:tc>
          <w:tcPr>
            <w:tcW w:w="3014" w:type="dxa"/>
            <w:gridSpan w:val="2"/>
            <w:tcBorders/>
            <w:vAlign w:val="center"/>
          </w:tcPr>
          <w:p>
            <w:pPr>
              <w:pStyle w:val="TableContents"/>
              <w:bidi w:val="0"/>
              <w:spacing w:before="0" w:after="283"/>
              <w:jc w:val="left"/>
              <w:rPr>
                <w:sz w:val="4"/>
                <w:szCs w:val="4"/>
              </w:rPr>
            </w:pPr>
            <w:r>
              <w:rPr>
                <w:sz w:val="4"/>
                <w:szCs w:val="4"/>
              </w:rPr>
            </w:r>
          </w:p>
        </w:tc>
      </w:tr>
      <w:tr>
        <w:trPr/>
        <w:tc>
          <w:tcPr>
            <w:tcW w:w="106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6" w:type="dxa"/>
            <w:tcBorders/>
            <w:vAlign w:val="bottom"/>
          </w:tcPr>
          <w:p>
            <w:pPr>
              <w:pStyle w:val="TableContents"/>
              <w:bidi w:val="0"/>
              <w:spacing w:before="0" w:after="283"/>
              <w:jc w:val="left"/>
              <w:rPr/>
            </w:pPr>
            <w:r>
              <w:rPr/>
              <w:t> </w:t>
            </w:r>
          </w:p>
        </w:tc>
        <w:tc>
          <w:tcPr>
            <w:tcW w:w="2898" w:type="dxa"/>
            <w:tcBorders/>
          </w:tcPr>
          <w:p>
            <w:pPr>
              <w:pStyle w:val="TableContents"/>
              <w:pBdr>
                <w:bottom w:val="single" w:sz="2" w:space="1" w:color="000000"/>
              </w:pBdr>
              <w:bidi w:val="0"/>
              <w:spacing w:before="0" w:after="20"/>
              <w:jc w:val="left"/>
              <w:rPr/>
            </w:pPr>
            <w:r>
              <w:rPr/>
              <w:t> </w:t>
            </w:r>
          </w:p>
        </w:tc>
      </w:tr>
      <w:tr>
        <w:trPr/>
        <w:tc>
          <w:tcPr>
            <w:tcW w:w="106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sz w:val="4"/>
                <w:szCs w:val="4"/>
              </w:rPr>
            </w:pPr>
            <w:r>
              <w:rPr>
                <w:sz w:val="4"/>
                <w:szCs w:val="4"/>
              </w:rPr>
            </w:r>
          </w:p>
        </w:tc>
      </w:tr>
      <w:tr>
        <w:trPr/>
        <w:tc>
          <w:tcPr>
            <w:tcW w:w="106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6"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This is one of the Notes referred to in the within-mentioned Indenture: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pPr>
            <w:r>
              <w:rPr/>
              <w:t> </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HEREIN.]15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12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6.400% Senior Note due 2056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6.400% Senior Notes due 2056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$500,000,000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6.400%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March 15 and September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“March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6.400%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ADJUSTMENTS]16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19297</Words>
  <Characters>97109</Characters>
  <CharactersWithSpaces>117516</CharactersWithSpaces>
  <Paragraphs>1980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